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ind w:right="0"/>
        <w:jc w:val="center"/>
        <w:textAlignment w:val="auto"/>
        <w:rPr>
          <w:rFonts w:hint="default" w:ascii="Times New Roman" w:hAnsi="Times New Roman" w:eastAsia="方正小标宋简体" w:cs="Times New Roman"/>
          <w:b w:val="0"/>
          <w:bCs w:val="0"/>
          <w:color w:val="auto"/>
          <w:sz w:val="44"/>
          <w:szCs w:val="44"/>
          <w:highlight w:val="none"/>
          <w:lang w:val="en-US" w:eastAsia="zh-CN"/>
        </w:rPr>
      </w:pPr>
      <w:r>
        <w:rPr>
          <w:rFonts w:hint="default" w:ascii="Times New Roman" w:hAnsi="Times New Roman" w:eastAsia="方正小标宋简体" w:cs="Times New Roman"/>
          <w:b w:val="0"/>
          <w:bCs w:val="0"/>
          <w:color w:val="auto"/>
          <w:sz w:val="44"/>
          <w:szCs w:val="44"/>
          <w:highlight w:val="none"/>
          <w:lang w:val="en-US" w:eastAsia="zh-CN"/>
        </w:rPr>
        <w:t>佛山市顺德区创建省级现代农业产业园</w:t>
      </w:r>
    </w:p>
    <w:p>
      <w:pPr>
        <w:keepNext w:val="0"/>
        <w:keepLines w:val="0"/>
        <w:pageBreakBefore w:val="0"/>
        <w:widowControl w:val="0"/>
        <w:kinsoku/>
        <w:wordWrap/>
        <w:overflowPunct/>
        <w:topLinePunct w:val="0"/>
        <w:autoSpaceDE/>
        <w:autoSpaceDN/>
        <w:bidi w:val="0"/>
        <w:adjustRightInd/>
        <w:snapToGrid/>
        <w:spacing w:line="700" w:lineRule="exact"/>
        <w:ind w:right="0"/>
        <w:jc w:val="center"/>
        <w:textAlignment w:val="auto"/>
        <w:rPr>
          <w:rFonts w:hint="eastAsia" w:eastAsia="方正小标宋简体" w:cs="Times New Roman"/>
          <w:b w:val="0"/>
          <w:bCs w:val="0"/>
          <w:color w:val="auto"/>
          <w:sz w:val="44"/>
          <w:szCs w:val="44"/>
          <w:highlight w:val="none"/>
          <w:lang w:val="en-US" w:eastAsia="zh-CN"/>
        </w:rPr>
      </w:pPr>
      <w:r>
        <w:rPr>
          <w:rFonts w:hint="default" w:ascii="Times New Roman" w:hAnsi="Times New Roman" w:eastAsia="方正小标宋简体" w:cs="Times New Roman"/>
          <w:b w:val="0"/>
          <w:bCs w:val="0"/>
          <w:color w:val="auto"/>
          <w:sz w:val="44"/>
          <w:szCs w:val="44"/>
          <w:highlight w:val="none"/>
          <w:lang w:val="en-US" w:eastAsia="zh-CN"/>
        </w:rPr>
        <w:t>财政资金管理办法</w:t>
      </w:r>
      <w:r>
        <w:rPr>
          <w:rFonts w:hint="eastAsia" w:eastAsia="方正小标宋简体" w:cs="Times New Roman"/>
          <w:b w:val="0"/>
          <w:bCs w:val="0"/>
          <w:color w:val="auto"/>
          <w:sz w:val="44"/>
          <w:szCs w:val="44"/>
          <w:highlight w:val="none"/>
          <w:lang w:val="en-US" w:eastAsia="zh-CN"/>
        </w:rPr>
        <w:t>（修订）</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default" w:ascii="Times New Roman" w:hAnsi="Times New Roman" w:eastAsia="仿宋_GB2312" w:cs="Times New Roman"/>
          <w:color w:val="auto"/>
          <w:spacing w:val="0"/>
          <w:kern w:val="2"/>
          <w:sz w:val="32"/>
          <w:szCs w:val="32"/>
          <w:highlight w:val="none"/>
          <w:lang w:val="en-US" w:eastAsia="zh-CN" w:bidi="ar-SA"/>
        </w:rPr>
      </w:pPr>
      <w:r>
        <w:rPr>
          <w:rFonts w:hint="eastAsia" w:ascii="Times New Roman" w:hAnsi="Times New Roman" w:eastAsia="仿宋_GB2312" w:cs="Times New Roman"/>
          <w:color w:val="auto"/>
          <w:spacing w:val="0"/>
          <w:kern w:val="2"/>
          <w:sz w:val="32"/>
          <w:szCs w:val="32"/>
          <w:highlight w:val="none"/>
          <w:lang w:val="en-US" w:eastAsia="zh-CN" w:bidi="ar-SA"/>
        </w:rPr>
        <w:t>（</w:t>
      </w:r>
      <w:r>
        <w:rPr>
          <w:rFonts w:hint="eastAsia" w:cs="Times New Roman"/>
          <w:color w:val="auto"/>
          <w:spacing w:val="0"/>
          <w:kern w:val="2"/>
          <w:sz w:val="32"/>
          <w:szCs w:val="32"/>
          <w:highlight w:val="none"/>
          <w:lang w:val="en-US" w:eastAsia="zh-CN" w:bidi="ar-SA"/>
        </w:rPr>
        <w:t>征询意见稿</w:t>
      </w:r>
      <w:r>
        <w:rPr>
          <w:rFonts w:hint="eastAsia" w:ascii="Times New Roman" w:hAnsi="Times New Roman" w:eastAsia="仿宋_GB2312" w:cs="Times New Roman"/>
          <w:color w:val="auto"/>
          <w:spacing w:val="0"/>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ind w:right="0"/>
        <w:jc w:val="center"/>
        <w:textAlignment w:val="auto"/>
        <w:rPr>
          <w:rFonts w:hint="default" w:ascii="Times New Roman" w:hAnsi="Times New Roman" w:eastAsia="仿宋_GB2312" w:cs="Times New Roman"/>
          <w:b/>
          <w:bCs/>
          <w:color w:val="auto"/>
          <w:sz w:val="32"/>
          <w:szCs w:val="32"/>
          <w:highlight w:val="none"/>
          <w:lang w:val="en-US" w:eastAsia="zh-CN"/>
        </w:rPr>
      </w:pP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snapToGrid/>
        <w:ind w:right="0"/>
        <w:jc w:val="center"/>
        <w:textAlignment w:val="auto"/>
        <w:rPr>
          <w:rFonts w:hint="default" w:ascii="Times New Roman" w:hAnsi="Times New Roman" w:eastAsia="黑体" w:cs="Times New Roman"/>
          <w:b w:val="0"/>
          <w:bCs w:val="0"/>
          <w:color w:val="auto"/>
          <w:sz w:val="32"/>
          <w:szCs w:val="32"/>
          <w:highlight w:val="none"/>
          <w:lang w:val="en-US" w:eastAsia="zh-CN"/>
        </w:rPr>
      </w:pPr>
      <w:r>
        <w:rPr>
          <w:rFonts w:hint="default" w:ascii="Times New Roman" w:hAnsi="Times New Roman" w:eastAsia="黑体" w:cs="Times New Roman"/>
          <w:b w:val="0"/>
          <w:bCs w:val="0"/>
          <w:color w:val="auto"/>
          <w:sz w:val="32"/>
          <w:szCs w:val="32"/>
          <w:highlight w:val="none"/>
          <w:lang w:val="en-US" w:eastAsia="zh-CN"/>
        </w:rPr>
        <w:t xml:space="preserve"> 总  则</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right="0" w:firstLine="677"/>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为全面贯彻落实党中央、国务院实施乡村振兴战略关于加快建设现代农业产业园的重要部署，加强顺德区现代农业产业园各级财政补助资金管理，根据《佛山市农业农村局关于印发〈佛山市创建省级现代农业产业园财政资金管理办法〉的通知》（佛农农〔</w:t>
      </w:r>
      <w:r>
        <w:rPr>
          <w:rFonts w:hint="default" w:ascii="Times New Roman" w:hAnsi="Times New Roman" w:eastAsia="仿宋_GB2312" w:cs="Times New Roman"/>
          <w:color w:val="auto"/>
          <w:spacing w:val="0"/>
          <w:sz w:val="32"/>
          <w:szCs w:val="32"/>
          <w:highlight w:val="none"/>
          <w:lang w:val="en-US" w:eastAsia="zh-CN"/>
        </w:rPr>
        <w:t>2023</w:t>
      </w:r>
      <w:r>
        <w:rPr>
          <w:rFonts w:hint="default" w:ascii="Times New Roman" w:hAnsi="Times New Roman" w:eastAsia="仿宋_GB2312" w:cs="Times New Roman"/>
          <w:color w:val="auto"/>
          <w:spacing w:val="0"/>
          <w:sz w:val="32"/>
          <w:szCs w:val="32"/>
          <w:highlight w:val="none"/>
        </w:rPr>
        <w:t>〕1</w:t>
      </w:r>
      <w:r>
        <w:rPr>
          <w:rFonts w:hint="default" w:ascii="Times New Roman" w:hAnsi="Times New Roman" w:eastAsia="仿宋_GB2312" w:cs="Times New Roman"/>
          <w:color w:val="auto"/>
          <w:spacing w:val="0"/>
          <w:sz w:val="32"/>
          <w:szCs w:val="32"/>
          <w:highlight w:val="none"/>
          <w:lang w:val="en-US" w:eastAsia="zh-CN"/>
        </w:rPr>
        <w:t>5</w:t>
      </w:r>
      <w:r>
        <w:rPr>
          <w:rFonts w:hint="default" w:ascii="Times New Roman" w:hAnsi="Times New Roman" w:eastAsia="仿宋_GB2312" w:cs="Times New Roman"/>
          <w:color w:val="auto"/>
          <w:spacing w:val="0"/>
          <w:sz w:val="32"/>
          <w:szCs w:val="32"/>
          <w:highlight w:val="none"/>
        </w:rPr>
        <w:t>号）的相关要求，结合我区实际，特制定《佛山市顺德区创建省级现代农业产业园财政资金管理办法》（以下简称《办法》），进一步提升产业园建设效益、规范产业园建设流程、强化产业园财政补助资金管理。</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right="0" w:firstLine="677"/>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本办法所称省级现代农业产业园（以下简称产业园）是指经广东省农业农村厅公布的位于佛山市顺德区的广东省现代农业产业园。财政补助资金是指市、区（</w:t>
      </w:r>
      <w:r>
        <w:rPr>
          <w:rFonts w:hint="default" w:ascii="Times New Roman" w:hAnsi="Times New Roman" w:eastAsia="仿宋_GB2312" w:cs="Times New Roman"/>
          <w:color w:val="auto"/>
          <w:spacing w:val="0"/>
          <w:sz w:val="32"/>
          <w:szCs w:val="32"/>
          <w:highlight w:val="none"/>
          <w:lang w:val="en-US" w:eastAsia="zh-CN"/>
        </w:rPr>
        <w:t>镇街</w:t>
      </w:r>
      <w:r>
        <w:rPr>
          <w:rFonts w:hint="default" w:ascii="Times New Roman" w:hAnsi="Times New Roman" w:eastAsia="仿宋_GB2312" w:cs="Times New Roman"/>
          <w:color w:val="auto"/>
          <w:spacing w:val="0"/>
          <w:sz w:val="32"/>
          <w:szCs w:val="32"/>
          <w:highlight w:val="none"/>
        </w:rPr>
        <w:t>）下达专项用于我区产业园建设的财政资金。实施主体自筹资金不属于本办法管理范围。</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right="0" w:firstLine="677"/>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财政补助资金管理应遵循依法拨付、规范管理；严格审批、权责明确；科学论证、绩效优先；公平公开、强化监督的原则。</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rPr>
          <w:rFonts w:hint="default" w:ascii="Times New Roman" w:hAnsi="Times New Roman" w:eastAsia="仿宋_GB2312" w:cs="Times New Roman"/>
          <w:color w:val="auto"/>
          <w:spacing w:val="0"/>
          <w:sz w:val="32"/>
          <w:szCs w:val="32"/>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right="0"/>
        <w:jc w:val="center"/>
        <w:textAlignment w:val="auto"/>
        <w:rPr>
          <w:rFonts w:hint="default" w:ascii="Times New Roman" w:hAnsi="Times New Roman" w:eastAsia="黑体" w:cs="Times New Roman"/>
          <w:b w:val="0"/>
          <w:bCs w:val="0"/>
          <w:color w:val="auto"/>
          <w:spacing w:val="0"/>
          <w:sz w:val="32"/>
          <w:szCs w:val="32"/>
          <w:highlight w:val="none"/>
          <w:lang w:val="en-US" w:eastAsia="zh-CN"/>
        </w:rPr>
      </w:pPr>
      <w:r>
        <w:rPr>
          <w:rFonts w:hint="default" w:ascii="Times New Roman" w:hAnsi="Times New Roman" w:eastAsia="黑体" w:cs="Times New Roman"/>
          <w:color w:val="auto"/>
          <w:spacing w:val="0"/>
          <w:sz w:val="32"/>
          <w:szCs w:val="32"/>
          <w:highlight w:val="none"/>
        </w:rPr>
        <w:t>资金使用范围及标准</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right="0" w:firstLine="675"/>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财政补助资金使用范围分为公益类和企业类两大类。公益类项目是指服务于产业园整体的公共建设项目。企业类项目是指实施主体自主建设、自身受益的项目。</w:t>
      </w:r>
      <w:r>
        <w:rPr>
          <w:rFonts w:hint="default" w:ascii="Times New Roman" w:hAnsi="Times New Roman" w:eastAsia="仿宋_GB2312" w:cs="Times New Roman"/>
          <w:color w:val="auto"/>
          <w:spacing w:val="0"/>
          <w:sz w:val="32"/>
          <w:szCs w:val="32"/>
          <w:highlight w:val="none"/>
          <w:lang w:val="en-US" w:eastAsia="zh-CN"/>
        </w:rPr>
        <w:t>产业园批准创建之日起开工建设的项目，均可纳入奖补范围。</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right="0" w:firstLine="677"/>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b w:val="0"/>
          <w:bCs w:val="0"/>
          <w:color w:val="auto"/>
          <w:spacing w:val="0"/>
          <w:sz w:val="32"/>
          <w:szCs w:val="32"/>
          <w:highlight w:val="none"/>
        </w:rPr>
        <w:t>公益类项目由区农业农村局或产业园所在镇</w:t>
      </w:r>
      <w:r>
        <w:rPr>
          <w:rFonts w:hint="default" w:ascii="Times New Roman" w:hAnsi="Times New Roman" w:eastAsia="仿宋_GB2312" w:cs="Times New Roman"/>
          <w:b w:val="0"/>
          <w:bCs w:val="0"/>
          <w:color w:val="auto"/>
          <w:spacing w:val="0"/>
          <w:sz w:val="32"/>
          <w:szCs w:val="32"/>
          <w:highlight w:val="none"/>
          <w:lang w:val="en-US" w:eastAsia="zh-CN"/>
        </w:rPr>
        <w:t>人民政府</w:t>
      </w:r>
      <w:r>
        <w:rPr>
          <w:rFonts w:hint="default" w:ascii="Times New Roman" w:hAnsi="Times New Roman" w:eastAsia="仿宋_GB2312" w:cs="Times New Roman"/>
          <w:b w:val="0"/>
          <w:bCs w:val="0"/>
          <w:color w:val="auto"/>
          <w:spacing w:val="0"/>
          <w:sz w:val="32"/>
          <w:szCs w:val="32"/>
          <w:highlight w:val="none"/>
        </w:rPr>
        <w:t>（街道</w:t>
      </w:r>
      <w:r>
        <w:rPr>
          <w:rFonts w:hint="default" w:ascii="Times New Roman" w:hAnsi="Times New Roman" w:eastAsia="仿宋_GB2312" w:cs="Times New Roman"/>
          <w:b w:val="0"/>
          <w:bCs w:val="0"/>
          <w:color w:val="auto"/>
          <w:spacing w:val="0"/>
          <w:sz w:val="32"/>
          <w:szCs w:val="32"/>
          <w:highlight w:val="none"/>
          <w:lang w:val="en-US" w:eastAsia="zh-CN"/>
        </w:rPr>
        <w:t>办事处</w:t>
      </w:r>
      <w:r>
        <w:rPr>
          <w:rFonts w:hint="default" w:ascii="Times New Roman" w:hAnsi="Times New Roman" w:eastAsia="仿宋_GB2312" w:cs="Times New Roman"/>
          <w:b w:val="0"/>
          <w:bCs w:val="0"/>
          <w:color w:val="auto"/>
          <w:spacing w:val="0"/>
          <w:sz w:val="32"/>
          <w:szCs w:val="32"/>
          <w:highlight w:val="none"/>
        </w:rPr>
        <w:t>）组织实施，符合招投标要求的要严格按程序实施招标</w:t>
      </w:r>
      <w:r>
        <w:rPr>
          <w:rFonts w:hint="eastAsia" w:ascii="Times New Roman" w:hAnsi="Times New Roman" w:eastAsia="仿宋_GB2312" w:cs="Times New Roman"/>
          <w:b w:val="0"/>
          <w:bCs w:val="0"/>
          <w:color w:val="auto"/>
          <w:spacing w:val="0"/>
          <w:sz w:val="32"/>
          <w:szCs w:val="32"/>
          <w:highlight w:val="none"/>
          <w:lang w:eastAsia="zh-CN"/>
        </w:rPr>
        <w:t>。公益类项目</w:t>
      </w:r>
      <w:r>
        <w:rPr>
          <w:rFonts w:hint="default" w:ascii="Times New Roman" w:hAnsi="Times New Roman" w:eastAsia="仿宋_GB2312" w:cs="Times New Roman"/>
          <w:b w:val="0"/>
          <w:bCs w:val="0"/>
          <w:color w:val="auto"/>
          <w:spacing w:val="0"/>
          <w:sz w:val="32"/>
          <w:szCs w:val="32"/>
          <w:highlight w:val="none"/>
        </w:rPr>
        <w:t>主要包含以下内容</w:t>
      </w:r>
      <w:r>
        <w:rPr>
          <w:rFonts w:hint="default" w:ascii="Times New Roman" w:hAnsi="Times New Roman" w:eastAsia="仿宋_GB2312" w:cs="Times New Roman"/>
          <w:color w:val="auto"/>
          <w:spacing w:val="0"/>
          <w:sz w:val="32"/>
          <w:szCs w:val="32"/>
          <w:highlight w:val="none"/>
        </w:rPr>
        <w:t>：</w:t>
      </w:r>
    </w:p>
    <w:p>
      <w:pPr>
        <w:pStyle w:val="3"/>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right="0" w:rightChars="0" w:firstLine="640" w:firstLineChars="200"/>
        <w:jc w:val="both"/>
        <w:textAlignment w:val="auto"/>
        <w:rPr>
          <w:rFonts w:hint="default" w:ascii="Times New Roman" w:hAnsi="Times New Roman" w:cs="Times New Roman"/>
          <w:color w:val="auto"/>
          <w:spacing w:val="0"/>
          <w:highlight w:val="none"/>
        </w:rPr>
      </w:pPr>
      <w:r>
        <w:rPr>
          <w:rFonts w:hint="default" w:ascii="Times New Roman" w:hAnsi="Times New Roman" w:eastAsia="仿宋_GB2312" w:cs="Times New Roman"/>
          <w:color w:val="auto"/>
          <w:spacing w:val="0"/>
          <w:sz w:val="32"/>
          <w:szCs w:val="32"/>
          <w:highlight w:val="none"/>
          <w:lang w:eastAsia="zh-CN"/>
        </w:rPr>
        <w:t>产业园内修建公共道路、供水供电、排灌设施、污水污泥集中处理</w:t>
      </w:r>
      <w:r>
        <w:rPr>
          <w:rFonts w:hint="eastAsia" w:ascii="Times New Roman" w:hAnsi="Times New Roman" w:eastAsia="仿宋_GB2312" w:cs="Times New Roman"/>
          <w:color w:val="auto"/>
          <w:spacing w:val="0"/>
          <w:sz w:val="32"/>
          <w:szCs w:val="32"/>
          <w:highlight w:val="none"/>
          <w:lang w:eastAsia="zh-CN"/>
        </w:rPr>
        <w:t>、</w:t>
      </w:r>
      <w:r>
        <w:rPr>
          <w:rFonts w:hint="default" w:ascii="Times New Roman" w:hAnsi="Times New Roman" w:eastAsia="仿宋_GB2312" w:cs="Times New Roman"/>
          <w:color w:val="auto"/>
          <w:spacing w:val="0"/>
          <w:sz w:val="32"/>
          <w:szCs w:val="32"/>
          <w:highlight w:val="none"/>
          <w:lang w:val="en-US" w:eastAsia="zh-CN"/>
        </w:rPr>
        <w:t>展览中心、交易平台</w:t>
      </w:r>
      <w:r>
        <w:rPr>
          <w:rFonts w:hint="default" w:ascii="Times New Roman" w:hAnsi="Times New Roman" w:eastAsia="仿宋_GB2312" w:cs="Times New Roman"/>
          <w:color w:val="auto"/>
          <w:spacing w:val="0"/>
          <w:sz w:val="32"/>
          <w:szCs w:val="32"/>
          <w:highlight w:val="none"/>
          <w:lang w:eastAsia="zh-CN"/>
        </w:rPr>
        <w:t>等公共基础设施建设。</w:t>
      </w:r>
    </w:p>
    <w:p>
      <w:pPr>
        <w:pStyle w:val="3"/>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color w:val="auto"/>
          <w:spacing w:val="0"/>
          <w:sz w:val="32"/>
          <w:szCs w:val="32"/>
          <w:highlight w:val="none"/>
          <w:lang w:eastAsia="zh-CN"/>
        </w:rPr>
        <w:t>产业园总体规划，园区公用品牌</w:t>
      </w:r>
      <w:r>
        <w:rPr>
          <w:rFonts w:hint="default" w:ascii="Times New Roman" w:hAnsi="Times New Roman" w:eastAsia="仿宋_GB2312" w:cs="Times New Roman"/>
          <w:color w:val="auto"/>
          <w:spacing w:val="0"/>
          <w:sz w:val="32"/>
          <w:szCs w:val="32"/>
          <w:highlight w:val="none"/>
          <w:lang w:val="en-US" w:eastAsia="zh-CN"/>
        </w:rPr>
        <w:t>创建</w:t>
      </w:r>
      <w:r>
        <w:rPr>
          <w:rFonts w:hint="default" w:ascii="Times New Roman" w:hAnsi="Times New Roman" w:eastAsia="仿宋_GB2312" w:cs="Times New Roman"/>
          <w:color w:val="auto"/>
          <w:spacing w:val="0"/>
          <w:sz w:val="32"/>
          <w:szCs w:val="32"/>
          <w:highlight w:val="none"/>
          <w:lang w:eastAsia="zh-CN"/>
        </w:rPr>
        <w:t>、</w:t>
      </w:r>
      <w:r>
        <w:rPr>
          <w:rFonts w:hint="default" w:ascii="Times New Roman" w:hAnsi="Times New Roman" w:eastAsia="仿宋_GB2312" w:cs="Times New Roman"/>
          <w:color w:val="auto"/>
          <w:spacing w:val="0"/>
          <w:sz w:val="32"/>
          <w:szCs w:val="32"/>
          <w:highlight w:val="none"/>
          <w:lang w:val="en-US" w:eastAsia="zh-CN"/>
        </w:rPr>
        <w:t>产业园数字化管理</w:t>
      </w:r>
      <w:r>
        <w:rPr>
          <w:rFonts w:hint="default" w:ascii="Times New Roman" w:hAnsi="Times New Roman" w:eastAsia="仿宋_GB2312" w:cs="Times New Roman"/>
          <w:color w:val="auto"/>
          <w:spacing w:val="0"/>
          <w:sz w:val="32"/>
          <w:szCs w:val="32"/>
          <w:highlight w:val="none"/>
          <w:lang w:eastAsia="zh-CN"/>
        </w:rPr>
        <w:t>等。</w:t>
      </w:r>
    </w:p>
    <w:p>
      <w:pPr>
        <w:pStyle w:val="3"/>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color w:val="auto"/>
          <w:spacing w:val="0"/>
          <w:sz w:val="32"/>
          <w:szCs w:val="32"/>
          <w:highlight w:val="none"/>
          <w:lang w:eastAsia="zh-CN"/>
        </w:rPr>
        <w:t>组织公益类技术培训、制定行业技术标准，开展行业共性技术研发和推动成果转化、引进公共技术研发机构及服务、组织产业园项目的评审验收等。</w:t>
      </w:r>
    </w:p>
    <w:p>
      <w:pPr>
        <w:pStyle w:val="3"/>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color w:val="auto"/>
          <w:spacing w:val="0"/>
          <w:sz w:val="32"/>
          <w:szCs w:val="32"/>
          <w:highlight w:val="none"/>
          <w:lang w:eastAsia="zh-CN"/>
        </w:rPr>
        <w:t>其它公共建设项目。</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right="0" w:firstLine="677"/>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企业类项目由实施主体自行组织建设，建成后向</w:t>
      </w:r>
      <w:r>
        <w:rPr>
          <w:rFonts w:hint="eastAsia" w:ascii="Times New Roman" w:hAnsi="Times New Roman" w:eastAsia="仿宋_GB2312" w:cs="Times New Roman"/>
          <w:color w:val="auto"/>
          <w:spacing w:val="0"/>
          <w:sz w:val="32"/>
          <w:szCs w:val="32"/>
          <w:highlight w:val="none"/>
          <w:lang w:eastAsia="zh-CN"/>
        </w:rPr>
        <w:t>区农业农村局</w:t>
      </w:r>
      <w:r>
        <w:rPr>
          <w:rFonts w:hint="eastAsia" w:ascii="仿宋_GB2312" w:hAnsi="仿宋" w:eastAsia="仿宋_GB2312" w:cs="宋体"/>
          <w:snapToGrid w:val="0"/>
          <w:color w:val="auto"/>
          <w:kern w:val="0"/>
          <w:lang w:eastAsia="zh-CN"/>
        </w:rPr>
        <w:t>或</w:t>
      </w:r>
      <w:r>
        <w:rPr>
          <w:rFonts w:hint="eastAsia" w:ascii="仿宋_GB2312" w:eastAsia="仿宋_GB2312" w:cs="宋体"/>
          <w:snapToGrid w:val="0"/>
          <w:color w:val="auto"/>
          <w:kern w:val="0"/>
          <w:lang w:eastAsia="zh-CN"/>
        </w:rPr>
        <w:t>项目建设所在</w:t>
      </w:r>
      <w:r>
        <w:rPr>
          <w:rFonts w:hint="eastAsia" w:ascii="仿宋_GB2312" w:hAnsi="仿宋" w:eastAsia="仿宋_GB2312" w:cs="宋体"/>
          <w:snapToGrid w:val="0"/>
          <w:color w:val="auto"/>
          <w:kern w:val="0"/>
        </w:rPr>
        <w:t>镇</w:t>
      </w:r>
      <w:r>
        <w:rPr>
          <w:rFonts w:hint="eastAsia" w:ascii="仿宋_GB2312" w:hAnsi="仿宋" w:eastAsia="仿宋_GB2312" w:cs="宋体"/>
          <w:snapToGrid w:val="0"/>
          <w:color w:val="auto"/>
          <w:kern w:val="0"/>
          <w:lang w:eastAsia="zh-CN"/>
        </w:rPr>
        <w:t>政府</w:t>
      </w:r>
      <w:r>
        <w:rPr>
          <w:rFonts w:hint="eastAsia" w:ascii="仿宋_GB2312" w:hAnsi="仿宋" w:eastAsia="仿宋_GB2312" w:cs="宋体"/>
          <w:snapToGrid w:val="0"/>
          <w:color w:val="auto"/>
          <w:kern w:val="0"/>
        </w:rPr>
        <w:t>（</w:t>
      </w:r>
      <w:r>
        <w:rPr>
          <w:rFonts w:hint="eastAsia" w:ascii="仿宋_GB2312" w:hAnsi="仿宋" w:eastAsia="仿宋_GB2312" w:cs="宋体"/>
          <w:snapToGrid w:val="0"/>
          <w:color w:val="auto"/>
          <w:kern w:val="0"/>
          <w:lang w:eastAsia="zh-CN"/>
        </w:rPr>
        <w:t>街道办事处</w:t>
      </w:r>
      <w:r>
        <w:rPr>
          <w:rFonts w:hint="eastAsia" w:ascii="仿宋_GB2312" w:hAnsi="仿宋" w:eastAsia="仿宋_GB2312" w:cs="宋体"/>
          <w:snapToGrid w:val="0"/>
          <w:color w:val="auto"/>
          <w:kern w:val="0"/>
        </w:rPr>
        <w:t>）</w:t>
      </w:r>
      <w:r>
        <w:rPr>
          <w:rFonts w:hint="default" w:ascii="Times New Roman" w:hAnsi="Times New Roman" w:eastAsia="仿宋_GB2312" w:cs="Times New Roman"/>
          <w:color w:val="auto"/>
          <w:spacing w:val="0"/>
          <w:sz w:val="32"/>
          <w:szCs w:val="32"/>
          <w:highlight w:val="none"/>
        </w:rPr>
        <w:t>申请财政资金奖补，最高可按照投资额的50%进行奖补。财政资金奖补项目如下：</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楷体_GB2312" w:cs="Times New Roman"/>
          <w:color w:val="auto"/>
          <w:spacing w:val="0"/>
          <w:sz w:val="32"/>
          <w:szCs w:val="32"/>
          <w:highlight w:val="none"/>
          <w:lang w:eastAsia="zh-CN"/>
        </w:rPr>
        <w:t>（</w:t>
      </w:r>
      <w:r>
        <w:rPr>
          <w:rFonts w:hint="default" w:ascii="Times New Roman" w:hAnsi="Times New Roman" w:eastAsia="楷体_GB2312" w:cs="Times New Roman"/>
          <w:color w:val="auto"/>
          <w:spacing w:val="0"/>
          <w:sz w:val="32"/>
          <w:szCs w:val="32"/>
          <w:highlight w:val="none"/>
          <w:lang w:val="en-US" w:eastAsia="zh-CN"/>
        </w:rPr>
        <w:t>一</w:t>
      </w:r>
      <w:r>
        <w:rPr>
          <w:rFonts w:hint="default" w:ascii="Times New Roman" w:hAnsi="Times New Roman" w:eastAsia="楷体_GB2312" w:cs="Times New Roman"/>
          <w:color w:val="auto"/>
          <w:spacing w:val="0"/>
          <w:sz w:val="32"/>
          <w:szCs w:val="32"/>
          <w:highlight w:val="none"/>
          <w:lang w:eastAsia="zh-CN"/>
        </w:rPr>
        <w:t>）科技研发与信息支撑项目。</w:t>
      </w:r>
      <w:r>
        <w:rPr>
          <w:rFonts w:hint="default" w:ascii="Times New Roman" w:hAnsi="Times New Roman" w:eastAsia="仿宋_GB2312" w:cs="Times New Roman"/>
          <w:color w:val="auto"/>
          <w:spacing w:val="0"/>
          <w:sz w:val="32"/>
          <w:szCs w:val="32"/>
          <w:highlight w:val="none"/>
          <w:lang w:eastAsia="zh-CN"/>
        </w:rPr>
        <w:t>主要指信息化建设、</w:t>
      </w:r>
      <w:r>
        <w:rPr>
          <w:rFonts w:hint="default" w:ascii="Times New Roman" w:hAnsi="Times New Roman" w:eastAsia="仿宋_GB2312" w:cs="Times New Roman"/>
          <w:color w:val="auto"/>
          <w:spacing w:val="0"/>
          <w:sz w:val="32"/>
          <w:szCs w:val="32"/>
          <w:highlight w:val="none"/>
          <w:lang w:val="en-US" w:eastAsia="zh-CN"/>
        </w:rPr>
        <w:t>数字农业、</w:t>
      </w:r>
      <w:r>
        <w:rPr>
          <w:rFonts w:hint="default" w:ascii="Times New Roman" w:hAnsi="Times New Roman" w:eastAsia="仿宋_GB2312" w:cs="Times New Roman"/>
          <w:color w:val="auto"/>
          <w:spacing w:val="0"/>
          <w:sz w:val="32"/>
          <w:szCs w:val="32"/>
          <w:highlight w:val="none"/>
          <w:lang w:eastAsia="zh-CN"/>
        </w:rPr>
        <w:t>技术研发和成果转化、检验检测设施设备及其它与科技相关的项目。该项目按照投资额的30%-50%进行奖补。</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楷体_GB2312" w:cs="Times New Roman"/>
          <w:color w:val="auto"/>
          <w:spacing w:val="0"/>
          <w:sz w:val="32"/>
          <w:szCs w:val="32"/>
          <w:highlight w:val="none"/>
          <w:lang w:eastAsia="zh-CN"/>
        </w:rPr>
        <w:t>（</w:t>
      </w:r>
      <w:r>
        <w:rPr>
          <w:rFonts w:hint="default" w:ascii="Times New Roman" w:hAnsi="Times New Roman" w:eastAsia="楷体_GB2312" w:cs="Times New Roman"/>
          <w:color w:val="auto"/>
          <w:spacing w:val="0"/>
          <w:sz w:val="32"/>
          <w:szCs w:val="32"/>
          <w:highlight w:val="none"/>
          <w:lang w:val="en-US" w:eastAsia="zh-CN"/>
        </w:rPr>
        <w:t>二</w:t>
      </w:r>
      <w:r>
        <w:rPr>
          <w:rFonts w:hint="default" w:ascii="Times New Roman" w:hAnsi="Times New Roman" w:eastAsia="楷体_GB2312" w:cs="Times New Roman"/>
          <w:color w:val="auto"/>
          <w:spacing w:val="0"/>
          <w:sz w:val="32"/>
          <w:szCs w:val="32"/>
          <w:highlight w:val="none"/>
          <w:lang w:eastAsia="zh-CN"/>
        </w:rPr>
        <w:t>）产业融合项目。</w:t>
      </w:r>
      <w:r>
        <w:rPr>
          <w:rFonts w:hint="default" w:ascii="Times New Roman" w:hAnsi="Times New Roman" w:eastAsia="仿宋_GB2312" w:cs="Times New Roman"/>
          <w:color w:val="auto"/>
          <w:spacing w:val="0"/>
          <w:sz w:val="32"/>
          <w:szCs w:val="32"/>
          <w:highlight w:val="none"/>
          <w:lang w:eastAsia="zh-CN"/>
        </w:rPr>
        <w:t>主要指农产品</w:t>
      </w:r>
      <w:r>
        <w:rPr>
          <w:rFonts w:hint="default" w:ascii="Times New Roman" w:hAnsi="Times New Roman" w:eastAsia="仿宋_GB2312" w:cs="Times New Roman"/>
          <w:color w:val="auto"/>
          <w:spacing w:val="0"/>
          <w:sz w:val="32"/>
          <w:szCs w:val="32"/>
          <w:highlight w:val="none"/>
          <w:lang w:val="en-US" w:eastAsia="zh-CN"/>
        </w:rPr>
        <w:t>生产加工及流通用房、</w:t>
      </w:r>
      <w:r>
        <w:rPr>
          <w:rFonts w:hint="default" w:ascii="Times New Roman" w:hAnsi="Times New Roman" w:eastAsia="仿宋_GB2312" w:cs="Times New Roman"/>
          <w:color w:val="auto"/>
          <w:spacing w:val="0"/>
          <w:sz w:val="32"/>
          <w:szCs w:val="32"/>
          <w:highlight w:val="none"/>
          <w:lang w:eastAsia="zh-CN"/>
        </w:rPr>
        <w:t>加工设备设施、产品储藏、农业会展、</w:t>
      </w:r>
      <w:r>
        <w:rPr>
          <w:rFonts w:hint="eastAsia" w:ascii="Times New Roman" w:hAnsi="Times New Roman" w:eastAsia="仿宋_GB2312" w:cs="Times New Roman"/>
          <w:color w:val="auto"/>
          <w:spacing w:val="0"/>
          <w:sz w:val="32"/>
          <w:szCs w:val="32"/>
          <w:highlight w:val="none"/>
          <w:lang w:eastAsia="zh-CN"/>
        </w:rPr>
        <w:t>展厅展馆、平台建设、</w:t>
      </w:r>
      <w:r>
        <w:rPr>
          <w:rFonts w:hint="default" w:ascii="Times New Roman" w:hAnsi="Times New Roman" w:eastAsia="仿宋_GB2312" w:cs="Times New Roman"/>
          <w:color w:val="auto"/>
          <w:spacing w:val="0"/>
          <w:sz w:val="32"/>
          <w:szCs w:val="32"/>
          <w:highlight w:val="none"/>
          <w:lang w:val="en-US" w:eastAsia="zh-CN"/>
        </w:rPr>
        <w:t>冷库、</w:t>
      </w:r>
      <w:r>
        <w:rPr>
          <w:rFonts w:hint="default" w:ascii="Times New Roman" w:hAnsi="Times New Roman" w:eastAsia="仿宋_GB2312" w:cs="Times New Roman"/>
          <w:color w:val="auto"/>
          <w:spacing w:val="0"/>
          <w:sz w:val="32"/>
          <w:szCs w:val="32"/>
          <w:highlight w:val="none"/>
          <w:lang w:eastAsia="zh-CN"/>
        </w:rPr>
        <w:t>冷链配送和流通设施建设、新产业新业态设施配套及其它三产融合项目。该项目按照投资额的30%-50%进行奖补。</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楷体_GB2312" w:cs="Times New Roman"/>
          <w:color w:val="auto"/>
          <w:spacing w:val="0"/>
          <w:sz w:val="32"/>
          <w:szCs w:val="32"/>
          <w:highlight w:val="none"/>
          <w:lang w:val="en-US" w:eastAsia="zh-CN"/>
        </w:rPr>
        <w:t>（三）农业生产及生态设施项目。</w:t>
      </w:r>
      <w:r>
        <w:rPr>
          <w:rFonts w:hint="default" w:ascii="Times New Roman" w:hAnsi="Times New Roman" w:eastAsia="仿宋_GB2312" w:cs="Times New Roman"/>
          <w:color w:val="auto"/>
          <w:spacing w:val="0"/>
          <w:sz w:val="32"/>
          <w:szCs w:val="32"/>
          <w:highlight w:val="none"/>
          <w:lang w:val="en-US" w:eastAsia="zh-CN"/>
        </w:rPr>
        <w:t>主要指农业生产大棚、畜禽养殖栏舍（含楼房栏舍）、渔业生产设施和田头简易加工、包装、冷库、节水灌溉、水肥一体化、内部道路改造、供电供水设施、排灌设施、畜禽粪污和水产养殖尾水处理设施及其它基础设施建设。其中：花卉标准温室设施补助标准为6—8万/亩，玻璃温室为8—10万/亩。水产工厂化养殖（集装箱、圆桶，圆桶深度≥1.3米）设施补助标准为400—600元/平方米，其它农业生产及生态设施项目按照投资额的30%-50%进行奖补。属于设施农用地范围的应当按照自然资源部门的有关规定办理设施农用地备案手续。</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color w:val="auto"/>
          <w:spacing w:val="0"/>
          <w:sz w:val="32"/>
          <w:szCs w:val="32"/>
          <w:highlight w:val="none"/>
          <w:lang w:eastAsia="zh-CN"/>
        </w:rPr>
        <w:t>企业类项目，对同一实施主体在同一申报年度内最高奖补金额不超过500万元。单个项目奖补资金由区农业农村局根据当年奖补资金总额确定，不能超过上述项目规定的最高奖补比例。</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right="0" w:firstLine="677"/>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企业类项目申报补助资金的实施主体必须满足以下基本申报条件：</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color w:val="auto"/>
          <w:spacing w:val="0"/>
          <w:sz w:val="32"/>
          <w:szCs w:val="32"/>
          <w:highlight w:val="none"/>
          <w:lang w:eastAsia="zh-CN"/>
        </w:rPr>
        <w:t>（一）依法注册登记，从事现代农业经营或服务的法人单位，包括但不限于农业企业、产业化联合体、农民合作社以及农业科研、技术推广单位、新型研发机构</w:t>
      </w:r>
      <w:r>
        <w:rPr>
          <w:rFonts w:hint="eastAsia" w:ascii="Times New Roman" w:hAnsi="Times New Roman" w:eastAsia="仿宋_GB2312" w:cs="Times New Roman"/>
          <w:color w:val="auto"/>
          <w:spacing w:val="0"/>
          <w:sz w:val="32"/>
          <w:szCs w:val="32"/>
          <w:highlight w:val="none"/>
          <w:lang w:eastAsia="zh-CN"/>
        </w:rPr>
        <w:t>等</w:t>
      </w:r>
      <w:r>
        <w:rPr>
          <w:rFonts w:hint="default" w:ascii="Times New Roman" w:hAnsi="Times New Roman" w:eastAsia="仿宋_GB2312" w:cs="Times New Roman"/>
          <w:color w:val="auto"/>
          <w:spacing w:val="0"/>
          <w:sz w:val="32"/>
          <w:szCs w:val="32"/>
          <w:highlight w:val="none"/>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eastAsia="zh-CN"/>
        </w:rPr>
        <w:t>（二）具有健全的财务管理和会计核算制度。</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color w:val="auto"/>
          <w:spacing w:val="0"/>
          <w:sz w:val="32"/>
          <w:szCs w:val="32"/>
          <w:highlight w:val="none"/>
          <w:lang w:eastAsia="zh-CN"/>
        </w:rPr>
        <w:t>（三）近三年在业务管理、财务管理、税收管理、财政资金使用等方面无违法或受到行政处罚的记录。</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color w:val="auto"/>
          <w:spacing w:val="0"/>
          <w:sz w:val="32"/>
          <w:szCs w:val="32"/>
          <w:highlight w:val="none"/>
          <w:lang w:eastAsia="zh-CN"/>
        </w:rPr>
        <w:t>（四）</w:t>
      </w:r>
      <w:r>
        <w:rPr>
          <w:rFonts w:hint="eastAsia" w:ascii="Times New Roman" w:hAnsi="Times New Roman" w:eastAsia="仿宋_GB2312" w:cs="Times New Roman"/>
          <w:color w:val="auto"/>
          <w:spacing w:val="0"/>
          <w:sz w:val="32"/>
          <w:szCs w:val="32"/>
          <w:highlight w:val="none"/>
          <w:lang w:eastAsia="zh-CN"/>
        </w:rPr>
        <w:t>项目的实施地点需在</w:t>
      </w:r>
      <w:r>
        <w:rPr>
          <w:rFonts w:hint="default" w:ascii="Times New Roman" w:hAnsi="Times New Roman" w:eastAsia="仿宋_GB2312" w:cs="Times New Roman"/>
          <w:color w:val="auto"/>
          <w:spacing w:val="0"/>
          <w:sz w:val="32"/>
          <w:szCs w:val="32"/>
          <w:highlight w:val="none"/>
        </w:rPr>
        <w:t>产业园</w:t>
      </w:r>
      <w:r>
        <w:rPr>
          <w:rFonts w:hint="eastAsia" w:ascii="Times New Roman" w:hAnsi="Times New Roman" w:eastAsia="仿宋_GB2312" w:cs="Times New Roman"/>
          <w:color w:val="auto"/>
          <w:spacing w:val="0"/>
          <w:sz w:val="32"/>
          <w:szCs w:val="32"/>
          <w:highlight w:val="none"/>
          <w:lang w:eastAsia="zh-CN"/>
        </w:rPr>
        <w:t>规划范围内。</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right="0" w:firstLine="677"/>
        <w:jc w:val="both"/>
        <w:textAlignment w:val="auto"/>
        <w:rPr>
          <w:rFonts w:hint="default" w:ascii="Times New Roman" w:hAnsi="Times New Roman" w:eastAsia="仿宋_GB2312" w:cs="Times New Roman"/>
          <w:color w:val="auto"/>
          <w:spacing w:val="0"/>
          <w:sz w:val="32"/>
          <w:szCs w:val="32"/>
          <w:highlight w:val="none"/>
        </w:rPr>
      </w:pPr>
      <w:r>
        <w:rPr>
          <w:rFonts w:hint="default" w:ascii="Times New Roman" w:hAnsi="Times New Roman" w:eastAsia="仿宋_GB2312" w:cs="Times New Roman"/>
          <w:color w:val="auto"/>
          <w:spacing w:val="0"/>
          <w:sz w:val="32"/>
          <w:szCs w:val="32"/>
          <w:highlight w:val="none"/>
        </w:rPr>
        <w:t>财政补助资金不得用于以下方面用途：</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建设楼堂馆所、牌坊门楼、亭台楼阁、停车场、路灯、市政道路、办公室装修、办公设备购置、日常消耗品及项目建设内容外的装修、研发、试验所用的试剂、耗材等。</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实施主体经营性开支（包括日常成本费用，含农资、非农产品的生产原料等开支、职工薪酬及社会保险费用、临时人员劳务费用、非正常成本费用开支）和债务等一般性支出，实施主体担保金和弥补实施主体亏损。</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非生产性交通工具及通讯设备。</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投资（入股）、分红、购买理财产品、发放借款等。</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已有普惠性政策渠道支持的建设内容（如农机购置补贴、高标准农田建设补贴、</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四好农村路</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建设等）。</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eastAsia="zh-CN"/>
        </w:rPr>
        <w:t>难以核验定量、定价的项目</w:t>
      </w:r>
      <w:r>
        <w:rPr>
          <w:rFonts w:hint="eastAsia" w:ascii="Times New Roman" w:hAnsi="Times New Roman" w:eastAsia="仿宋_GB2312" w:cs="Times New Roman"/>
          <w:color w:val="auto"/>
          <w:spacing w:val="0"/>
          <w:sz w:val="32"/>
          <w:szCs w:val="32"/>
          <w:highlight w:val="none"/>
          <w:lang w:eastAsia="zh-CN"/>
        </w:rPr>
        <w:t>（</w:t>
      </w:r>
      <w:r>
        <w:rPr>
          <w:rFonts w:hint="default" w:ascii="Times New Roman" w:hAnsi="Times New Roman" w:eastAsia="仿宋_GB2312" w:cs="Times New Roman"/>
          <w:color w:val="auto"/>
          <w:spacing w:val="0"/>
          <w:sz w:val="32"/>
          <w:szCs w:val="32"/>
          <w:highlight w:val="none"/>
          <w:lang w:eastAsia="zh-CN"/>
        </w:rPr>
        <w:t>如购置种苗、植物等</w:t>
      </w:r>
      <w:r>
        <w:rPr>
          <w:rFonts w:hint="eastAsia" w:ascii="Times New Roman" w:hAnsi="Times New Roman" w:eastAsia="仿宋_GB2312" w:cs="Times New Roman"/>
          <w:color w:val="auto"/>
          <w:spacing w:val="0"/>
          <w:sz w:val="32"/>
          <w:szCs w:val="32"/>
          <w:highlight w:val="none"/>
          <w:lang w:eastAsia="zh-CN"/>
        </w:rPr>
        <w:t>）。</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eastAsia="zh-CN"/>
        </w:rPr>
        <w:t>可移动类的生产车辆等</w:t>
      </w:r>
      <w:r>
        <w:rPr>
          <w:rFonts w:hint="eastAsia" w:ascii="Times New Roman" w:hAnsi="Times New Roman" w:eastAsia="仿宋_GB2312" w:cs="Times New Roman"/>
          <w:color w:val="auto"/>
          <w:spacing w:val="0"/>
          <w:sz w:val="32"/>
          <w:szCs w:val="32"/>
          <w:highlight w:val="none"/>
          <w:lang w:eastAsia="zh-CN"/>
        </w:rPr>
        <w:t>。</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其他非涉农领域支出。</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rPr>
          <w:rFonts w:hint="default" w:ascii="Times New Roman" w:hAnsi="Times New Roman" w:eastAsia="仿宋_GB2312" w:cs="Times New Roman"/>
          <w:color w:val="auto"/>
          <w:spacing w:val="0"/>
          <w:sz w:val="32"/>
          <w:szCs w:val="32"/>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right="0"/>
        <w:jc w:val="center"/>
        <w:textAlignment w:val="auto"/>
        <w:rPr>
          <w:rFonts w:hint="default" w:ascii="Times New Roman" w:hAnsi="Times New Roman" w:eastAsia="黑体" w:cs="Times New Roman"/>
          <w:b w:val="0"/>
          <w:bCs w:val="0"/>
          <w:color w:val="auto"/>
          <w:spacing w:val="0"/>
          <w:sz w:val="32"/>
          <w:szCs w:val="32"/>
          <w:highlight w:val="none"/>
          <w:lang w:val="en-US" w:eastAsia="zh-CN"/>
        </w:rPr>
      </w:pPr>
      <w:r>
        <w:rPr>
          <w:rFonts w:hint="default" w:ascii="Times New Roman" w:hAnsi="Times New Roman" w:eastAsia="黑体" w:cs="Times New Roman"/>
          <w:b w:val="0"/>
          <w:bCs w:val="0"/>
          <w:color w:val="auto"/>
          <w:spacing w:val="0"/>
          <w:sz w:val="32"/>
          <w:szCs w:val="32"/>
          <w:highlight w:val="none"/>
          <w:lang w:val="en-US" w:eastAsia="zh-CN"/>
        </w:rPr>
        <w:t>资金拨付与使用</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rPr>
          <w:rFonts w:hint="default" w:ascii="Times New Roman" w:hAnsi="Times New Roman" w:eastAsia="仿宋_GB2312" w:cs="Times New Roman"/>
          <w:b w:val="0"/>
          <w:bCs w:val="0"/>
          <w:color w:val="auto"/>
          <w:spacing w:val="0"/>
          <w:sz w:val="32"/>
          <w:szCs w:val="32"/>
          <w:highlight w:val="none"/>
          <w:lang w:val="en-US" w:eastAsia="zh-CN"/>
        </w:rPr>
      </w:pPr>
      <w:r>
        <w:rPr>
          <w:rFonts w:hint="default" w:ascii="Times New Roman" w:hAnsi="Times New Roman" w:eastAsia="仿宋_GB2312" w:cs="Times New Roman"/>
          <w:b w:val="0"/>
          <w:bCs w:val="0"/>
          <w:color w:val="auto"/>
          <w:spacing w:val="0"/>
          <w:sz w:val="32"/>
          <w:szCs w:val="32"/>
          <w:highlight w:val="none"/>
          <w:lang w:val="en-US" w:eastAsia="zh-CN"/>
        </w:rPr>
        <w:t>由镇人民政府（街道办事处）组织实施的公益类项目，区级财政补助资金（含市级奖补资金）统一拨付至产业园所在镇人民政府（街道办事处）。由区农业农村局组织实施的公益类项目，财政补助资金由区农业农村局进行统筹。年度建设项目完工并完成验收和核定总价后，区或镇（街道）将奖补资金拨付至项目实施单位。</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rPr>
          <w:rFonts w:hint="default" w:ascii="Times New Roman" w:hAnsi="Times New Roman" w:eastAsia="仿宋_GB2312" w:cs="Times New Roman"/>
          <w:b w:val="0"/>
          <w:bCs w:val="0"/>
          <w:color w:val="auto"/>
          <w:spacing w:val="0"/>
          <w:sz w:val="32"/>
          <w:szCs w:val="32"/>
          <w:highlight w:val="none"/>
          <w:lang w:val="en-US" w:eastAsia="zh-CN"/>
        </w:rPr>
      </w:pPr>
      <w:r>
        <w:rPr>
          <w:rFonts w:hint="default" w:ascii="Times New Roman" w:hAnsi="Times New Roman" w:eastAsia="仿宋_GB2312" w:cs="Times New Roman"/>
          <w:b w:val="0"/>
          <w:bCs w:val="0"/>
          <w:color w:val="auto"/>
          <w:spacing w:val="0"/>
          <w:sz w:val="32"/>
          <w:szCs w:val="32"/>
          <w:highlight w:val="none"/>
          <w:lang w:val="en-US" w:eastAsia="zh-CN"/>
        </w:rPr>
        <w:t>镇人民政府（街道办事处）组织各有关实施主体研究、对照市、区相关的工作方案、建设指引、扶持政策、绩效评价办法等，按照抓重点、补短板、强弱项的原则，依法依规制定年度现代农业产业园资金使用方案，报区农业农村局审批同意后按程序组织实施。区农业农村局要在收到资金使用方案后20个工作日内完成审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b w:val="0"/>
          <w:bCs w:val="0"/>
          <w:color w:val="auto"/>
          <w:spacing w:val="0"/>
          <w:sz w:val="32"/>
          <w:szCs w:val="32"/>
          <w:highlight w:val="none"/>
          <w:lang w:val="en-US" w:eastAsia="zh-CN"/>
        </w:rPr>
      </w:pPr>
      <w:r>
        <w:rPr>
          <w:rFonts w:hint="default" w:ascii="Times New Roman" w:hAnsi="Times New Roman" w:eastAsia="仿宋_GB2312" w:cs="Times New Roman"/>
          <w:b w:val="0"/>
          <w:bCs w:val="0"/>
          <w:color w:val="auto"/>
          <w:spacing w:val="0"/>
          <w:sz w:val="32"/>
          <w:szCs w:val="32"/>
          <w:highlight w:val="none"/>
          <w:lang w:val="en-US" w:eastAsia="zh-CN"/>
        </w:rPr>
        <w:t>资金使用方案审批后，镇人民政府（街道办事处）及各实施主体不得随意调整，确因实际情况需要进行项目调整、变更或终止的，报镇（街道）农业主管部门初审后上报区农业农村局审批。区农业农村局审批同意后，由区农业农村局报市农业农村局备案。对于调整较大的项目，需要重新进行评估项目绩效方可实施。</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rPr>
          <w:rFonts w:hint="default" w:ascii="Times New Roman" w:hAnsi="Times New Roman" w:eastAsia="仿宋_GB2312" w:cs="Times New Roman"/>
          <w:b w:val="0"/>
          <w:bCs w:val="0"/>
          <w:color w:val="auto"/>
          <w:spacing w:val="0"/>
          <w:sz w:val="32"/>
          <w:szCs w:val="32"/>
          <w:highlight w:val="none"/>
          <w:lang w:val="en-US" w:eastAsia="zh-CN"/>
        </w:rPr>
      </w:pPr>
      <w:r>
        <w:rPr>
          <w:rFonts w:hint="default" w:ascii="Times New Roman" w:hAnsi="Times New Roman" w:eastAsia="仿宋_GB2312" w:cs="Times New Roman"/>
          <w:b w:val="0"/>
          <w:bCs w:val="0"/>
          <w:color w:val="auto"/>
          <w:spacing w:val="0"/>
          <w:sz w:val="32"/>
          <w:szCs w:val="32"/>
          <w:highlight w:val="none"/>
          <w:lang w:val="en-US" w:eastAsia="zh-CN"/>
        </w:rPr>
        <w:t>财政奖补资金需实行专账管理，实施主体必须建立产业园建设项目专账。</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rPr>
          <w:rFonts w:hint="default" w:ascii="Times New Roman" w:hAnsi="Times New Roman" w:eastAsia="仿宋_GB2312" w:cs="Times New Roman"/>
          <w:b w:val="0"/>
          <w:bCs w:val="0"/>
          <w:color w:val="auto"/>
          <w:spacing w:val="0"/>
          <w:sz w:val="32"/>
          <w:szCs w:val="32"/>
          <w:highlight w:val="none"/>
          <w:lang w:val="en-US" w:eastAsia="zh-CN"/>
        </w:rPr>
      </w:pPr>
      <w:r>
        <w:rPr>
          <w:rFonts w:hint="default" w:ascii="Times New Roman" w:hAnsi="Times New Roman" w:eastAsia="仿宋_GB2312" w:cs="Times New Roman"/>
          <w:b w:val="0"/>
          <w:bCs w:val="0"/>
          <w:color w:val="auto"/>
          <w:spacing w:val="0"/>
          <w:sz w:val="32"/>
          <w:szCs w:val="32"/>
          <w:highlight w:val="none"/>
          <w:lang w:val="en-US" w:eastAsia="zh-CN"/>
        </w:rPr>
        <w:t>产业园企业类项目按照以下程序组织实施：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b w:val="0"/>
          <w:bCs w:val="0"/>
          <w:color w:val="auto"/>
          <w:spacing w:val="0"/>
          <w:sz w:val="32"/>
          <w:szCs w:val="32"/>
          <w:highlight w:val="none"/>
          <w:lang w:val="en-US" w:eastAsia="zh-CN"/>
        </w:rPr>
      </w:pPr>
      <w:r>
        <w:rPr>
          <w:rFonts w:hint="default" w:ascii="Times New Roman" w:hAnsi="Times New Roman" w:eastAsia="仿宋_GB2312" w:cs="Times New Roman"/>
          <w:b w:val="0"/>
          <w:bCs w:val="0"/>
          <w:color w:val="auto"/>
          <w:spacing w:val="0"/>
          <w:sz w:val="32"/>
          <w:szCs w:val="32"/>
          <w:highlight w:val="none"/>
          <w:lang w:val="en-US" w:eastAsia="zh-CN"/>
        </w:rPr>
        <w:t>（一）区农业农村局印发年度《产业园建设项目入库申报指南》，各实施主体按照文件要求，结合企业实际制定企业类项目资金使用方案，并报区农业农村局审批。实施主体按照批准后的资金使用方案，自主开展项目建设。</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（二）区农业农村局委托专业的第三方机构组织项目入库评审。评审委员会对通过形式审查的项目申报材料进行评审。评审形式包括集中评审和现场核查。入库项目经评审后分为</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A</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B</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C</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三档。具体入库项目补助资金定档标准见下表。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949"/>
        <w:gridCol w:w="2161"/>
        <w:gridCol w:w="2070"/>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837"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编号</w:t>
            </w:r>
          </w:p>
        </w:tc>
        <w:tc>
          <w:tcPr>
            <w:tcW w:w="2949"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项目类型</w:t>
            </w:r>
          </w:p>
        </w:tc>
        <w:tc>
          <w:tcPr>
            <w:tcW w:w="2161"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eastAsia" w:ascii="Times New Roman" w:hAnsi="Times New Roman" w:cs="Times New Roman"/>
                <w:snapToGrid w:val="0"/>
                <w:color w:val="auto"/>
                <w:sz w:val="32"/>
                <w:szCs w:val="32"/>
                <w:highlight w:val="none"/>
                <w:lang w:eastAsia="zh-CN"/>
              </w:rPr>
              <w:t>“</w:t>
            </w:r>
            <w:r>
              <w:rPr>
                <w:rFonts w:hint="default" w:ascii="Times New Roman" w:hAnsi="Times New Roman" w:eastAsia="仿宋_GB2312" w:cs="Times New Roman"/>
                <w:snapToGrid w:val="0"/>
                <w:color w:val="auto"/>
                <w:sz w:val="32"/>
                <w:szCs w:val="32"/>
                <w:highlight w:val="none"/>
              </w:rPr>
              <w:t>A</w:t>
            </w:r>
            <w:r>
              <w:rPr>
                <w:rFonts w:hint="eastAsia" w:ascii="Times New Roman" w:hAnsi="Times New Roman" w:cs="Times New Roman"/>
                <w:snapToGrid w:val="0"/>
                <w:color w:val="auto"/>
                <w:sz w:val="32"/>
                <w:szCs w:val="32"/>
                <w:highlight w:val="none"/>
                <w:lang w:eastAsia="zh-CN"/>
              </w:rPr>
              <w:t>”</w:t>
            </w:r>
            <w:r>
              <w:rPr>
                <w:rFonts w:hint="default" w:ascii="Times New Roman" w:hAnsi="Times New Roman" w:eastAsia="仿宋_GB2312" w:cs="Times New Roman"/>
                <w:snapToGrid w:val="0"/>
                <w:color w:val="auto"/>
                <w:sz w:val="32"/>
                <w:szCs w:val="32"/>
                <w:highlight w:val="none"/>
              </w:rPr>
              <w:t>档项目</w:t>
            </w:r>
          </w:p>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资金</w:t>
            </w:r>
            <w:r>
              <w:rPr>
                <w:rFonts w:hint="default" w:ascii="Times New Roman" w:hAnsi="Times New Roman" w:eastAsia="仿宋_GB2312" w:cs="Times New Roman"/>
                <w:snapToGrid w:val="0"/>
                <w:color w:val="auto"/>
                <w:sz w:val="32"/>
                <w:szCs w:val="32"/>
                <w:highlight w:val="none"/>
                <w:lang w:eastAsia="zh-CN"/>
              </w:rPr>
              <w:t>补助</w:t>
            </w:r>
            <w:r>
              <w:rPr>
                <w:rFonts w:hint="default" w:ascii="Times New Roman" w:hAnsi="Times New Roman" w:eastAsia="仿宋_GB2312" w:cs="Times New Roman"/>
                <w:snapToGrid w:val="0"/>
                <w:color w:val="auto"/>
                <w:sz w:val="32"/>
                <w:szCs w:val="32"/>
                <w:highlight w:val="none"/>
              </w:rPr>
              <w:t>比例</w:t>
            </w:r>
          </w:p>
        </w:tc>
        <w:tc>
          <w:tcPr>
            <w:tcW w:w="207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eastAsia" w:ascii="Times New Roman" w:hAnsi="Times New Roman" w:cs="Times New Roman"/>
                <w:snapToGrid w:val="0"/>
                <w:color w:val="auto"/>
                <w:sz w:val="32"/>
                <w:szCs w:val="32"/>
                <w:highlight w:val="none"/>
                <w:lang w:eastAsia="zh-CN"/>
              </w:rPr>
              <w:t>“</w:t>
            </w:r>
            <w:r>
              <w:rPr>
                <w:rFonts w:hint="default" w:ascii="Times New Roman" w:hAnsi="Times New Roman" w:eastAsia="仿宋_GB2312" w:cs="Times New Roman"/>
                <w:snapToGrid w:val="0"/>
                <w:color w:val="auto"/>
                <w:sz w:val="32"/>
                <w:szCs w:val="32"/>
                <w:highlight w:val="none"/>
              </w:rPr>
              <w:t>B</w:t>
            </w:r>
            <w:r>
              <w:rPr>
                <w:rFonts w:hint="eastAsia" w:ascii="Times New Roman" w:hAnsi="Times New Roman" w:cs="Times New Roman"/>
                <w:snapToGrid w:val="0"/>
                <w:color w:val="auto"/>
                <w:sz w:val="32"/>
                <w:szCs w:val="32"/>
                <w:highlight w:val="none"/>
                <w:lang w:eastAsia="zh-CN"/>
              </w:rPr>
              <w:t>”</w:t>
            </w:r>
            <w:r>
              <w:rPr>
                <w:rFonts w:hint="default" w:ascii="Times New Roman" w:hAnsi="Times New Roman" w:eastAsia="仿宋_GB2312" w:cs="Times New Roman"/>
                <w:snapToGrid w:val="0"/>
                <w:color w:val="auto"/>
                <w:sz w:val="32"/>
                <w:szCs w:val="32"/>
                <w:highlight w:val="none"/>
              </w:rPr>
              <w:t>档项目资金</w:t>
            </w:r>
            <w:r>
              <w:rPr>
                <w:rFonts w:hint="default" w:ascii="Times New Roman" w:hAnsi="Times New Roman" w:eastAsia="仿宋_GB2312" w:cs="Times New Roman"/>
                <w:snapToGrid w:val="0"/>
                <w:color w:val="auto"/>
                <w:sz w:val="32"/>
                <w:szCs w:val="32"/>
                <w:highlight w:val="none"/>
                <w:lang w:eastAsia="zh-CN"/>
              </w:rPr>
              <w:t>补助</w:t>
            </w:r>
            <w:r>
              <w:rPr>
                <w:rFonts w:hint="default" w:ascii="Times New Roman" w:hAnsi="Times New Roman" w:eastAsia="仿宋_GB2312" w:cs="Times New Roman"/>
                <w:snapToGrid w:val="0"/>
                <w:color w:val="auto"/>
                <w:sz w:val="32"/>
                <w:szCs w:val="32"/>
                <w:highlight w:val="none"/>
              </w:rPr>
              <w:t>比例</w:t>
            </w:r>
          </w:p>
        </w:tc>
        <w:tc>
          <w:tcPr>
            <w:tcW w:w="213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eastAsia" w:ascii="Times New Roman" w:hAnsi="Times New Roman" w:cs="Times New Roman"/>
                <w:snapToGrid w:val="0"/>
                <w:color w:val="auto"/>
                <w:sz w:val="32"/>
                <w:szCs w:val="32"/>
                <w:highlight w:val="none"/>
                <w:lang w:eastAsia="zh-CN"/>
              </w:rPr>
              <w:t>“</w:t>
            </w:r>
            <w:r>
              <w:rPr>
                <w:rFonts w:hint="default" w:ascii="Times New Roman" w:hAnsi="Times New Roman" w:eastAsia="仿宋_GB2312" w:cs="Times New Roman"/>
                <w:snapToGrid w:val="0"/>
                <w:color w:val="auto"/>
                <w:sz w:val="32"/>
                <w:szCs w:val="32"/>
                <w:highlight w:val="none"/>
              </w:rPr>
              <w:t>C</w:t>
            </w:r>
            <w:r>
              <w:rPr>
                <w:rFonts w:hint="eastAsia" w:ascii="Times New Roman" w:hAnsi="Times New Roman" w:cs="Times New Roman"/>
                <w:snapToGrid w:val="0"/>
                <w:color w:val="auto"/>
                <w:sz w:val="32"/>
                <w:szCs w:val="32"/>
                <w:highlight w:val="none"/>
                <w:lang w:eastAsia="zh-CN"/>
              </w:rPr>
              <w:t>”</w:t>
            </w:r>
            <w:r>
              <w:rPr>
                <w:rFonts w:hint="default" w:ascii="Times New Roman" w:hAnsi="Times New Roman" w:eastAsia="仿宋_GB2312" w:cs="Times New Roman"/>
                <w:snapToGrid w:val="0"/>
                <w:color w:val="auto"/>
                <w:sz w:val="32"/>
                <w:szCs w:val="32"/>
                <w:highlight w:val="none"/>
              </w:rPr>
              <w:t>档项目</w:t>
            </w:r>
          </w:p>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资金</w:t>
            </w:r>
            <w:r>
              <w:rPr>
                <w:rFonts w:hint="default" w:ascii="Times New Roman" w:hAnsi="Times New Roman" w:eastAsia="仿宋_GB2312" w:cs="Times New Roman"/>
                <w:snapToGrid w:val="0"/>
                <w:color w:val="auto"/>
                <w:sz w:val="32"/>
                <w:szCs w:val="32"/>
                <w:highlight w:val="none"/>
                <w:lang w:eastAsia="zh-CN"/>
              </w:rPr>
              <w:t>补助</w:t>
            </w:r>
            <w:r>
              <w:rPr>
                <w:rFonts w:hint="default" w:ascii="Times New Roman" w:hAnsi="Times New Roman" w:eastAsia="仿宋_GB2312" w:cs="Times New Roman"/>
                <w:snapToGrid w:val="0"/>
                <w:color w:val="auto"/>
                <w:sz w:val="32"/>
                <w:szCs w:val="32"/>
                <w:highlight w:val="none"/>
              </w:rPr>
              <w:t>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37"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1</w:t>
            </w:r>
          </w:p>
        </w:tc>
        <w:tc>
          <w:tcPr>
            <w:tcW w:w="2949"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科技研发与信息支撑项目</w:t>
            </w:r>
          </w:p>
        </w:tc>
        <w:tc>
          <w:tcPr>
            <w:tcW w:w="2161"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50%</w:t>
            </w:r>
          </w:p>
        </w:tc>
        <w:tc>
          <w:tcPr>
            <w:tcW w:w="207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40%</w:t>
            </w:r>
          </w:p>
        </w:tc>
        <w:tc>
          <w:tcPr>
            <w:tcW w:w="213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837"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2</w:t>
            </w:r>
          </w:p>
        </w:tc>
        <w:tc>
          <w:tcPr>
            <w:tcW w:w="2949"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产业融合项目</w:t>
            </w:r>
          </w:p>
        </w:tc>
        <w:tc>
          <w:tcPr>
            <w:tcW w:w="2161"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50%</w:t>
            </w:r>
          </w:p>
        </w:tc>
        <w:tc>
          <w:tcPr>
            <w:tcW w:w="207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40%</w:t>
            </w:r>
          </w:p>
        </w:tc>
        <w:tc>
          <w:tcPr>
            <w:tcW w:w="213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786" w:type="dxa"/>
            <w:gridSpan w:val="2"/>
            <w:noWrap w:val="0"/>
            <w:vAlign w:val="center"/>
          </w:tcPr>
          <w:p>
            <w:pPr>
              <w:spacing w:line="360" w:lineRule="exact"/>
              <w:ind w:firstLine="0" w:firstLineChars="0"/>
              <w:jc w:val="left"/>
              <w:rPr>
                <w:rFonts w:hint="default" w:ascii="Times New Roman" w:hAnsi="Times New Roman" w:eastAsia="仿宋_GB2312" w:cs="Times New Roman"/>
                <w:snapToGrid w:val="0"/>
                <w:color w:val="auto"/>
                <w:sz w:val="32"/>
                <w:szCs w:val="32"/>
                <w:highlight w:val="none"/>
              </w:rPr>
            </w:pPr>
            <w:r>
              <w:rPr>
                <w:rFonts w:hint="eastAsia" w:ascii="Times New Roman" w:hAnsi="Times New Roman" w:cs="Times New Roman"/>
                <w:snapToGrid w:val="0"/>
                <w:color w:val="auto"/>
                <w:sz w:val="32"/>
                <w:szCs w:val="32"/>
                <w:highlight w:val="none"/>
                <w:lang w:val="en-US" w:eastAsia="zh-CN"/>
              </w:rPr>
              <w:t xml:space="preserve"> </w:t>
            </w:r>
            <w:r>
              <w:rPr>
                <w:rFonts w:hint="default" w:ascii="Times New Roman" w:hAnsi="Times New Roman" w:eastAsia="仿宋_GB2312" w:cs="Times New Roman"/>
                <w:snapToGrid w:val="0"/>
                <w:color w:val="auto"/>
                <w:sz w:val="32"/>
                <w:szCs w:val="32"/>
                <w:highlight w:val="none"/>
              </w:rPr>
              <w:t>3</w:t>
            </w:r>
            <w:r>
              <w:rPr>
                <w:rFonts w:hint="eastAsia" w:ascii="Times New Roman" w:hAnsi="Times New Roman" w:cs="Times New Roman"/>
                <w:snapToGrid w:val="0"/>
                <w:color w:val="auto"/>
                <w:sz w:val="32"/>
                <w:szCs w:val="32"/>
                <w:highlight w:val="none"/>
                <w:lang w:val="en-US" w:eastAsia="zh-CN"/>
              </w:rPr>
              <w:t xml:space="preserve"> </w:t>
            </w:r>
            <w:r>
              <w:rPr>
                <w:rFonts w:hint="default" w:ascii="Times New Roman" w:hAnsi="Times New Roman" w:eastAsia="仿宋_GB2312" w:cs="Times New Roman"/>
                <w:snapToGrid w:val="0"/>
                <w:color w:val="auto"/>
                <w:sz w:val="32"/>
                <w:szCs w:val="32"/>
                <w:highlight w:val="none"/>
              </w:rPr>
              <w:t>农业设施</w:t>
            </w:r>
            <w:r>
              <w:rPr>
                <w:rFonts w:hint="eastAsia" w:ascii="Times New Roman" w:hAnsi="Times New Roman" w:cs="Times New Roman"/>
                <w:snapToGrid w:val="0"/>
                <w:color w:val="auto"/>
                <w:sz w:val="32"/>
                <w:szCs w:val="32"/>
                <w:highlight w:val="none"/>
                <w:lang w:eastAsia="zh-CN"/>
              </w:rPr>
              <w:t>及生态设施</w:t>
            </w:r>
            <w:r>
              <w:rPr>
                <w:rFonts w:hint="default" w:ascii="Times New Roman" w:hAnsi="Times New Roman" w:eastAsia="仿宋_GB2312" w:cs="Times New Roman"/>
                <w:snapToGrid w:val="0"/>
                <w:color w:val="auto"/>
                <w:sz w:val="32"/>
                <w:szCs w:val="32"/>
                <w:highlight w:val="none"/>
              </w:rPr>
              <w:t>项目</w:t>
            </w:r>
          </w:p>
        </w:tc>
        <w:tc>
          <w:tcPr>
            <w:tcW w:w="2161"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50%</w:t>
            </w:r>
          </w:p>
        </w:tc>
        <w:tc>
          <w:tcPr>
            <w:tcW w:w="207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40%</w:t>
            </w:r>
          </w:p>
        </w:tc>
        <w:tc>
          <w:tcPr>
            <w:tcW w:w="213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837"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3.1</w:t>
            </w:r>
          </w:p>
        </w:tc>
        <w:tc>
          <w:tcPr>
            <w:tcW w:w="2949"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农业设施项目（标准温室）</w:t>
            </w:r>
          </w:p>
        </w:tc>
        <w:tc>
          <w:tcPr>
            <w:tcW w:w="2161"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8万/亩</w:t>
            </w:r>
          </w:p>
        </w:tc>
        <w:tc>
          <w:tcPr>
            <w:tcW w:w="207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7万/亩</w:t>
            </w:r>
          </w:p>
        </w:tc>
        <w:tc>
          <w:tcPr>
            <w:tcW w:w="213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6万/亩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7"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3.2</w:t>
            </w:r>
          </w:p>
        </w:tc>
        <w:tc>
          <w:tcPr>
            <w:tcW w:w="2949"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农业设施项目（玻璃温室）</w:t>
            </w:r>
          </w:p>
        </w:tc>
        <w:tc>
          <w:tcPr>
            <w:tcW w:w="2161"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10万/亩</w:t>
            </w:r>
          </w:p>
        </w:tc>
        <w:tc>
          <w:tcPr>
            <w:tcW w:w="207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lang w:val="en-US" w:eastAsia="zh-CN"/>
              </w:rPr>
              <w:t>9</w:t>
            </w:r>
            <w:r>
              <w:rPr>
                <w:rFonts w:hint="default" w:ascii="Times New Roman" w:hAnsi="Times New Roman" w:eastAsia="仿宋_GB2312" w:cs="Times New Roman"/>
                <w:snapToGrid w:val="0"/>
                <w:color w:val="auto"/>
                <w:sz w:val="32"/>
                <w:szCs w:val="32"/>
                <w:highlight w:val="none"/>
              </w:rPr>
              <w:t>万/亩</w:t>
            </w:r>
          </w:p>
        </w:tc>
        <w:tc>
          <w:tcPr>
            <w:tcW w:w="213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lang w:val="en-US" w:eastAsia="zh-CN"/>
              </w:rPr>
              <w:t>8</w:t>
            </w:r>
            <w:r>
              <w:rPr>
                <w:rFonts w:hint="default" w:ascii="Times New Roman" w:hAnsi="Times New Roman" w:eastAsia="仿宋_GB2312" w:cs="Times New Roman"/>
                <w:snapToGrid w:val="0"/>
                <w:color w:val="auto"/>
                <w:sz w:val="32"/>
                <w:szCs w:val="32"/>
                <w:highlight w:val="none"/>
              </w:rPr>
              <w:t>万/亩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37"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3.3</w:t>
            </w:r>
          </w:p>
        </w:tc>
        <w:tc>
          <w:tcPr>
            <w:tcW w:w="2949"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lang w:eastAsia="zh-CN"/>
              </w:rPr>
              <w:t>现代化</w:t>
            </w:r>
            <w:r>
              <w:rPr>
                <w:rFonts w:hint="default" w:ascii="Times New Roman" w:hAnsi="Times New Roman" w:eastAsia="仿宋_GB2312" w:cs="Times New Roman"/>
                <w:snapToGrid w:val="0"/>
                <w:color w:val="auto"/>
                <w:sz w:val="32"/>
                <w:szCs w:val="32"/>
                <w:highlight w:val="none"/>
              </w:rPr>
              <w:t>养殖</w:t>
            </w:r>
            <w:r>
              <w:rPr>
                <w:rFonts w:hint="default" w:ascii="Times New Roman" w:hAnsi="Times New Roman" w:eastAsia="仿宋_GB2312" w:cs="Times New Roman"/>
                <w:snapToGrid w:val="0"/>
                <w:color w:val="auto"/>
                <w:sz w:val="32"/>
                <w:szCs w:val="32"/>
                <w:highlight w:val="none"/>
                <w:lang w:eastAsia="zh-CN"/>
              </w:rPr>
              <w:t>设施</w:t>
            </w:r>
            <w:r>
              <w:rPr>
                <w:rFonts w:hint="default" w:ascii="Times New Roman" w:hAnsi="Times New Roman" w:eastAsia="仿宋_GB2312" w:cs="Times New Roman"/>
                <w:snapToGrid w:val="0"/>
                <w:color w:val="auto"/>
                <w:sz w:val="32"/>
                <w:szCs w:val="32"/>
                <w:highlight w:val="none"/>
              </w:rPr>
              <w:t>（</w:t>
            </w:r>
            <w:r>
              <w:rPr>
                <w:rFonts w:hint="default" w:ascii="Times New Roman" w:hAnsi="Times New Roman" w:eastAsia="仿宋_GB2312" w:cs="Times New Roman"/>
                <w:snapToGrid w:val="0"/>
                <w:color w:val="auto"/>
                <w:sz w:val="32"/>
                <w:szCs w:val="32"/>
                <w:highlight w:val="none"/>
                <w:lang w:eastAsia="zh-CN"/>
              </w:rPr>
              <w:t>集装箱、</w:t>
            </w:r>
            <w:r>
              <w:rPr>
                <w:rFonts w:hint="default" w:ascii="Times New Roman" w:hAnsi="Times New Roman" w:eastAsia="仿宋_GB2312" w:cs="Times New Roman"/>
                <w:snapToGrid w:val="0"/>
                <w:color w:val="auto"/>
                <w:sz w:val="32"/>
                <w:szCs w:val="32"/>
                <w:highlight w:val="none"/>
              </w:rPr>
              <w:t>圆桶</w:t>
            </w:r>
            <w:r>
              <w:rPr>
                <w:rFonts w:hint="default" w:ascii="Times New Roman" w:hAnsi="Times New Roman" w:eastAsia="仿宋_GB2312" w:cs="Times New Roman"/>
                <w:snapToGrid w:val="0"/>
                <w:color w:val="auto"/>
                <w:sz w:val="32"/>
                <w:szCs w:val="32"/>
                <w:highlight w:val="none"/>
                <w:lang w:eastAsia="zh-CN"/>
              </w:rPr>
              <w:t>等，圆桶深度≥</w:t>
            </w:r>
            <w:r>
              <w:rPr>
                <w:rFonts w:hint="default" w:ascii="Times New Roman" w:hAnsi="Times New Roman" w:eastAsia="仿宋_GB2312" w:cs="Times New Roman"/>
                <w:snapToGrid w:val="0"/>
                <w:color w:val="auto"/>
                <w:sz w:val="32"/>
                <w:szCs w:val="32"/>
                <w:highlight w:val="none"/>
                <w:lang w:val="en-US" w:eastAsia="zh-CN"/>
              </w:rPr>
              <w:t>1.3米</w:t>
            </w:r>
            <w:r>
              <w:rPr>
                <w:rFonts w:hint="default" w:ascii="Times New Roman" w:hAnsi="Times New Roman" w:eastAsia="仿宋_GB2312" w:cs="Times New Roman"/>
                <w:snapToGrid w:val="0"/>
                <w:color w:val="auto"/>
                <w:sz w:val="32"/>
                <w:szCs w:val="32"/>
                <w:highlight w:val="none"/>
              </w:rPr>
              <w:t>）</w:t>
            </w:r>
          </w:p>
        </w:tc>
        <w:tc>
          <w:tcPr>
            <w:tcW w:w="2161"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600元/平米</w:t>
            </w:r>
          </w:p>
        </w:tc>
        <w:tc>
          <w:tcPr>
            <w:tcW w:w="207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500元/平米</w:t>
            </w:r>
          </w:p>
        </w:tc>
        <w:tc>
          <w:tcPr>
            <w:tcW w:w="2130" w:type="dxa"/>
            <w:noWrap w:val="0"/>
            <w:vAlign w:val="center"/>
          </w:tcPr>
          <w:p>
            <w:pPr>
              <w:spacing w:line="360" w:lineRule="exact"/>
              <w:jc w:val="center"/>
              <w:rPr>
                <w:rFonts w:hint="default" w:ascii="Times New Roman" w:hAnsi="Times New Roman" w:eastAsia="仿宋_GB2312" w:cs="Times New Roman"/>
                <w:snapToGrid w:val="0"/>
                <w:color w:val="auto"/>
                <w:sz w:val="32"/>
                <w:szCs w:val="32"/>
                <w:highlight w:val="none"/>
              </w:rPr>
            </w:pPr>
            <w:r>
              <w:rPr>
                <w:rFonts w:hint="default" w:ascii="Times New Roman" w:hAnsi="Times New Roman" w:eastAsia="仿宋_GB2312" w:cs="Times New Roman"/>
                <w:snapToGrid w:val="0"/>
                <w:color w:val="auto"/>
                <w:sz w:val="32"/>
                <w:szCs w:val="32"/>
                <w:highlight w:val="none"/>
              </w:rPr>
              <w:t>400元/平米</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（三）项目建设完成后，实施主体整理项目建设材料，向项目所在辖区镇（街道）农业主管部门提出项目验收申请。</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项目所在镇（街道）农业主管部门收到验收申请后，进行初验，对通过初验的项目加具意见后向区农业农村局提出申请，区农业农村局组织第三方对项目进行验收和核定审价。验收内容包括入库项目合同履行情况、项目入库申报方案完成情况、资金支出情况核实和项目绩效完成情况等最终核定项目补助金额。核定金额不能超过签订合同约定的项目补助金额上限。</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验收评价结论分为</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优秀</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合格</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和</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不合格</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3个级别。验收结论为</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优秀</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级别的项目，按核定项目补助资金100%比例拨付；验收结论为</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合格</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级别的项目按80%比例拨付；验收结论为</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不合格</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级别的项目，经验收评审专家</w:t>
      </w:r>
      <w:r>
        <w:rPr>
          <w:rFonts w:hint="eastAsia" w:ascii="Times New Roman" w:hAnsi="Times New Roman" w:eastAsia="仿宋_GB2312" w:cs="Times New Roman"/>
          <w:color w:val="auto"/>
          <w:spacing w:val="0"/>
          <w:sz w:val="32"/>
          <w:szCs w:val="32"/>
          <w:highlight w:val="none"/>
          <w:lang w:val="en-US" w:eastAsia="zh-CN"/>
        </w:rPr>
        <w:t>组</w:t>
      </w:r>
      <w:r>
        <w:rPr>
          <w:rFonts w:hint="default" w:ascii="Times New Roman" w:hAnsi="Times New Roman" w:eastAsia="仿宋_GB2312" w:cs="Times New Roman"/>
          <w:color w:val="auto"/>
          <w:spacing w:val="0"/>
          <w:sz w:val="32"/>
          <w:szCs w:val="32"/>
          <w:highlight w:val="none"/>
          <w:lang w:val="en-US" w:eastAsia="zh-CN"/>
        </w:rPr>
        <w:t>同意后，允许实施主体在</w:t>
      </w:r>
      <w:r>
        <w:rPr>
          <w:rFonts w:hint="eastAsia" w:ascii="Times New Roman" w:hAnsi="Times New Roman" w:eastAsia="仿宋_GB2312" w:cs="Times New Roman"/>
          <w:color w:val="auto"/>
          <w:spacing w:val="0"/>
          <w:sz w:val="32"/>
          <w:szCs w:val="32"/>
          <w:highlight w:val="none"/>
          <w:lang w:val="en-US" w:eastAsia="zh-CN"/>
        </w:rPr>
        <w:t>60</w:t>
      </w:r>
      <w:r>
        <w:rPr>
          <w:rFonts w:hint="default" w:ascii="Times New Roman" w:hAnsi="Times New Roman" w:eastAsia="仿宋_GB2312" w:cs="Times New Roman"/>
          <w:color w:val="auto"/>
          <w:spacing w:val="0"/>
          <w:sz w:val="32"/>
          <w:szCs w:val="32"/>
          <w:highlight w:val="none"/>
          <w:lang w:val="en-US" w:eastAsia="zh-CN"/>
        </w:rPr>
        <w:t>个自然日的整改期限内进行整改，整改后可重新进行验收，超过整改期限未完成整改的或重新验收仍不合格的不予拨付。由</w:t>
      </w:r>
      <w:r>
        <w:rPr>
          <w:rFonts w:hint="eastAsia" w:ascii="Times New Roman" w:hAnsi="Times New Roman" w:eastAsia="仿宋_GB2312" w:cs="Times New Roman"/>
          <w:color w:val="auto"/>
          <w:spacing w:val="0"/>
          <w:sz w:val="32"/>
          <w:szCs w:val="32"/>
          <w:highlight w:val="none"/>
          <w:lang w:val="en-US" w:eastAsia="zh-CN"/>
        </w:rPr>
        <w:t>区农业农村局或</w:t>
      </w:r>
      <w:r>
        <w:rPr>
          <w:rFonts w:hint="default" w:ascii="Times New Roman" w:hAnsi="Times New Roman" w:eastAsia="仿宋_GB2312" w:cs="Times New Roman"/>
          <w:color w:val="auto"/>
          <w:spacing w:val="0"/>
          <w:sz w:val="32"/>
          <w:szCs w:val="32"/>
          <w:highlight w:val="none"/>
          <w:lang w:val="en-US" w:eastAsia="zh-CN"/>
        </w:rPr>
        <w:t>镇（街道）根据最终核算出的奖补资金拨付到相关实施主体</w:t>
      </w:r>
      <w:r>
        <w:rPr>
          <w:rFonts w:hint="eastAsia" w:ascii="Times New Roman" w:hAnsi="Times New Roman" w:eastAsia="仿宋_GB2312" w:cs="Times New Roman"/>
          <w:color w:val="auto"/>
          <w:spacing w:val="0"/>
          <w:sz w:val="32"/>
          <w:szCs w:val="32"/>
          <w:highlight w:val="none"/>
          <w:lang w:val="en-US" w:eastAsia="zh-CN"/>
        </w:rPr>
        <w:t>，其中</w:t>
      </w:r>
      <w:r>
        <w:rPr>
          <w:rFonts w:hint="default" w:ascii="Times New Roman" w:hAnsi="Times New Roman" w:eastAsia="仿宋_GB2312" w:cs="Times New Roman"/>
          <w:color w:val="auto"/>
          <w:spacing w:val="0"/>
          <w:sz w:val="32"/>
          <w:szCs w:val="32"/>
          <w:highlight w:val="none"/>
          <w:lang w:val="en-US" w:eastAsia="zh-CN"/>
        </w:rPr>
        <w:t>项目所在镇（街道）存在市、区（</w:t>
      </w:r>
      <w:r>
        <w:rPr>
          <w:rFonts w:hint="eastAsia" w:ascii="Times New Roman" w:hAnsi="Times New Roman" w:eastAsia="仿宋_GB2312" w:cs="Times New Roman"/>
          <w:color w:val="auto"/>
          <w:spacing w:val="0"/>
          <w:sz w:val="32"/>
          <w:szCs w:val="32"/>
          <w:highlight w:val="none"/>
          <w:lang w:val="en-US" w:eastAsia="zh-CN"/>
        </w:rPr>
        <w:t>镇街</w:t>
      </w:r>
      <w:r>
        <w:rPr>
          <w:rFonts w:hint="default" w:ascii="Times New Roman" w:hAnsi="Times New Roman" w:eastAsia="仿宋_GB2312" w:cs="Times New Roman"/>
          <w:color w:val="auto"/>
          <w:spacing w:val="0"/>
          <w:sz w:val="32"/>
          <w:szCs w:val="32"/>
          <w:highlight w:val="none"/>
          <w:lang w:val="en-US" w:eastAsia="zh-CN"/>
        </w:rPr>
        <w:t>）下达专项用于我区产业园建设的财政资金结余，由镇（街道）拨付至项目实施主体，缺额的部分由区农业农村局拨付；项目所在镇（街道）无财政资金结余，由区农业农村局</w:t>
      </w:r>
      <w:r>
        <w:rPr>
          <w:rFonts w:hint="eastAsia" w:ascii="Times New Roman" w:hAnsi="Times New Roman" w:eastAsia="仿宋_GB2312" w:cs="Times New Roman"/>
          <w:color w:val="auto"/>
          <w:spacing w:val="0"/>
          <w:sz w:val="32"/>
          <w:szCs w:val="32"/>
          <w:highlight w:val="none"/>
          <w:lang w:val="en-US" w:eastAsia="zh-CN"/>
        </w:rPr>
        <w:t>直接</w:t>
      </w:r>
      <w:r>
        <w:rPr>
          <w:rFonts w:hint="default" w:ascii="Times New Roman" w:hAnsi="Times New Roman" w:eastAsia="仿宋_GB2312" w:cs="Times New Roman"/>
          <w:color w:val="auto"/>
          <w:spacing w:val="0"/>
          <w:sz w:val="32"/>
          <w:szCs w:val="32"/>
          <w:highlight w:val="none"/>
          <w:lang w:val="en-US" w:eastAsia="zh-CN"/>
        </w:rPr>
        <w:t>拨付至项目实施主体。</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建立</w:t>
      </w:r>
      <w:r>
        <w:rPr>
          <w:rFonts w:hint="eastAsia" w:ascii="Times New Roman" w:hAnsi="Times New Roman" w:eastAsia="仿宋_GB2312" w:cs="Times New Roman"/>
          <w:b w:val="0"/>
          <w:bCs w:val="0"/>
          <w:snapToGrid w:val="0"/>
          <w:color w:val="auto"/>
          <w:spacing w:val="0"/>
          <w:kern w:val="0"/>
          <w:sz w:val="32"/>
          <w:szCs w:val="32"/>
          <w:highlight w:val="none"/>
          <w:lang w:val="en-US" w:eastAsia="zh-CN"/>
        </w:rPr>
        <w:t>“</w:t>
      </w:r>
      <w:r>
        <w:rPr>
          <w:rFonts w:hint="default" w:ascii="Times New Roman" w:hAnsi="Times New Roman" w:eastAsia="仿宋_GB2312" w:cs="Times New Roman"/>
          <w:b w:val="0"/>
          <w:bCs w:val="0"/>
          <w:snapToGrid w:val="0"/>
          <w:color w:val="auto"/>
          <w:spacing w:val="0"/>
          <w:kern w:val="0"/>
          <w:sz w:val="32"/>
          <w:szCs w:val="32"/>
          <w:highlight w:val="none"/>
          <w:lang w:val="en-US" w:eastAsia="zh-CN"/>
        </w:rPr>
        <w:t>一项目一档案</w:t>
      </w:r>
      <w:r>
        <w:rPr>
          <w:rFonts w:hint="eastAsia" w:ascii="Times New Roman" w:hAnsi="Times New Roman" w:eastAsia="仿宋_GB2312" w:cs="Times New Roman"/>
          <w:b w:val="0"/>
          <w:bCs w:val="0"/>
          <w:snapToGrid w:val="0"/>
          <w:color w:val="auto"/>
          <w:spacing w:val="0"/>
          <w:kern w:val="0"/>
          <w:sz w:val="32"/>
          <w:szCs w:val="32"/>
          <w:highlight w:val="none"/>
          <w:lang w:val="en-US" w:eastAsia="zh-CN"/>
        </w:rPr>
        <w:t>”</w:t>
      </w:r>
      <w:r>
        <w:rPr>
          <w:rFonts w:hint="default" w:ascii="Times New Roman" w:hAnsi="Times New Roman" w:eastAsia="仿宋_GB2312" w:cs="Times New Roman"/>
          <w:b w:val="0"/>
          <w:bCs w:val="0"/>
          <w:snapToGrid w:val="0"/>
          <w:color w:val="auto"/>
          <w:spacing w:val="0"/>
          <w:kern w:val="0"/>
          <w:sz w:val="32"/>
          <w:szCs w:val="32"/>
          <w:highlight w:val="none"/>
          <w:lang w:val="en-US" w:eastAsia="zh-CN"/>
        </w:rPr>
        <w:t>制度。项目实施单位要将项目建设相关资料（如：项目可行性研究、环评、申报、批复、资金下拨、实施方案、立项申请书、招标文件、施工合同、监理报告、验收清单、支付凭证、验收报告、绩效评价报告、审计报告等资料以上为非必须提供资料，供参考）及时归档，以备监督检查。</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已获得其它财政扶持资金的项目不再享受本办法财政补助资金扶持。</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jc w:val="center"/>
        <w:textAlignment w:val="auto"/>
        <w:outlineLvl w:val="9"/>
        <w:rPr>
          <w:rFonts w:hint="default" w:ascii="Times New Roman" w:hAnsi="Times New Roman" w:eastAsia="黑体" w:cs="Times New Roman"/>
          <w:b w:val="0"/>
          <w:bCs w:val="0"/>
          <w:color w:val="auto"/>
          <w:spacing w:val="0"/>
          <w:sz w:val="32"/>
          <w:szCs w:val="32"/>
          <w:highlight w:val="none"/>
          <w:lang w:val="en-US" w:eastAsia="zh-CN"/>
        </w:rPr>
      </w:pPr>
      <w:r>
        <w:rPr>
          <w:rFonts w:hint="default" w:ascii="Times New Roman" w:hAnsi="Times New Roman" w:eastAsia="黑体" w:cs="Times New Roman"/>
          <w:b w:val="0"/>
          <w:bCs w:val="0"/>
          <w:color w:val="auto"/>
          <w:spacing w:val="0"/>
          <w:sz w:val="32"/>
          <w:szCs w:val="32"/>
          <w:highlight w:val="none"/>
          <w:lang w:val="en-US" w:eastAsia="zh-CN"/>
        </w:rPr>
        <w:t>资金监管及绩效</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资金按照以下权责进行管理：</w:t>
      </w:r>
    </w:p>
    <w:p>
      <w:pPr>
        <w:pStyle w:val="3"/>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镇人民政府（街道办事处）负责本辖区产业园建设统筹推进、组织管理，制定辖区内公益类项目资金使用方案，协调指导各实施主体制定企业类项目资金使用方案；拨付奖补资金，负责做好辖区内财政资金使用监督检查、绩效评价和审计工作，加强事中、事后监管和预防职务犯罪等工作。</w:t>
      </w:r>
    </w:p>
    <w:p>
      <w:pPr>
        <w:pStyle w:val="3"/>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区农业农村局负责遴选实施主体、审批或制定公益类资金使用方案；组织项目建设、监督管理、评审验收、下达奖补资金、拨付奖补资金、资料归档等具体业务，并对发现的问题及时制定整改措施并督促落实，做好组织协调工作。</w:t>
      </w:r>
    </w:p>
    <w:p>
      <w:pPr>
        <w:pStyle w:val="3"/>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各实施主体结合自身发展需求，遵守产业园建设管理规定</w:t>
      </w:r>
      <w:r>
        <w:rPr>
          <w:rFonts w:hint="eastAsia" w:ascii="Times New Roman" w:hAnsi="Times New Roman" w:eastAsia="仿宋_GB2312" w:cs="Times New Roman"/>
          <w:b w:val="0"/>
          <w:bCs w:val="0"/>
          <w:snapToGrid w:val="0"/>
          <w:color w:val="auto"/>
          <w:spacing w:val="0"/>
          <w:kern w:val="0"/>
          <w:sz w:val="32"/>
          <w:szCs w:val="32"/>
          <w:highlight w:val="none"/>
          <w:lang w:val="en-US" w:eastAsia="zh-CN"/>
        </w:rPr>
        <w:t>，</w:t>
      </w:r>
      <w:r>
        <w:rPr>
          <w:rFonts w:hint="default" w:ascii="Times New Roman" w:hAnsi="Times New Roman" w:eastAsia="仿宋_GB2312" w:cs="Times New Roman"/>
          <w:b w:val="0"/>
          <w:bCs w:val="0"/>
          <w:snapToGrid w:val="0"/>
          <w:color w:val="auto"/>
          <w:spacing w:val="0"/>
          <w:kern w:val="0"/>
          <w:sz w:val="32"/>
          <w:szCs w:val="32"/>
          <w:highlight w:val="none"/>
          <w:lang w:val="en-US" w:eastAsia="zh-CN"/>
        </w:rPr>
        <w:t>依法依规组织开展项目实施。在实施过程中，接受有关部门督促指导，确保项目建设进度和质量，按时完成建设任务，对于未有正当理由严重拖慢项目进度和项目款支付的实施主体</w:t>
      </w:r>
      <w:r>
        <w:rPr>
          <w:rFonts w:hint="eastAsia" w:ascii="Times New Roman" w:hAnsi="Times New Roman" w:eastAsia="仿宋_GB2312" w:cs="Times New Roman"/>
          <w:b w:val="0"/>
          <w:bCs w:val="0"/>
          <w:snapToGrid w:val="0"/>
          <w:color w:val="auto"/>
          <w:spacing w:val="0"/>
          <w:kern w:val="0"/>
          <w:sz w:val="32"/>
          <w:szCs w:val="32"/>
          <w:highlight w:val="none"/>
          <w:lang w:val="en-US" w:eastAsia="zh-CN"/>
        </w:rPr>
        <w:t>视</w:t>
      </w:r>
      <w:r>
        <w:rPr>
          <w:rFonts w:hint="default" w:ascii="Times New Roman" w:hAnsi="Times New Roman" w:eastAsia="仿宋_GB2312" w:cs="Times New Roman"/>
          <w:b w:val="0"/>
          <w:bCs w:val="0"/>
          <w:snapToGrid w:val="0"/>
          <w:color w:val="auto"/>
          <w:spacing w:val="0"/>
          <w:kern w:val="0"/>
          <w:sz w:val="32"/>
          <w:szCs w:val="32"/>
          <w:highlight w:val="none"/>
          <w:lang w:val="en-US" w:eastAsia="zh-CN"/>
        </w:rPr>
        <w:t>情况予以取消实施主体资格。要做好项目全过程中材料总结、自我考评、归档备案等工作，定期向区农业农村局提交建设进度及资金使用情况等材料。</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加强项目建设过程监管。建立健全项目库管理信息，各实施主体每月末将项目建设情况报项目所在辖区镇（街道）农业主管部门。镇（街道）农业主管部门加强日常监管，掌握建设进度，并于项目建设期间开展督导检查。</w:t>
      </w:r>
      <w:r>
        <w:rPr>
          <w:rFonts w:hint="eastAsia" w:ascii="Times New Roman" w:hAnsi="Times New Roman" w:eastAsia="仿宋_GB2312" w:cs="Times New Roman"/>
          <w:b w:val="0"/>
          <w:bCs w:val="0"/>
          <w:snapToGrid w:val="0"/>
          <w:color w:val="auto"/>
          <w:spacing w:val="0"/>
          <w:kern w:val="0"/>
          <w:sz w:val="32"/>
          <w:szCs w:val="32"/>
          <w:highlight w:val="none"/>
          <w:lang w:val="en-US" w:eastAsia="zh-CN"/>
        </w:rPr>
        <w:t>项目建设期间，区农业农村局或</w:t>
      </w:r>
      <w:r>
        <w:rPr>
          <w:rFonts w:hint="default" w:ascii="Times New Roman" w:hAnsi="Times New Roman" w:eastAsia="仿宋_GB2312" w:cs="Times New Roman"/>
          <w:b w:val="0"/>
          <w:bCs w:val="0"/>
          <w:snapToGrid w:val="0"/>
          <w:color w:val="auto"/>
          <w:spacing w:val="0"/>
          <w:kern w:val="0"/>
          <w:sz w:val="32"/>
          <w:szCs w:val="32"/>
          <w:highlight w:val="none"/>
          <w:lang w:val="en-US" w:eastAsia="zh-CN"/>
        </w:rPr>
        <w:t>项目所在辖区镇（街道）农业主管部门</w:t>
      </w:r>
      <w:r>
        <w:rPr>
          <w:rFonts w:hint="eastAsia" w:ascii="Times New Roman" w:hAnsi="Times New Roman" w:eastAsia="仿宋_GB2312" w:cs="Times New Roman"/>
          <w:b w:val="0"/>
          <w:bCs w:val="0"/>
          <w:snapToGrid w:val="0"/>
          <w:color w:val="auto"/>
          <w:spacing w:val="0"/>
          <w:kern w:val="0"/>
          <w:sz w:val="32"/>
          <w:szCs w:val="32"/>
          <w:highlight w:val="none"/>
          <w:lang w:val="en-US" w:eastAsia="zh-CN"/>
        </w:rPr>
        <w:t>每季度进行一次实地核查。</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77" w:firstLineChars="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lang w:val="en-US" w:eastAsia="zh-CN"/>
        </w:rPr>
        <w:t>对违反财政资金使用管理有关规定特别是弄虚作假骗取、蓄意抬高项目投资及挤占挪用财政资金等严重违法违规行为的实施主体，取消其实施主体资格，按规定收回该项目的财政补助资金，并禁止相关企业及法人申报财政资金项目。</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jc w:val="both"/>
        <w:textAlignment w:val="auto"/>
        <w:outlineLvl w:val="9"/>
        <w:rPr>
          <w:rFonts w:hint="default" w:ascii="Times New Roman" w:hAnsi="Times New Roman" w:eastAsia="仿宋_GB2312" w:cs="Times New Roman"/>
          <w:b w:val="0"/>
          <w:bCs w:val="0"/>
          <w:snapToGrid w:val="0"/>
          <w:color w:val="auto"/>
          <w:spacing w:val="0"/>
          <w:kern w:val="0"/>
          <w:sz w:val="32"/>
          <w:szCs w:val="32"/>
          <w:highlight w:val="none"/>
          <w:lang w:val="en-US" w:eastAsia="zh-CN"/>
        </w:rPr>
      </w:pPr>
    </w:p>
    <w:p>
      <w:pPr>
        <w:pStyle w:val="9"/>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outlineLvl w:val="9"/>
        <w:rPr>
          <w:rFonts w:hint="default" w:ascii="Times New Roman" w:hAnsi="Times New Roman" w:eastAsia="黑体" w:cs="Times New Roman"/>
          <w:snapToGrid w:val="0"/>
          <w:color w:val="auto"/>
          <w:kern w:val="0"/>
          <w:highlight w:val="none"/>
        </w:rPr>
      </w:pPr>
      <w:r>
        <w:rPr>
          <w:rFonts w:hint="default" w:ascii="Times New Roman" w:hAnsi="Times New Roman" w:eastAsia="黑体" w:cs="Times New Roman"/>
          <w:snapToGrid w:val="0"/>
          <w:color w:val="auto"/>
          <w:kern w:val="0"/>
          <w:highlight w:val="none"/>
        </w:rPr>
        <w:t>第</w:t>
      </w:r>
      <w:r>
        <w:rPr>
          <w:rFonts w:hint="default" w:ascii="Times New Roman" w:hAnsi="Times New Roman" w:eastAsia="黑体" w:cs="Times New Roman"/>
          <w:snapToGrid w:val="0"/>
          <w:color w:val="auto"/>
          <w:kern w:val="0"/>
          <w:highlight w:val="none"/>
          <w:lang w:eastAsia="zh-CN"/>
        </w:rPr>
        <w:t>五</w:t>
      </w:r>
      <w:r>
        <w:rPr>
          <w:rFonts w:hint="default" w:ascii="Times New Roman" w:hAnsi="Times New Roman" w:eastAsia="黑体" w:cs="Times New Roman"/>
          <w:snapToGrid w:val="0"/>
          <w:color w:val="auto"/>
          <w:kern w:val="0"/>
          <w:highlight w:val="none"/>
        </w:rPr>
        <w:t>章 附  则</w:t>
      </w:r>
    </w:p>
    <w:p>
      <w:pPr>
        <w:pStyle w:val="9"/>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2" w:firstLineChars="200"/>
        <w:textAlignment w:val="auto"/>
        <w:outlineLvl w:val="9"/>
        <w:rPr>
          <w:rFonts w:hint="default" w:ascii="Times New Roman" w:hAnsi="Times New Roman" w:eastAsia="仿宋_GB2312" w:cs="Times New Roman"/>
          <w:snapToGrid w:val="0"/>
          <w:color w:val="auto"/>
          <w:kern w:val="0"/>
          <w:highlight w:val="none"/>
        </w:rPr>
      </w:pPr>
      <w:r>
        <w:rPr>
          <w:rFonts w:hint="default" w:ascii="Times New Roman" w:hAnsi="Times New Roman" w:eastAsia="仿宋_GB2312" w:cs="Times New Roman"/>
          <w:b/>
          <w:bCs/>
          <w:snapToGrid w:val="0"/>
          <w:color w:val="auto"/>
          <w:kern w:val="0"/>
          <w:highlight w:val="none"/>
        </w:rPr>
        <w:t>第十</w:t>
      </w:r>
      <w:r>
        <w:rPr>
          <w:rFonts w:hint="default" w:ascii="Times New Roman" w:hAnsi="Times New Roman" w:eastAsia="仿宋_GB2312" w:cs="Times New Roman"/>
          <w:b/>
          <w:bCs/>
          <w:snapToGrid w:val="0"/>
          <w:color w:val="auto"/>
          <w:kern w:val="0"/>
          <w:highlight w:val="none"/>
          <w:lang w:eastAsia="zh-CN"/>
        </w:rPr>
        <w:t>八</w:t>
      </w:r>
      <w:r>
        <w:rPr>
          <w:rFonts w:hint="default" w:ascii="Times New Roman" w:hAnsi="Times New Roman" w:eastAsia="仿宋_GB2312" w:cs="Times New Roman"/>
          <w:b/>
          <w:bCs/>
          <w:snapToGrid w:val="0"/>
          <w:color w:val="auto"/>
          <w:kern w:val="0"/>
          <w:highlight w:val="none"/>
        </w:rPr>
        <w:t>条</w:t>
      </w:r>
      <w:r>
        <w:rPr>
          <w:rFonts w:hint="default" w:ascii="Times New Roman" w:hAnsi="Times New Roman" w:eastAsia="仿宋_GB2312" w:cs="Times New Roman"/>
          <w:snapToGrid w:val="0"/>
          <w:color w:val="auto"/>
          <w:kern w:val="0"/>
          <w:highlight w:val="none"/>
        </w:rPr>
        <w:t xml:space="preserve"> 本办法所称</w:t>
      </w:r>
      <w:r>
        <w:rPr>
          <w:rFonts w:hint="eastAsia" w:ascii="Times New Roman" w:hAnsi="Times New Roman" w:eastAsia="仿宋_GB2312" w:cs="Times New Roman"/>
          <w:snapToGrid w:val="0"/>
          <w:color w:val="auto"/>
          <w:kern w:val="0"/>
          <w:highlight w:val="none"/>
          <w:lang w:eastAsia="zh-CN"/>
        </w:rPr>
        <w:t>“</w:t>
      </w:r>
      <w:r>
        <w:rPr>
          <w:rFonts w:hint="default" w:ascii="Times New Roman" w:hAnsi="Times New Roman" w:eastAsia="仿宋_GB2312" w:cs="Times New Roman"/>
          <w:snapToGrid w:val="0"/>
          <w:color w:val="auto"/>
          <w:kern w:val="0"/>
          <w:highlight w:val="none"/>
        </w:rPr>
        <w:t>最高</w:t>
      </w:r>
      <w:r>
        <w:rPr>
          <w:rFonts w:hint="eastAsia" w:ascii="Times New Roman" w:hAnsi="Times New Roman" w:eastAsia="仿宋_GB2312" w:cs="Times New Roman"/>
          <w:snapToGrid w:val="0"/>
          <w:color w:val="auto"/>
          <w:kern w:val="0"/>
          <w:highlight w:val="none"/>
          <w:lang w:eastAsia="zh-CN"/>
        </w:rPr>
        <w:t>”</w:t>
      </w:r>
      <w:r>
        <w:rPr>
          <w:rFonts w:hint="default" w:ascii="Times New Roman" w:hAnsi="Times New Roman" w:eastAsia="仿宋_GB2312" w:cs="Times New Roman"/>
          <w:snapToGrid w:val="0"/>
          <w:color w:val="auto"/>
          <w:kern w:val="0"/>
          <w:highlight w:val="none"/>
        </w:rPr>
        <w:t>包括本数。</w:t>
      </w:r>
    </w:p>
    <w:p>
      <w:pPr>
        <w:pStyle w:val="9"/>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2" w:firstLineChars="200"/>
        <w:textAlignment w:val="auto"/>
        <w:outlineLvl w:val="9"/>
        <w:rPr>
          <w:rFonts w:hint="default" w:ascii="Times New Roman" w:hAnsi="Times New Roman" w:eastAsia="仿宋_GB2312" w:cs="Times New Roman"/>
          <w:snapToGrid w:val="0"/>
          <w:color w:val="auto"/>
          <w:spacing w:val="0"/>
          <w:kern w:val="0"/>
          <w:highlight w:val="none"/>
        </w:rPr>
      </w:pPr>
      <w:r>
        <w:rPr>
          <w:rFonts w:hint="default" w:ascii="Times New Roman" w:hAnsi="Times New Roman" w:eastAsia="仿宋_GB2312" w:cs="Times New Roman"/>
          <w:b/>
          <w:bCs/>
          <w:snapToGrid w:val="0"/>
          <w:color w:val="auto"/>
          <w:kern w:val="0"/>
          <w:highlight w:val="none"/>
        </w:rPr>
        <w:t>第十</w:t>
      </w:r>
      <w:r>
        <w:rPr>
          <w:rFonts w:hint="default" w:ascii="Times New Roman" w:hAnsi="Times New Roman" w:eastAsia="仿宋_GB2312" w:cs="Times New Roman"/>
          <w:b/>
          <w:bCs/>
          <w:snapToGrid w:val="0"/>
          <w:color w:val="auto"/>
          <w:kern w:val="0"/>
          <w:highlight w:val="none"/>
          <w:lang w:eastAsia="zh-CN"/>
        </w:rPr>
        <w:t>九</w:t>
      </w:r>
      <w:r>
        <w:rPr>
          <w:rFonts w:hint="default" w:ascii="Times New Roman" w:hAnsi="Times New Roman" w:eastAsia="仿宋_GB2312" w:cs="Times New Roman"/>
          <w:b/>
          <w:bCs/>
          <w:snapToGrid w:val="0"/>
          <w:color w:val="auto"/>
          <w:kern w:val="0"/>
          <w:highlight w:val="none"/>
        </w:rPr>
        <w:t xml:space="preserve">条 </w:t>
      </w:r>
      <w:r>
        <w:rPr>
          <w:rFonts w:hint="default" w:ascii="Times New Roman" w:hAnsi="Times New Roman" w:eastAsia="仿宋_GB2312" w:cs="Times New Roman"/>
          <w:snapToGrid w:val="0"/>
          <w:color w:val="auto"/>
          <w:kern w:val="0"/>
          <w:highlight w:val="none"/>
        </w:rPr>
        <w:t>本办法由</w:t>
      </w:r>
      <w:r>
        <w:rPr>
          <w:rFonts w:hint="default" w:ascii="Times New Roman" w:hAnsi="Times New Roman" w:eastAsia="仿宋_GB2312" w:cs="Times New Roman"/>
          <w:snapToGrid w:val="0"/>
          <w:color w:val="auto"/>
          <w:kern w:val="0"/>
          <w:highlight w:val="none"/>
          <w:lang w:eastAsia="zh-CN"/>
        </w:rPr>
        <w:t>佛山市</w:t>
      </w:r>
      <w:r>
        <w:rPr>
          <w:rFonts w:hint="default" w:ascii="Times New Roman" w:hAnsi="Times New Roman" w:eastAsia="仿宋_GB2312" w:cs="Times New Roman"/>
          <w:snapToGrid w:val="0"/>
          <w:color w:val="auto"/>
          <w:kern w:val="0"/>
          <w:highlight w:val="none"/>
        </w:rPr>
        <w:t>顺德区</w:t>
      </w:r>
      <w:r>
        <w:rPr>
          <w:rFonts w:hint="default" w:ascii="Times New Roman" w:hAnsi="Times New Roman" w:eastAsia="仿宋_GB2312" w:cs="Times New Roman"/>
          <w:snapToGrid w:val="0"/>
          <w:color w:val="auto"/>
          <w:kern w:val="0"/>
          <w:highlight w:val="none"/>
          <w:lang w:eastAsia="zh-CN"/>
        </w:rPr>
        <w:t>农业农村局</w:t>
      </w:r>
      <w:r>
        <w:rPr>
          <w:rFonts w:hint="default" w:ascii="Times New Roman" w:hAnsi="Times New Roman" w:eastAsia="仿宋_GB2312" w:cs="Times New Roman"/>
          <w:snapToGrid w:val="0"/>
          <w:color w:val="auto"/>
          <w:kern w:val="0"/>
          <w:highlight w:val="none"/>
        </w:rPr>
        <w:t>负责解释。</w:t>
      </w:r>
    </w:p>
    <w:p>
      <w:pPr>
        <w:pStyle w:val="9"/>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2" w:firstLineChars="200"/>
        <w:textAlignment w:val="auto"/>
        <w:outlineLvl w:val="9"/>
        <w:rPr>
          <w:rFonts w:hint="default" w:ascii="Times New Roman" w:hAnsi="Times New Roman" w:eastAsia="仿宋_GB2312" w:cs="Times New Roman"/>
          <w:b w:val="0"/>
          <w:bCs w:val="0"/>
          <w:snapToGrid w:val="0"/>
          <w:color w:val="auto"/>
          <w:kern w:val="0"/>
          <w:sz w:val="32"/>
          <w:szCs w:val="32"/>
          <w:highlight w:val="none"/>
          <w:lang w:val="en-US" w:eastAsia="zh-CN"/>
        </w:rPr>
      </w:pPr>
      <w:r>
        <w:rPr>
          <w:rFonts w:hint="default" w:ascii="Times New Roman" w:hAnsi="Times New Roman" w:eastAsia="仿宋_GB2312" w:cs="Times New Roman"/>
          <w:b/>
          <w:bCs/>
          <w:snapToGrid w:val="0"/>
          <w:color w:val="auto"/>
          <w:kern w:val="0"/>
          <w:highlight w:val="none"/>
        </w:rPr>
        <w:t>第</w:t>
      </w:r>
      <w:r>
        <w:rPr>
          <w:rFonts w:hint="default" w:ascii="Times New Roman" w:hAnsi="Times New Roman" w:eastAsia="仿宋_GB2312" w:cs="Times New Roman"/>
          <w:b/>
          <w:bCs/>
          <w:snapToGrid w:val="0"/>
          <w:color w:val="auto"/>
          <w:kern w:val="0"/>
          <w:highlight w:val="none"/>
          <w:lang w:eastAsia="zh-CN"/>
        </w:rPr>
        <w:t>二十</w:t>
      </w:r>
      <w:r>
        <w:rPr>
          <w:rFonts w:hint="default" w:ascii="Times New Roman" w:hAnsi="Times New Roman" w:eastAsia="仿宋_GB2312" w:cs="Times New Roman"/>
          <w:b/>
          <w:bCs/>
          <w:snapToGrid w:val="0"/>
          <w:color w:val="auto"/>
          <w:kern w:val="0"/>
          <w:highlight w:val="none"/>
        </w:rPr>
        <w:t xml:space="preserve">条 </w:t>
      </w:r>
      <w:r>
        <w:rPr>
          <w:rFonts w:hint="default" w:ascii="Times New Roman" w:hAnsi="Times New Roman" w:eastAsia="仿宋_GB2312" w:cs="Times New Roman"/>
          <w:snapToGrid w:val="0"/>
          <w:color w:val="auto"/>
          <w:kern w:val="0"/>
          <w:highlight w:val="none"/>
        </w:rPr>
        <w:t>本办法自</w:t>
      </w:r>
      <w:r>
        <w:rPr>
          <w:rFonts w:hint="default" w:ascii="Times New Roman" w:hAnsi="Times New Roman" w:eastAsia="仿宋_GB2312" w:cs="Times New Roman"/>
          <w:snapToGrid w:val="0"/>
          <w:color w:val="auto"/>
          <w:kern w:val="0"/>
          <w:highlight w:val="none"/>
          <w:lang w:eastAsia="zh-CN"/>
        </w:rPr>
        <w:t>印发之日</w:t>
      </w:r>
      <w:r>
        <w:rPr>
          <w:rFonts w:hint="default" w:ascii="Times New Roman" w:hAnsi="Times New Roman" w:eastAsia="仿宋_GB2312" w:cs="Times New Roman"/>
          <w:snapToGrid w:val="0"/>
          <w:color w:val="auto"/>
          <w:kern w:val="0"/>
          <w:highlight w:val="none"/>
        </w:rPr>
        <w:t>起30日后施行，有效期</w:t>
      </w:r>
      <w:r>
        <w:rPr>
          <w:rFonts w:hint="default" w:ascii="Times New Roman" w:hAnsi="Times New Roman" w:eastAsia="仿宋_GB2312" w:cs="Times New Roman"/>
          <w:snapToGrid w:val="0"/>
          <w:color w:val="auto"/>
          <w:kern w:val="0"/>
          <w:highlight w:val="none"/>
          <w:lang w:val="en-US" w:eastAsia="zh-CN"/>
        </w:rPr>
        <w:t>3年</w:t>
      </w:r>
      <w:r>
        <w:rPr>
          <w:rFonts w:hint="default" w:ascii="Times New Roman" w:hAnsi="Times New Roman" w:eastAsia="仿宋_GB2312" w:cs="Times New Roman"/>
          <w:snapToGrid w:val="0"/>
          <w:color w:val="auto"/>
          <w:kern w:val="0"/>
          <w:highlight w:val="none"/>
        </w:rPr>
        <w:t>。</w:t>
      </w:r>
    </w:p>
    <w:p>
      <w:pPr>
        <w:rPr>
          <w:color w:val="auto"/>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8FAEA5"/>
    <w:multiLevelType w:val="singleLevel"/>
    <w:tmpl w:val="E08FAEA5"/>
    <w:lvl w:ilvl="0" w:tentative="0">
      <w:start w:val="1"/>
      <w:numFmt w:val="chineseCounting"/>
      <w:suff w:val="nothing"/>
      <w:lvlText w:val="（%1）"/>
      <w:lvlJc w:val="left"/>
      <w:rPr>
        <w:rFonts w:hint="eastAsia"/>
      </w:rPr>
    </w:lvl>
  </w:abstractNum>
  <w:abstractNum w:abstractNumId="1">
    <w:nsid w:val="EF23E43A"/>
    <w:multiLevelType w:val="singleLevel"/>
    <w:tmpl w:val="EF23E43A"/>
    <w:lvl w:ilvl="0" w:tentative="0">
      <w:start w:val="1"/>
      <w:numFmt w:val="chineseCounting"/>
      <w:suff w:val="space"/>
      <w:lvlText w:val="第%1条"/>
      <w:lvlJc w:val="left"/>
      <w:rPr>
        <w:rFonts w:hint="eastAsia" w:ascii="仿宋_GB2312" w:hAnsi="仿宋_GB2312" w:eastAsia="仿宋_GB2312" w:cs="仿宋_GB2312"/>
        <w:b/>
        <w:bCs/>
        <w:sz w:val="32"/>
        <w:szCs w:val="32"/>
      </w:rPr>
    </w:lvl>
  </w:abstractNum>
  <w:abstractNum w:abstractNumId="2">
    <w:nsid w:val="F6F8B8F3"/>
    <w:multiLevelType w:val="singleLevel"/>
    <w:tmpl w:val="F6F8B8F3"/>
    <w:lvl w:ilvl="0" w:tentative="0">
      <w:start w:val="1"/>
      <w:numFmt w:val="chineseCounting"/>
      <w:suff w:val="space"/>
      <w:lvlText w:val="第%1章"/>
      <w:lvlJc w:val="left"/>
      <w:rPr>
        <w:rFonts w:hint="eastAsia" w:ascii="黑体" w:hAnsi="黑体" w:eastAsia="黑体" w:cs="黑体"/>
        <w:sz w:val="32"/>
        <w:szCs w:val="32"/>
      </w:rPr>
    </w:lvl>
  </w:abstractNum>
  <w:abstractNum w:abstractNumId="3">
    <w:nsid w:val="290E52B6"/>
    <w:multiLevelType w:val="singleLevel"/>
    <w:tmpl w:val="290E52B6"/>
    <w:lvl w:ilvl="0" w:tentative="0">
      <w:start w:val="1"/>
      <w:numFmt w:val="chineseCounting"/>
      <w:suff w:val="nothing"/>
      <w:lvlText w:val="（%1）"/>
      <w:lvlJc w:val="left"/>
      <w:rPr>
        <w:rFonts w:hint="eastAsia" w:ascii="仿宋_GB2312" w:hAnsi="仿宋_GB2312" w:eastAsia="仿宋_GB2312" w:cs="仿宋_GB2312"/>
        <w:sz w:val="32"/>
        <w:szCs w:val="32"/>
      </w:rPr>
    </w:lvl>
  </w:abstractNum>
  <w:abstractNum w:abstractNumId="4">
    <w:nsid w:val="721AFC83"/>
    <w:multiLevelType w:val="singleLevel"/>
    <w:tmpl w:val="721AFC83"/>
    <w:lvl w:ilvl="0" w:tentative="0">
      <w:start w:val="1"/>
      <w:numFmt w:val="chineseCounting"/>
      <w:suff w:val="nothing"/>
      <w:lvlText w:val="（%1）"/>
      <w:lvlJc w:val="left"/>
      <w:rPr>
        <w:rFonts w:hint="eastAsia"/>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64131"/>
    <w:rsid w:val="0F76A13A"/>
    <w:rsid w:val="17DE120B"/>
    <w:rsid w:val="1E77BAEA"/>
    <w:rsid w:val="207824D9"/>
    <w:rsid w:val="3F7F715F"/>
    <w:rsid w:val="4EDF5FC5"/>
    <w:rsid w:val="5FE66625"/>
    <w:rsid w:val="6CFF3D35"/>
    <w:rsid w:val="736E0A6C"/>
    <w:rsid w:val="7BEB1D85"/>
    <w:rsid w:val="7BFE4972"/>
    <w:rsid w:val="7BFFCDB4"/>
    <w:rsid w:val="7DFFF189"/>
    <w:rsid w:val="7FEFA7D4"/>
    <w:rsid w:val="BC3A43AF"/>
    <w:rsid w:val="BFED7E64"/>
    <w:rsid w:val="D76DF6F6"/>
    <w:rsid w:val="DE07736D"/>
    <w:rsid w:val="DFFDD1D2"/>
    <w:rsid w:val="EFA71261"/>
    <w:rsid w:val="FBBBDC8D"/>
    <w:rsid w:val="FDFBE87B"/>
    <w:rsid w:val="FFBB12EF"/>
    <w:rsid w:val="FFBB157A"/>
    <w:rsid w:val="FFD566E4"/>
    <w:rsid w:val="FFEFE80F"/>
    <w:rsid w:val="FFF95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tLeast"/>
      <w:jc w:val="both"/>
    </w:pPr>
    <w:rPr>
      <w:rFonts w:ascii="Times New Roman" w:hAnsi="Times New Roman" w:eastAsia="仿宋_GB2312" w:cs="Times New Roman"/>
      <w:spacing w:val="-6"/>
      <w:kern w:val="2"/>
      <w:sz w:val="32"/>
      <w:lang w:val="en-US" w:eastAsia="zh-CN"/>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正文 New New New New New New"/>
    <w:qFormat/>
    <w:uiPriority w:val="0"/>
    <w:pPr>
      <w:widowControl w:val="0"/>
      <w:jc w:val="both"/>
    </w:pPr>
    <w:rPr>
      <w:rFonts w:ascii="Calibri" w:hAnsi="Calibri" w:eastAsia="宋体"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9</TotalTime>
  <ScaleCrop>false</ScaleCrop>
  <LinksUpToDate>false</LinksUpToDate>
  <CharactersWithSpaces>0</CharactersWithSpaces>
  <Application>WPS Office_11.8.2.12024_F1E327BC-269C-435d-A152-05C5408002CA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2026-03-04T17:12:00Z</dcterms:created>
  <dc:creator>pvuser</dc:creator>
  <cp:lastModifiedBy>UOS</cp:lastModifiedBy>
  <dcterms:modified xsi:type="dcterms:W3CDTF">2026-04-20T16:16:37Z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2052-11.8.2.12024</vt:lpwstr>
  </property>
  <property fmtid="{D5CDD505-2E9C-101B-9397-08002B2CF9AE}" pid="3" name="ICV">
    <vt:lpwstr>D993FAB6884F455F8DE32DE551368DD2_13</vt:lpwstr>
  </property>
</Properties>
</file>