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380AB4">
      <w:pPr>
        <w:rPr>
          <w:rFonts w:hint="eastAsia"/>
          <w:lang w:eastAsia="zh-CN"/>
        </w:rPr>
      </w:pPr>
    </w:p>
    <w:p w14:paraId="3D3AFB4D">
      <w:pPr>
        <w:pStyle w:val="62"/>
        <w:snapToGrid w:val="0"/>
        <w:jc w:val="center"/>
        <w:rPr>
          <w:rFonts w:ascii="方正小标宋简体" w:hAnsi="方正小标宋简体" w:eastAsia="方正小标宋简体" w:cs="宋体"/>
          <w:bCs/>
          <w:kern w:val="0"/>
          <w:sz w:val="44"/>
          <w:szCs w:val="44"/>
          <w:highlight w:val="none"/>
        </w:rPr>
      </w:pPr>
      <w:r>
        <w:rPr>
          <w:rFonts w:hint="eastAsia" w:ascii="方正小标宋简体" w:hAnsi="方正小标宋简体" w:eastAsia="方正小标宋简体" w:cs="宋体"/>
          <w:bCs/>
          <w:kern w:val="0"/>
          <w:sz w:val="44"/>
          <w:szCs w:val="44"/>
          <w:highlight w:val="none"/>
        </w:rPr>
        <w:t>佛山市南海区中小企业融资风险补偿</w:t>
      </w:r>
    </w:p>
    <w:p w14:paraId="42C61878">
      <w:pPr>
        <w:pStyle w:val="62"/>
        <w:snapToGrid w:val="0"/>
        <w:jc w:val="center"/>
        <w:rPr>
          <w:rFonts w:hint="eastAsia" w:ascii="方正小标宋简体" w:hAnsi="方正小标宋简体" w:eastAsia="方正小标宋简体" w:cs="宋体"/>
          <w:bCs/>
          <w:kern w:val="0"/>
          <w:sz w:val="44"/>
          <w:szCs w:val="44"/>
          <w:highlight w:val="none"/>
        </w:rPr>
      </w:pPr>
      <w:r>
        <w:rPr>
          <w:rFonts w:hint="eastAsia" w:ascii="方正小标宋简体" w:hAnsi="方正小标宋简体" w:eastAsia="方正小标宋简体" w:cs="宋体"/>
          <w:bCs/>
          <w:kern w:val="0"/>
          <w:sz w:val="44"/>
          <w:szCs w:val="44"/>
          <w:highlight w:val="none"/>
        </w:rPr>
        <w:t>专项资金管理办法（202</w:t>
      </w:r>
      <w:r>
        <w:rPr>
          <w:rFonts w:ascii="方正小标宋简体" w:hAnsi="方正小标宋简体" w:eastAsia="方正小标宋简体" w:cs="宋体"/>
          <w:bCs/>
          <w:kern w:val="0"/>
          <w:sz w:val="44"/>
          <w:szCs w:val="44"/>
          <w:highlight w:val="none"/>
        </w:rPr>
        <w:t>6</w:t>
      </w:r>
      <w:r>
        <w:rPr>
          <w:rFonts w:hint="eastAsia" w:ascii="方正小标宋简体" w:hAnsi="方正小标宋简体" w:eastAsia="方正小标宋简体" w:cs="宋体"/>
          <w:bCs/>
          <w:kern w:val="0"/>
          <w:sz w:val="44"/>
          <w:szCs w:val="44"/>
          <w:highlight w:val="none"/>
        </w:rPr>
        <w:t>年修订）</w:t>
      </w:r>
    </w:p>
    <w:p w14:paraId="7B69A163">
      <w:pPr>
        <w:pStyle w:val="62"/>
        <w:snapToGrid w:val="0"/>
        <w:jc w:val="center"/>
        <w:rPr>
          <w:rFonts w:hint="eastAsia" w:ascii="方正小标宋简体" w:hAnsi="方正小标宋简体" w:eastAsia="方正小标宋简体" w:cs="宋体"/>
          <w:bCs/>
          <w:kern w:val="0"/>
          <w:sz w:val="44"/>
          <w:szCs w:val="44"/>
          <w:highlight w:val="none"/>
          <w:lang w:val="en-US" w:eastAsia="zh-CN"/>
        </w:rPr>
      </w:pPr>
      <w:r>
        <w:rPr>
          <w:rFonts w:hint="eastAsia" w:ascii="方正小标宋简体" w:hAnsi="方正小标宋简体" w:eastAsia="方正小标宋简体" w:cs="宋体"/>
          <w:bCs/>
          <w:kern w:val="0"/>
          <w:sz w:val="44"/>
          <w:szCs w:val="44"/>
          <w:highlight w:val="none"/>
          <w:lang w:val="en-US" w:eastAsia="zh-CN"/>
        </w:rPr>
        <w:t>（征求意见稿）</w:t>
      </w:r>
    </w:p>
    <w:p w14:paraId="015A99A3">
      <w:pPr>
        <w:pStyle w:val="62"/>
        <w:jc w:val="center"/>
        <w:rPr>
          <w:rFonts w:ascii="仿宋" w:hAnsi="仿宋" w:eastAsia="仿宋" w:cs="仿宋"/>
          <w:kern w:val="0"/>
          <w:sz w:val="32"/>
          <w:szCs w:val="32"/>
          <w:highlight w:val="none"/>
        </w:rPr>
      </w:pPr>
    </w:p>
    <w:p w14:paraId="61852CCE">
      <w:pPr>
        <w:pStyle w:val="62"/>
        <w:jc w:val="center"/>
        <w:rPr>
          <w:rFonts w:ascii="方正小标宋简体" w:hAnsi="方正小标宋简体" w:eastAsia="方正小标宋简体" w:cs="宋体"/>
          <w:bCs/>
          <w:kern w:val="0"/>
          <w:sz w:val="32"/>
          <w:szCs w:val="32"/>
          <w:highlight w:val="none"/>
        </w:rPr>
      </w:pPr>
      <w:r>
        <w:rPr>
          <w:rFonts w:hint="eastAsia" w:ascii="方正小标宋简体" w:hAnsi="方正小标宋简体" w:eastAsia="方正小标宋简体" w:cs="宋体"/>
          <w:bCs/>
          <w:kern w:val="0"/>
          <w:sz w:val="32"/>
          <w:szCs w:val="32"/>
          <w:highlight w:val="none"/>
        </w:rPr>
        <w:t>第一章  总  则</w:t>
      </w:r>
    </w:p>
    <w:p w14:paraId="520C0CFA">
      <w:pPr>
        <w:pStyle w:val="62"/>
        <w:autoSpaceDN w:val="0"/>
        <w:spacing w:line="560" w:lineRule="exact"/>
        <w:ind w:firstLine="632" w:firstLineChars="200"/>
        <w:rPr>
          <w:rFonts w:ascii="宋体" w:hAnsi="宋体" w:eastAsia="仿宋_GB2312" w:cs="仿宋"/>
          <w:bCs/>
          <w:kern w:val="21"/>
          <w:sz w:val="32"/>
          <w:szCs w:val="32"/>
          <w:highlight w:val="none"/>
        </w:rPr>
      </w:pPr>
      <w:r>
        <w:rPr>
          <w:rFonts w:hint="eastAsia" w:ascii="黑体" w:hAnsi="黑体" w:eastAsia="黑体" w:cs="黑体"/>
          <w:bCs/>
          <w:kern w:val="0"/>
          <w:sz w:val="32"/>
          <w:szCs w:val="32"/>
          <w:highlight w:val="none"/>
        </w:rPr>
        <w:t>第一条</w:t>
      </w:r>
      <w:r>
        <w:rPr>
          <w:rFonts w:hint="eastAsia" w:ascii="宋体" w:hAnsi="宋体" w:eastAsia="仿宋_GB2312" w:cs="仿宋"/>
          <w:b/>
          <w:kern w:val="21"/>
          <w:sz w:val="32"/>
          <w:szCs w:val="32"/>
          <w:highlight w:val="none"/>
        </w:rPr>
        <w:t xml:space="preserve">  </w:t>
      </w:r>
      <w:r>
        <w:rPr>
          <w:rFonts w:hint="eastAsia" w:ascii="宋体" w:hAnsi="宋体" w:eastAsia="仿宋_GB2312" w:cs="仿宋"/>
          <w:bCs/>
          <w:kern w:val="21"/>
          <w:sz w:val="32"/>
          <w:szCs w:val="32"/>
          <w:highlight w:val="none"/>
        </w:rPr>
        <w:t>为支持中小企业高质量发展，引导金融机构加大对中小企业融资的支持力度，切实缓解中小企业融资难问题</w:t>
      </w:r>
      <w:r>
        <w:rPr>
          <w:rFonts w:hint="eastAsia" w:ascii="Times New Roman" w:hAnsi="Times New Roman" w:eastAsia="仿宋_GB2312" w:cs="仿宋_GB2312"/>
          <w:sz w:val="32"/>
          <w:szCs w:val="32"/>
          <w:highlight w:val="none"/>
          <w:lang w:eastAsia="zh-CN"/>
        </w:rPr>
        <w:t>，</w:t>
      </w:r>
      <w:r>
        <w:rPr>
          <w:rFonts w:hint="eastAsia" w:ascii="宋体" w:hAnsi="宋体" w:eastAsia="仿宋_GB2312" w:cs="仿宋"/>
          <w:bCs/>
          <w:kern w:val="21"/>
          <w:sz w:val="32"/>
          <w:szCs w:val="32"/>
          <w:highlight w:val="none"/>
        </w:rPr>
        <w:t>根据省政府《贯</w:t>
      </w:r>
      <w:bookmarkStart w:id="10" w:name="_GoBack"/>
      <w:bookmarkEnd w:id="10"/>
      <w:r>
        <w:rPr>
          <w:rFonts w:hint="eastAsia" w:ascii="宋体" w:hAnsi="宋体" w:eastAsia="仿宋_GB2312" w:cs="仿宋"/>
          <w:bCs/>
          <w:kern w:val="21"/>
          <w:sz w:val="32"/>
          <w:szCs w:val="32"/>
          <w:highlight w:val="none"/>
        </w:rPr>
        <w:t xml:space="preserve">彻国务院关于进一步促进中小企业发展若干意见的实施意见》等文件精神，特制定本办法。  </w:t>
      </w:r>
    </w:p>
    <w:p w14:paraId="7E5CACBB">
      <w:pPr>
        <w:pStyle w:val="62"/>
        <w:autoSpaceDN w:val="0"/>
        <w:spacing w:line="560" w:lineRule="exact"/>
        <w:ind w:firstLine="632" w:firstLineChars="200"/>
        <w:rPr>
          <w:rFonts w:ascii="宋体" w:hAnsi="宋体" w:eastAsia="仿宋_GB2312" w:cs="仿宋"/>
          <w:bCs/>
          <w:kern w:val="21"/>
          <w:sz w:val="32"/>
          <w:szCs w:val="32"/>
          <w:highlight w:val="none"/>
        </w:rPr>
      </w:pPr>
      <w:r>
        <w:rPr>
          <w:rFonts w:hint="eastAsia" w:ascii="黑体" w:hAnsi="黑体" w:eastAsia="黑体" w:cs="黑体"/>
          <w:bCs/>
          <w:kern w:val="0"/>
          <w:sz w:val="32"/>
          <w:szCs w:val="32"/>
          <w:highlight w:val="none"/>
        </w:rPr>
        <w:t>第二条</w:t>
      </w:r>
      <w:r>
        <w:rPr>
          <w:rFonts w:hint="eastAsia" w:ascii="宋体" w:hAnsi="宋体" w:eastAsia="仿宋_GB2312" w:cs="宋体"/>
          <w:b/>
          <w:kern w:val="21"/>
          <w:sz w:val="32"/>
          <w:szCs w:val="32"/>
          <w:highlight w:val="none"/>
        </w:rPr>
        <w:t xml:space="preserve">  </w:t>
      </w:r>
      <w:r>
        <w:rPr>
          <w:rFonts w:hint="eastAsia" w:ascii="宋体" w:hAnsi="宋体" w:eastAsia="仿宋_GB2312" w:cs="仿宋"/>
          <w:bCs/>
          <w:kern w:val="21"/>
          <w:sz w:val="32"/>
          <w:szCs w:val="32"/>
          <w:highlight w:val="none"/>
        </w:rPr>
        <w:t>区政府设立“佛山市南海区中小企业融资风险补偿专项资金”（</w:t>
      </w:r>
      <w:bookmarkStart w:id="0" w:name="OLE_LINK21"/>
      <w:r>
        <w:rPr>
          <w:rFonts w:hint="eastAsia" w:ascii="宋体" w:hAnsi="宋体" w:eastAsia="仿宋_GB2312" w:cs="仿宋"/>
          <w:bCs/>
          <w:kern w:val="21"/>
          <w:sz w:val="32"/>
          <w:szCs w:val="32"/>
          <w:highlight w:val="none"/>
        </w:rPr>
        <w:t>以下简称风险补偿资金</w:t>
      </w:r>
      <w:bookmarkEnd w:id="0"/>
      <w:r>
        <w:rPr>
          <w:rFonts w:hint="eastAsia" w:ascii="宋体" w:hAnsi="宋体" w:eastAsia="仿宋_GB2312" w:cs="仿宋"/>
          <w:bCs/>
          <w:kern w:val="21"/>
          <w:sz w:val="32"/>
          <w:szCs w:val="32"/>
          <w:highlight w:val="none"/>
        </w:rPr>
        <w:t>），风险补偿资金所需资金5亿元（首期2亿元），其利息收益在扣除资金管理费及其他支出后，剩余部分纳入本金滚动使用。如风险补偿资金的本金因风险补偿支出、财政资金调整等因素发生变化的，以变化后的本金实际余额确定其资金规模。</w:t>
      </w:r>
    </w:p>
    <w:p w14:paraId="53F1F3C3">
      <w:pPr>
        <w:pStyle w:val="43"/>
        <w:autoSpaceDN w:val="0"/>
        <w:spacing w:line="560" w:lineRule="exact"/>
        <w:ind w:firstLine="632" w:firstLineChars="200"/>
        <w:rPr>
          <w:rFonts w:ascii="宋体" w:hAnsi="宋体" w:eastAsia="仿宋_GB2312" w:cs="仿宋_GB2312"/>
          <w:bCs/>
          <w:kern w:val="21"/>
          <w:sz w:val="32"/>
          <w:szCs w:val="32"/>
          <w:highlight w:val="none"/>
        </w:rPr>
      </w:pPr>
      <w:r>
        <w:rPr>
          <w:rFonts w:hint="eastAsia" w:ascii="黑体" w:hAnsi="黑体" w:eastAsia="黑体" w:cs="黑体"/>
          <w:bCs/>
          <w:kern w:val="0"/>
          <w:sz w:val="32"/>
          <w:szCs w:val="32"/>
          <w:highlight w:val="none"/>
        </w:rPr>
        <w:t>第三条</w:t>
      </w:r>
      <w:r>
        <w:rPr>
          <w:rFonts w:hint="eastAsia" w:ascii="宋体" w:hAnsi="宋体" w:eastAsia="仿宋_GB2312" w:cs="宋体"/>
          <w:b/>
          <w:kern w:val="21"/>
          <w:sz w:val="32"/>
          <w:szCs w:val="32"/>
          <w:highlight w:val="none"/>
        </w:rPr>
        <w:t xml:space="preserve">  </w:t>
      </w:r>
      <w:r>
        <w:rPr>
          <w:rFonts w:hint="eastAsia" w:ascii="宋体" w:hAnsi="宋体" w:eastAsia="仿宋_GB2312" w:cs="仿宋"/>
          <w:bCs/>
          <w:kern w:val="21"/>
          <w:sz w:val="32"/>
          <w:szCs w:val="32"/>
          <w:highlight w:val="none"/>
        </w:rPr>
        <w:t>本办法所称的“中小企业”，特指符合《关于印发中小企业划型标准规定的通知》（工信部联企业〔2011〕300号）规定的中小企业划型标准、工商注册地在南海区且符合南海区产业发展导向、具备独立法人资格的生产型企业。本办法所称“合作银行”，特指与风险补偿资金建立合作关系的银行金融机构。</w:t>
      </w:r>
    </w:p>
    <w:p w14:paraId="41294342">
      <w:pPr>
        <w:pStyle w:val="62"/>
        <w:autoSpaceDN w:val="0"/>
        <w:spacing w:line="560" w:lineRule="exact"/>
        <w:ind w:firstLine="632" w:firstLineChars="200"/>
        <w:rPr>
          <w:rFonts w:ascii="宋体" w:hAnsi="宋体" w:eastAsia="仿宋_GB2312" w:cs="仿宋"/>
          <w:bCs/>
          <w:kern w:val="21"/>
          <w:sz w:val="32"/>
          <w:szCs w:val="32"/>
          <w:highlight w:val="none"/>
        </w:rPr>
      </w:pPr>
      <w:r>
        <w:rPr>
          <w:rFonts w:hint="eastAsia" w:ascii="黑体" w:hAnsi="黑体" w:eastAsia="黑体" w:cs="黑体"/>
          <w:bCs/>
          <w:kern w:val="0"/>
          <w:sz w:val="32"/>
          <w:szCs w:val="32"/>
          <w:highlight w:val="none"/>
        </w:rPr>
        <w:t>第四条</w:t>
      </w:r>
      <w:r>
        <w:rPr>
          <w:rFonts w:hint="eastAsia" w:ascii="宋体" w:hAnsi="宋体" w:eastAsia="仿宋_GB2312" w:cs="宋体"/>
          <w:b/>
          <w:kern w:val="21"/>
          <w:sz w:val="32"/>
          <w:szCs w:val="32"/>
          <w:highlight w:val="none"/>
        </w:rPr>
        <w:t xml:space="preserve">  </w:t>
      </w:r>
      <w:r>
        <w:rPr>
          <w:rFonts w:hint="eastAsia" w:ascii="宋体" w:hAnsi="宋体" w:eastAsia="仿宋_GB2312" w:cs="仿宋"/>
          <w:bCs/>
          <w:kern w:val="21"/>
          <w:sz w:val="32"/>
          <w:szCs w:val="32"/>
          <w:highlight w:val="none"/>
        </w:rPr>
        <w:t>风险补偿资金用途包括建立风险补偿资金池以撬动合作银行对中小企业的融资投放量，补偿合作银行因支持南海区中小企业融资而产生的风险损失，以及履行合作银行合作协议所产生的相关法律费用。</w:t>
      </w:r>
    </w:p>
    <w:p w14:paraId="63DA6BBC">
      <w:pPr>
        <w:spacing w:line="560" w:lineRule="exact"/>
        <w:ind w:firstLine="632" w:firstLineChars="200"/>
        <w:rPr>
          <w:rFonts w:cs="仿宋"/>
          <w:bCs/>
          <w:kern w:val="21"/>
          <w:highlight w:val="none"/>
        </w:rPr>
      </w:pPr>
      <w:r>
        <w:rPr>
          <w:rFonts w:hint="eastAsia" w:ascii="黑体" w:hAnsi="黑体" w:eastAsia="黑体" w:cs="黑体"/>
          <w:bCs/>
          <w:kern w:val="0"/>
          <w:highlight w:val="none"/>
        </w:rPr>
        <w:t xml:space="preserve">第五条 </w:t>
      </w:r>
      <w:r>
        <w:rPr>
          <w:rFonts w:hint="eastAsia" w:cs="黑体"/>
          <w:bCs/>
          <w:kern w:val="21"/>
          <w:highlight w:val="none"/>
        </w:rPr>
        <w:t xml:space="preserve"> </w:t>
      </w:r>
      <w:r>
        <w:rPr>
          <w:rFonts w:hint="eastAsia" w:cs="仿宋"/>
          <w:kern w:val="21"/>
          <w:highlight w:val="none"/>
          <w:lang w:bidi="ar"/>
        </w:rPr>
        <w:t>风险补偿资金的使用及管理</w:t>
      </w:r>
      <w:r>
        <w:rPr>
          <w:rFonts w:hint="eastAsia" w:cs="仿宋"/>
          <w:bCs/>
          <w:kern w:val="21"/>
          <w:highlight w:val="none"/>
        </w:rPr>
        <w:t>遵循“</w:t>
      </w:r>
      <w:r>
        <w:rPr>
          <w:rFonts w:hint="eastAsia" w:cs="仿宋"/>
          <w:kern w:val="21"/>
          <w:highlight w:val="none"/>
          <w:lang w:bidi="ar"/>
        </w:rPr>
        <w:t>突出重点、市场运作、风险分担”的原则，确保资金</w:t>
      </w:r>
      <w:r>
        <w:rPr>
          <w:rFonts w:hint="eastAsia" w:cs="仿宋"/>
          <w:kern w:val="21"/>
          <w:highlight w:val="none"/>
        </w:rPr>
        <w:t>使用规范、安全和高效。</w:t>
      </w:r>
    </w:p>
    <w:p w14:paraId="6644D4EC">
      <w:pPr>
        <w:pStyle w:val="62"/>
        <w:spacing w:line="560" w:lineRule="exact"/>
        <w:rPr>
          <w:rFonts w:ascii="方正小标宋简体" w:hAnsi="方正小标宋简体" w:eastAsia="方正小标宋简体" w:cs="宋体"/>
          <w:bCs/>
          <w:kern w:val="0"/>
          <w:sz w:val="32"/>
          <w:szCs w:val="32"/>
          <w:highlight w:val="none"/>
        </w:rPr>
      </w:pPr>
    </w:p>
    <w:p w14:paraId="47A9C32F">
      <w:pPr>
        <w:pStyle w:val="62"/>
        <w:spacing w:line="560" w:lineRule="exact"/>
        <w:jc w:val="center"/>
        <w:rPr>
          <w:rFonts w:ascii="方正小标宋简体" w:hAnsi="方正小标宋简体" w:eastAsia="方正小标宋简体" w:cs="宋体"/>
          <w:bCs/>
          <w:kern w:val="0"/>
          <w:sz w:val="32"/>
          <w:szCs w:val="32"/>
          <w:highlight w:val="none"/>
        </w:rPr>
      </w:pPr>
      <w:r>
        <w:rPr>
          <w:rFonts w:hint="eastAsia" w:ascii="方正小标宋简体" w:hAnsi="方正小标宋简体" w:eastAsia="方正小标宋简体" w:cs="宋体"/>
          <w:bCs/>
          <w:kern w:val="0"/>
          <w:sz w:val="32"/>
          <w:szCs w:val="32"/>
          <w:highlight w:val="none"/>
        </w:rPr>
        <w:t>第二章  管理架构、职责及合作银行</w:t>
      </w:r>
    </w:p>
    <w:p w14:paraId="486B76D9">
      <w:pPr>
        <w:pStyle w:val="36"/>
        <w:spacing w:line="560" w:lineRule="exact"/>
        <w:ind w:firstLine="632" w:firstLineChars="200"/>
        <w:rPr>
          <w:rFonts w:ascii="宋体" w:hAnsi="宋体" w:eastAsia="仿宋_GB2312" w:cs="仿宋"/>
          <w:bCs/>
          <w:kern w:val="21"/>
          <w:sz w:val="32"/>
          <w:szCs w:val="32"/>
          <w:highlight w:val="none"/>
        </w:rPr>
      </w:pPr>
      <w:r>
        <w:rPr>
          <w:rFonts w:hint="eastAsia" w:ascii="黑体" w:hAnsi="黑体" w:eastAsia="黑体" w:cs="黑体"/>
          <w:bCs/>
          <w:kern w:val="0"/>
          <w:sz w:val="32"/>
          <w:szCs w:val="32"/>
          <w:highlight w:val="none"/>
        </w:rPr>
        <w:t>第六条</w:t>
      </w:r>
      <w:r>
        <w:rPr>
          <w:rFonts w:hint="eastAsia" w:ascii="宋体" w:hAnsi="宋体" w:cs="宋体"/>
          <w:b/>
          <w:kern w:val="0"/>
          <w:sz w:val="32"/>
          <w:szCs w:val="32"/>
          <w:highlight w:val="none"/>
        </w:rPr>
        <w:t xml:space="preserve">  </w:t>
      </w:r>
      <w:r>
        <w:rPr>
          <w:rFonts w:hint="eastAsia" w:ascii="宋体" w:hAnsi="宋体" w:eastAsia="仿宋_GB2312" w:cs="仿宋"/>
          <w:bCs/>
          <w:kern w:val="21"/>
          <w:sz w:val="32"/>
          <w:szCs w:val="32"/>
          <w:highlight w:val="none"/>
        </w:rPr>
        <w:t>佛山市南海区中小企业融资风险补偿专项资金监督管理委员会（以下简称监委会）是风险补偿资金的主管机构。监委会主任由区分管领导兼任，委员由区委办（区府办）、区科学技术局、区财政局以及区经济促进局等部门的5名相关负责人兼任。监委会的主要职责包括：</w:t>
      </w:r>
    </w:p>
    <w:p w14:paraId="473697D5">
      <w:pPr>
        <w:pStyle w:val="62"/>
        <w:spacing w:line="560" w:lineRule="exact"/>
        <w:ind w:firstLine="632" w:firstLineChars="200"/>
        <w:rPr>
          <w:rFonts w:ascii="宋体" w:hAnsi="宋体" w:eastAsia="仿宋_GB2312" w:cs="仿宋"/>
          <w:bCs/>
          <w:kern w:val="21"/>
          <w:sz w:val="32"/>
          <w:szCs w:val="32"/>
          <w:highlight w:val="none"/>
        </w:rPr>
      </w:pPr>
      <w:r>
        <w:rPr>
          <w:rFonts w:hint="eastAsia" w:ascii="宋体" w:hAnsi="宋体" w:eastAsia="仿宋_GB2312" w:cs="仿宋"/>
          <w:bCs/>
          <w:kern w:val="21"/>
          <w:sz w:val="32"/>
          <w:szCs w:val="32"/>
          <w:highlight w:val="none"/>
        </w:rPr>
        <w:t>（一）制定风险补偿资金管理办法；</w:t>
      </w:r>
    </w:p>
    <w:p w14:paraId="162F66DE">
      <w:pPr>
        <w:pStyle w:val="62"/>
        <w:spacing w:line="560" w:lineRule="exact"/>
        <w:ind w:firstLine="632" w:firstLineChars="200"/>
        <w:rPr>
          <w:rFonts w:ascii="宋体" w:hAnsi="宋体" w:eastAsia="仿宋_GB2312" w:cs="仿宋"/>
          <w:bCs/>
          <w:kern w:val="21"/>
          <w:sz w:val="32"/>
          <w:szCs w:val="32"/>
          <w:highlight w:val="none"/>
        </w:rPr>
      </w:pPr>
      <w:r>
        <w:rPr>
          <w:rFonts w:hint="eastAsia" w:ascii="宋体" w:hAnsi="宋体" w:eastAsia="仿宋_GB2312" w:cs="仿宋"/>
          <w:bCs/>
          <w:kern w:val="21"/>
          <w:sz w:val="32"/>
          <w:szCs w:val="32"/>
          <w:highlight w:val="none"/>
        </w:rPr>
        <w:t>（二）确定风险补偿资金扶持产业方向或支持企业类型；</w:t>
      </w:r>
    </w:p>
    <w:p w14:paraId="20CFC168">
      <w:pPr>
        <w:pStyle w:val="62"/>
        <w:spacing w:line="560" w:lineRule="exact"/>
        <w:ind w:firstLine="632" w:firstLineChars="200"/>
        <w:rPr>
          <w:rFonts w:ascii="宋体" w:hAnsi="宋体" w:eastAsia="仿宋_GB2312" w:cs="仿宋"/>
          <w:bCs/>
          <w:kern w:val="21"/>
          <w:sz w:val="32"/>
          <w:szCs w:val="32"/>
          <w:highlight w:val="none"/>
        </w:rPr>
      </w:pPr>
      <w:bookmarkStart w:id="1" w:name="OLE_LINK3"/>
      <w:r>
        <w:rPr>
          <w:rFonts w:hint="eastAsia" w:ascii="宋体" w:hAnsi="宋体" w:eastAsia="仿宋_GB2312" w:cs="仿宋"/>
          <w:bCs/>
          <w:kern w:val="21"/>
          <w:sz w:val="32"/>
          <w:szCs w:val="32"/>
          <w:highlight w:val="none"/>
        </w:rPr>
        <w:t>（三）审定扶持企业库以及合作银行；</w:t>
      </w:r>
    </w:p>
    <w:bookmarkEnd w:id="1"/>
    <w:p w14:paraId="647BF784">
      <w:pPr>
        <w:pStyle w:val="62"/>
        <w:spacing w:line="560" w:lineRule="exact"/>
        <w:ind w:firstLine="632" w:firstLineChars="200"/>
        <w:rPr>
          <w:rFonts w:ascii="宋体" w:hAnsi="宋体" w:eastAsia="仿宋_GB2312" w:cs="仿宋"/>
          <w:bCs/>
          <w:kern w:val="21"/>
          <w:sz w:val="32"/>
          <w:szCs w:val="32"/>
          <w:highlight w:val="none"/>
        </w:rPr>
      </w:pPr>
      <w:r>
        <w:rPr>
          <w:rFonts w:hint="eastAsia" w:ascii="宋体" w:hAnsi="宋体" w:eastAsia="仿宋_GB2312" w:cs="仿宋"/>
          <w:bCs/>
          <w:kern w:val="21"/>
          <w:sz w:val="32"/>
          <w:szCs w:val="32"/>
          <w:highlight w:val="none"/>
        </w:rPr>
        <w:t>（四）审定风险补偿资金的支出和核销；</w:t>
      </w:r>
    </w:p>
    <w:p w14:paraId="5BF066DC">
      <w:pPr>
        <w:pStyle w:val="62"/>
        <w:spacing w:line="560" w:lineRule="exact"/>
        <w:ind w:firstLine="632" w:firstLineChars="200"/>
        <w:rPr>
          <w:rFonts w:ascii="宋体" w:hAnsi="宋体" w:eastAsia="仿宋_GB2312" w:cs="仿宋"/>
          <w:bCs/>
          <w:kern w:val="21"/>
          <w:sz w:val="32"/>
          <w:szCs w:val="32"/>
          <w:highlight w:val="none"/>
        </w:rPr>
      </w:pPr>
      <w:r>
        <w:rPr>
          <w:rFonts w:hint="eastAsia" w:ascii="宋体" w:hAnsi="宋体" w:eastAsia="仿宋_GB2312" w:cs="仿宋"/>
          <w:bCs/>
          <w:kern w:val="21"/>
          <w:sz w:val="32"/>
          <w:szCs w:val="32"/>
          <w:highlight w:val="none"/>
        </w:rPr>
        <w:t>（五）其他重大事项决策。</w:t>
      </w:r>
    </w:p>
    <w:p w14:paraId="5629BABC">
      <w:pPr>
        <w:pStyle w:val="36"/>
        <w:spacing w:line="560" w:lineRule="exact"/>
        <w:rPr>
          <w:rFonts w:ascii="宋体" w:hAnsi="宋体" w:eastAsia="仿宋_GB2312" w:cs="仿宋"/>
          <w:bCs/>
          <w:kern w:val="21"/>
          <w:sz w:val="32"/>
          <w:szCs w:val="32"/>
          <w:highlight w:val="none"/>
        </w:rPr>
      </w:pPr>
      <w:r>
        <w:rPr>
          <w:rFonts w:hint="eastAsia" w:ascii="黑体" w:hAnsi="黑体" w:eastAsia="黑体" w:cs="黑体"/>
          <w:bCs/>
          <w:kern w:val="0"/>
          <w:sz w:val="32"/>
          <w:szCs w:val="32"/>
          <w:highlight w:val="none"/>
        </w:rPr>
        <w:t xml:space="preserve">    第七条</w:t>
      </w:r>
      <w:r>
        <w:rPr>
          <w:rFonts w:hint="eastAsia" w:ascii="宋体" w:hAnsi="宋体" w:cs="宋体"/>
          <w:b/>
          <w:kern w:val="0"/>
          <w:sz w:val="32"/>
          <w:szCs w:val="32"/>
          <w:highlight w:val="none"/>
        </w:rPr>
        <w:t xml:space="preserve">  </w:t>
      </w:r>
      <w:r>
        <w:rPr>
          <w:rFonts w:hint="eastAsia" w:ascii="宋体" w:hAnsi="宋体" w:eastAsia="仿宋_GB2312" w:cs="仿宋"/>
          <w:bCs/>
          <w:kern w:val="21"/>
          <w:sz w:val="32"/>
          <w:szCs w:val="32"/>
          <w:highlight w:val="none"/>
        </w:rPr>
        <w:t>监委会下设办公室（以下简称监委办）。监委办设于区经济促进局，并由区经济促进局代章。</w:t>
      </w:r>
      <w:r>
        <w:rPr>
          <w:rFonts w:hint="eastAsia" w:ascii="宋体" w:hAnsi="宋体" w:eastAsia="仿宋_GB2312" w:cs="仿宋"/>
          <w:bCs/>
          <w:kern w:val="21"/>
          <w:sz w:val="32"/>
          <w:szCs w:val="30"/>
          <w:highlight w:val="none"/>
        </w:rPr>
        <w:t>区经济促进局的局长、分管领导分别兼任监委办正、副主任。</w:t>
      </w:r>
      <w:r>
        <w:rPr>
          <w:rFonts w:hint="eastAsia" w:ascii="宋体" w:hAnsi="宋体" w:eastAsia="仿宋_GB2312" w:cs="仿宋"/>
          <w:bCs/>
          <w:kern w:val="21"/>
          <w:sz w:val="32"/>
          <w:szCs w:val="32"/>
          <w:highlight w:val="none"/>
        </w:rPr>
        <w:t>监委办的主要职责包括：</w:t>
      </w:r>
    </w:p>
    <w:p w14:paraId="38D954A9">
      <w:pPr>
        <w:pStyle w:val="62"/>
        <w:numPr>
          <w:ilvl w:val="0"/>
          <w:numId w:val="1"/>
        </w:numPr>
        <w:spacing w:line="560" w:lineRule="exact"/>
        <w:ind w:firstLine="632" w:firstLineChars="200"/>
        <w:rPr>
          <w:rFonts w:ascii="宋体" w:hAnsi="宋体" w:eastAsia="仿宋_GB2312" w:cs="仿宋"/>
          <w:bCs/>
          <w:kern w:val="21"/>
          <w:sz w:val="32"/>
          <w:szCs w:val="32"/>
          <w:highlight w:val="none"/>
        </w:rPr>
      </w:pPr>
      <w:r>
        <w:rPr>
          <w:rFonts w:hint="eastAsia" w:ascii="宋体" w:hAnsi="宋体" w:eastAsia="仿宋_GB2312" w:cs="仿宋"/>
          <w:bCs/>
          <w:kern w:val="21"/>
          <w:sz w:val="32"/>
          <w:szCs w:val="32"/>
          <w:highlight w:val="none"/>
        </w:rPr>
        <w:t>监督、指导风险补偿资金的日常运营工作；</w:t>
      </w:r>
    </w:p>
    <w:p w14:paraId="7C319A4E">
      <w:pPr>
        <w:pStyle w:val="62"/>
        <w:numPr>
          <w:ilvl w:val="0"/>
          <w:numId w:val="1"/>
        </w:numPr>
        <w:spacing w:line="560" w:lineRule="exact"/>
        <w:ind w:firstLine="632" w:firstLineChars="200"/>
        <w:rPr>
          <w:rFonts w:ascii="宋体" w:hAnsi="宋体" w:eastAsia="仿宋_GB2312" w:cs="仿宋"/>
          <w:bCs/>
          <w:kern w:val="21"/>
          <w:sz w:val="32"/>
          <w:szCs w:val="32"/>
          <w:highlight w:val="none"/>
        </w:rPr>
      </w:pPr>
      <w:r>
        <w:rPr>
          <w:rFonts w:hint="eastAsia" w:ascii="宋体" w:hAnsi="宋体" w:eastAsia="仿宋_GB2312" w:cs="仿宋"/>
          <w:bCs/>
          <w:kern w:val="21"/>
          <w:sz w:val="32"/>
          <w:szCs w:val="32"/>
          <w:highlight w:val="none"/>
        </w:rPr>
        <w:t>拟定风险补偿资金扶持产业方向或支持企业类型；</w:t>
      </w:r>
    </w:p>
    <w:p w14:paraId="390B73A1">
      <w:pPr>
        <w:pStyle w:val="62"/>
        <w:spacing w:line="560" w:lineRule="exact"/>
        <w:ind w:firstLine="632" w:firstLineChars="200"/>
        <w:rPr>
          <w:rFonts w:ascii="宋体" w:hAnsi="宋体" w:eastAsia="仿宋_GB2312" w:cs="仿宋"/>
          <w:bCs/>
          <w:kern w:val="21"/>
          <w:sz w:val="32"/>
          <w:szCs w:val="32"/>
          <w:highlight w:val="none"/>
        </w:rPr>
      </w:pPr>
      <w:r>
        <w:rPr>
          <w:rFonts w:hint="eastAsia" w:ascii="宋体" w:hAnsi="宋体" w:eastAsia="仿宋_GB2312" w:cs="仿宋"/>
          <w:bCs/>
          <w:kern w:val="21"/>
          <w:sz w:val="32"/>
          <w:szCs w:val="32"/>
          <w:highlight w:val="none"/>
        </w:rPr>
        <w:t>（三）审批风险补偿资金的管理费及日常运营支出；</w:t>
      </w:r>
    </w:p>
    <w:p w14:paraId="6003DFFF">
      <w:pPr>
        <w:pStyle w:val="62"/>
        <w:spacing w:line="560" w:lineRule="exact"/>
        <w:ind w:firstLine="632" w:firstLineChars="200"/>
        <w:rPr>
          <w:rFonts w:ascii="宋体" w:hAnsi="宋体" w:eastAsia="仿宋_GB2312" w:cs="仿宋"/>
          <w:bCs/>
          <w:kern w:val="21"/>
          <w:sz w:val="32"/>
          <w:szCs w:val="32"/>
          <w:highlight w:val="none"/>
        </w:rPr>
      </w:pPr>
      <w:r>
        <w:rPr>
          <w:rFonts w:hint="eastAsia" w:ascii="宋体" w:hAnsi="宋体" w:eastAsia="仿宋_GB2312" w:cs="仿宋"/>
          <w:bCs/>
          <w:kern w:val="21"/>
          <w:sz w:val="32"/>
          <w:szCs w:val="32"/>
          <w:highlight w:val="none"/>
        </w:rPr>
        <w:t>（四）审议资金管理人提交的资金使用情况报告；</w:t>
      </w:r>
    </w:p>
    <w:p w14:paraId="2061950C">
      <w:pPr>
        <w:pStyle w:val="62"/>
        <w:spacing w:line="560" w:lineRule="exact"/>
        <w:ind w:firstLine="632" w:firstLineChars="200"/>
        <w:rPr>
          <w:rFonts w:ascii="宋体" w:hAnsi="宋体" w:eastAsia="仿宋_GB2312" w:cs="仿宋"/>
          <w:bCs/>
          <w:kern w:val="21"/>
          <w:sz w:val="32"/>
          <w:szCs w:val="32"/>
          <w:highlight w:val="none"/>
        </w:rPr>
      </w:pPr>
      <w:r>
        <w:rPr>
          <w:rFonts w:hint="eastAsia" w:ascii="宋体" w:hAnsi="宋体" w:eastAsia="仿宋_GB2312" w:cs="仿宋"/>
          <w:bCs/>
          <w:kern w:val="21"/>
          <w:sz w:val="32"/>
          <w:szCs w:val="32"/>
          <w:highlight w:val="none"/>
        </w:rPr>
        <w:t>（五）落实监委会决定的其他事项。</w:t>
      </w:r>
    </w:p>
    <w:p w14:paraId="7B2DDF92">
      <w:pPr>
        <w:pStyle w:val="62"/>
        <w:spacing w:line="560" w:lineRule="exact"/>
        <w:ind w:firstLine="632" w:firstLineChars="200"/>
        <w:rPr>
          <w:rFonts w:ascii="宋体" w:hAnsi="宋体" w:eastAsia="仿宋_GB2312" w:cs="仿宋"/>
          <w:bCs/>
          <w:kern w:val="21"/>
          <w:sz w:val="32"/>
          <w:szCs w:val="32"/>
          <w:highlight w:val="none"/>
        </w:rPr>
      </w:pPr>
      <w:r>
        <w:rPr>
          <w:rFonts w:hint="eastAsia" w:ascii="黑体" w:hAnsi="黑体" w:eastAsia="黑体" w:cs="黑体"/>
          <w:bCs/>
          <w:kern w:val="0"/>
          <w:sz w:val="32"/>
          <w:szCs w:val="32"/>
          <w:highlight w:val="none"/>
        </w:rPr>
        <w:t>第八条</w:t>
      </w:r>
      <w:r>
        <w:rPr>
          <w:rFonts w:hint="eastAsia" w:ascii="宋体" w:hAnsi="宋体" w:eastAsia="仿宋_GB2312" w:cs="宋体"/>
          <w:b/>
          <w:kern w:val="21"/>
          <w:sz w:val="32"/>
          <w:szCs w:val="32"/>
          <w:highlight w:val="none"/>
        </w:rPr>
        <w:t xml:space="preserve">  </w:t>
      </w:r>
      <w:bookmarkStart w:id="2" w:name="OLE_LINK5"/>
      <w:r>
        <w:rPr>
          <w:rFonts w:hint="eastAsia" w:ascii="宋体" w:hAnsi="宋体" w:eastAsia="仿宋_GB2312" w:cs="仿宋"/>
          <w:bCs/>
          <w:kern w:val="21"/>
          <w:sz w:val="32"/>
          <w:szCs w:val="32"/>
          <w:highlight w:val="none"/>
        </w:rPr>
        <w:t>为保证资金的高效、安全运作，监委会应委托第三方专业机构（以下简称资金管理人）对风险补偿资金进行管理运作</w:t>
      </w:r>
      <w:bookmarkEnd w:id="2"/>
      <w:r>
        <w:rPr>
          <w:rFonts w:hint="eastAsia" w:ascii="宋体" w:hAnsi="宋体" w:eastAsia="仿宋_GB2312" w:cs="仿宋"/>
          <w:bCs/>
          <w:kern w:val="21"/>
          <w:sz w:val="32"/>
          <w:szCs w:val="32"/>
          <w:highlight w:val="none"/>
        </w:rPr>
        <w:t>。资金管理人由佛山市南海产业发展投资管理有限公司担任，业务上接受监委会的监督管理以及监委办的工作指导。资金管理人主要职责包括：</w:t>
      </w:r>
    </w:p>
    <w:p w14:paraId="5A411A25">
      <w:pPr>
        <w:pStyle w:val="62"/>
        <w:numPr>
          <w:ilvl w:val="0"/>
          <w:numId w:val="2"/>
        </w:numPr>
        <w:spacing w:line="560" w:lineRule="exact"/>
        <w:ind w:firstLine="790" w:firstLineChars="250"/>
        <w:rPr>
          <w:rFonts w:ascii="宋体" w:hAnsi="宋体" w:eastAsia="仿宋_GB2312" w:cs="仿宋"/>
          <w:bCs/>
          <w:kern w:val="21"/>
          <w:sz w:val="32"/>
          <w:szCs w:val="32"/>
          <w:highlight w:val="none"/>
        </w:rPr>
      </w:pPr>
      <w:r>
        <w:rPr>
          <w:rFonts w:hint="eastAsia" w:ascii="宋体" w:hAnsi="宋体" w:eastAsia="仿宋_GB2312" w:cs="仿宋"/>
          <w:bCs/>
          <w:kern w:val="21"/>
          <w:sz w:val="32"/>
          <w:szCs w:val="32"/>
          <w:highlight w:val="none"/>
        </w:rPr>
        <w:t>负责风险补偿资金日常事务开展；</w:t>
      </w:r>
    </w:p>
    <w:p w14:paraId="1D7138B9">
      <w:pPr>
        <w:pStyle w:val="62"/>
        <w:spacing w:line="560" w:lineRule="exact"/>
        <w:ind w:firstLine="790" w:firstLineChars="250"/>
        <w:rPr>
          <w:rFonts w:ascii="宋体" w:hAnsi="宋体" w:eastAsia="仿宋_GB2312" w:cs="仿宋"/>
          <w:bCs/>
          <w:kern w:val="21"/>
          <w:sz w:val="32"/>
          <w:szCs w:val="32"/>
          <w:highlight w:val="none"/>
        </w:rPr>
      </w:pPr>
      <w:r>
        <w:rPr>
          <w:rFonts w:hint="eastAsia" w:ascii="宋体" w:hAnsi="宋体" w:eastAsia="仿宋_GB2312" w:cs="仿宋"/>
          <w:bCs/>
          <w:kern w:val="21"/>
          <w:sz w:val="32"/>
          <w:szCs w:val="32"/>
          <w:highlight w:val="none"/>
        </w:rPr>
        <w:t>（二）开展合作银行的推荐工作，经监委会同意后代表监委会与之签订合作协议；</w:t>
      </w:r>
    </w:p>
    <w:p w14:paraId="7B22F627">
      <w:pPr>
        <w:pStyle w:val="62"/>
        <w:spacing w:line="560" w:lineRule="exact"/>
        <w:ind w:firstLine="790" w:firstLineChars="250"/>
        <w:rPr>
          <w:rFonts w:ascii="宋体" w:hAnsi="宋体" w:eastAsia="仿宋_GB2312" w:cs="仿宋"/>
          <w:bCs/>
          <w:kern w:val="21"/>
          <w:sz w:val="32"/>
          <w:szCs w:val="32"/>
          <w:highlight w:val="none"/>
        </w:rPr>
      </w:pPr>
      <w:r>
        <w:rPr>
          <w:rFonts w:hint="eastAsia" w:ascii="宋体" w:hAnsi="宋体" w:eastAsia="仿宋_GB2312" w:cs="仿宋"/>
          <w:bCs/>
          <w:kern w:val="21"/>
          <w:sz w:val="32"/>
          <w:szCs w:val="32"/>
          <w:highlight w:val="none"/>
        </w:rPr>
        <w:t>（三）根据监委会的决议进行资金划拨；</w:t>
      </w:r>
    </w:p>
    <w:p w14:paraId="3587A3AD">
      <w:pPr>
        <w:pStyle w:val="62"/>
        <w:spacing w:line="560" w:lineRule="exact"/>
        <w:ind w:firstLine="790" w:firstLineChars="250"/>
        <w:rPr>
          <w:rFonts w:ascii="宋体" w:hAnsi="宋体" w:eastAsia="仿宋_GB2312" w:cs="仿宋"/>
          <w:bCs/>
          <w:kern w:val="21"/>
          <w:sz w:val="32"/>
          <w:szCs w:val="32"/>
          <w:highlight w:val="none"/>
        </w:rPr>
      </w:pPr>
      <w:r>
        <w:rPr>
          <w:rFonts w:hint="eastAsia" w:ascii="宋体" w:hAnsi="宋体" w:eastAsia="仿宋_GB2312" w:cs="仿宋"/>
          <w:bCs/>
          <w:kern w:val="21"/>
          <w:sz w:val="32"/>
          <w:szCs w:val="32"/>
          <w:highlight w:val="none"/>
        </w:rPr>
        <w:t>（四）实施融资后项目管理，负责开展风险补偿相关工作；</w:t>
      </w:r>
    </w:p>
    <w:p w14:paraId="3D5EFA3C">
      <w:pPr>
        <w:pStyle w:val="62"/>
        <w:spacing w:line="560" w:lineRule="exact"/>
        <w:ind w:firstLine="790" w:firstLineChars="250"/>
        <w:rPr>
          <w:rFonts w:ascii="宋体" w:hAnsi="宋体" w:eastAsia="仿宋_GB2312" w:cs="仿宋"/>
          <w:bCs/>
          <w:kern w:val="21"/>
          <w:sz w:val="32"/>
          <w:szCs w:val="32"/>
          <w:highlight w:val="none"/>
        </w:rPr>
      </w:pPr>
      <w:r>
        <w:rPr>
          <w:rFonts w:hint="eastAsia" w:ascii="宋体" w:hAnsi="宋体" w:eastAsia="仿宋_GB2312" w:cs="仿宋"/>
          <w:bCs/>
          <w:kern w:val="21"/>
          <w:sz w:val="32"/>
          <w:szCs w:val="32"/>
          <w:highlight w:val="none"/>
        </w:rPr>
        <w:t>（五）监督合作银行</w:t>
      </w:r>
      <w:r>
        <w:rPr>
          <w:rFonts w:hint="eastAsia" w:ascii="宋体" w:hAnsi="宋体" w:eastAsia="仿宋_GB2312" w:cs="仿宋"/>
          <w:bCs/>
          <w:kern w:val="21"/>
          <w:sz w:val="32"/>
          <w:szCs w:val="32"/>
          <w:highlight w:val="none"/>
          <w:lang w:eastAsia="zh-CN"/>
        </w:rPr>
        <w:t>的</w:t>
      </w:r>
      <w:r>
        <w:rPr>
          <w:rFonts w:hint="eastAsia" w:ascii="宋体" w:hAnsi="宋体" w:eastAsia="仿宋_GB2312" w:cs="仿宋"/>
          <w:bCs/>
          <w:kern w:val="21"/>
          <w:sz w:val="32"/>
          <w:szCs w:val="32"/>
          <w:highlight w:val="none"/>
        </w:rPr>
        <w:t>合作协议履行情况，汇总合作方案实施情况;</w:t>
      </w:r>
    </w:p>
    <w:p w14:paraId="3AC540FA">
      <w:pPr>
        <w:pStyle w:val="62"/>
        <w:spacing w:line="560" w:lineRule="exact"/>
        <w:ind w:firstLine="790" w:firstLineChars="250"/>
        <w:rPr>
          <w:rFonts w:ascii="宋体" w:hAnsi="宋体" w:eastAsia="仿宋_GB2312" w:cs="仿宋"/>
          <w:bCs/>
          <w:kern w:val="21"/>
          <w:sz w:val="32"/>
          <w:szCs w:val="32"/>
          <w:highlight w:val="none"/>
        </w:rPr>
      </w:pPr>
      <w:r>
        <w:rPr>
          <w:rFonts w:hint="eastAsia" w:ascii="宋体" w:hAnsi="宋体" w:eastAsia="仿宋_GB2312" w:cs="仿宋"/>
          <w:bCs/>
          <w:kern w:val="21"/>
          <w:sz w:val="32"/>
          <w:szCs w:val="32"/>
          <w:highlight w:val="none"/>
        </w:rPr>
        <w:t>（六）审核风险补偿资金配套扶持奖励；</w:t>
      </w:r>
    </w:p>
    <w:p w14:paraId="438658AB">
      <w:pPr>
        <w:pStyle w:val="62"/>
        <w:spacing w:line="560" w:lineRule="exact"/>
        <w:ind w:firstLine="790" w:firstLineChars="250"/>
        <w:rPr>
          <w:rFonts w:ascii="宋体" w:hAnsi="宋体" w:eastAsia="仿宋_GB2312" w:cs="仿宋"/>
          <w:bCs/>
          <w:kern w:val="21"/>
          <w:sz w:val="32"/>
          <w:szCs w:val="32"/>
          <w:highlight w:val="none"/>
        </w:rPr>
      </w:pPr>
      <w:r>
        <w:rPr>
          <w:rFonts w:hint="eastAsia" w:ascii="宋体" w:hAnsi="宋体" w:eastAsia="仿宋_GB2312" w:cs="仿宋"/>
          <w:bCs/>
          <w:kern w:val="21"/>
          <w:sz w:val="32"/>
          <w:szCs w:val="32"/>
          <w:highlight w:val="none"/>
        </w:rPr>
        <w:t>（七）定期向监委会、监委办报告风险补偿资金运作情况和其他重大事项;</w:t>
      </w:r>
    </w:p>
    <w:p w14:paraId="639DF1F3">
      <w:pPr>
        <w:pStyle w:val="62"/>
        <w:spacing w:line="560" w:lineRule="exact"/>
        <w:ind w:firstLine="790" w:firstLineChars="250"/>
        <w:rPr>
          <w:rFonts w:ascii="宋体" w:hAnsi="宋体" w:eastAsia="仿宋_GB2312" w:cs="仿宋"/>
          <w:bCs/>
          <w:kern w:val="21"/>
          <w:sz w:val="32"/>
          <w:szCs w:val="32"/>
          <w:highlight w:val="none"/>
        </w:rPr>
      </w:pPr>
      <w:r>
        <w:rPr>
          <w:rFonts w:hint="eastAsia" w:ascii="宋体" w:hAnsi="宋体" w:eastAsia="仿宋_GB2312" w:cs="仿宋"/>
          <w:bCs/>
          <w:kern w:val="21"/>
          <w:sz w:val="32"/>
          <w:szCs w:val="32"/>
          <w:highlight w:val="none"/>
        </w:rPr>
        <w:t>（八）</w:t>
      </w:r>
      <w:r>
        <w:rPr>
          <w:rFonts w:hint="eastAsia" w:ascii="宋体" w:hAnsi="宋体" w:eastAsia="仿宋_GB2312" w:cs="仿宋"/>
          <w:kern w:val="21"/>
          <w:sz w:val="32"/>
          <w:szCs w:val="21"/>
          <w:highlight w:val="none"/>
        </w:rPr>
        <w:t>承办监委会、监委办交办的其他事项</w:t>
      </w:r>
      <w:r>
        <w:rPr>
          <w:rFonts w:hint="eastAsia" w:ascii="宋体" w:hAnsi="宋体" w:eastAsia="仿宋_GB2312" w:cs="仿宋"/>
          <w:bCs/>
          <w:kern w:val="21"/>
          <w:sz w:val="32"/>
          <w:szCs w:val="32"/>
          <w:highlight w:val="none"/>
        </w:rPr>
        <w:t>。</w:t>
      </w:r>
    </w:p>
    <w:p w14:paraId="6ADED90B">
      <w:pPr>
        <w:pStyle w:val="62"/>
        <w:spacing w:line="560" w:lineRule="exact"/>
        <w:ind w:firstLine="632" w:firstLineChars="200"/>
        <w:rPr>
          <w:rFonts w:ascii="宋体" w:hAnsi="宋体" w:eastAsia="仿宋_GB2312" w:cs="仿宋"/>
          <w:bCs/>
          <w:kern w:val="21"/>
          <w:sz w:val="32"/>
          <w:szCs w:val="32"/>
          <w:highlight w:val="none"/>
        </w:rPr>
      </w:pPr>
      <w:r>
        <w:rPr>
          <w:rFonts w:hint="eastAsia" w:ascii="宋体" w:hAnsi="宋体" w:eastAsia="仿宋_GB2312" w:cs="仿宋"/>
          <w:bCs/>
          <w:kern w:val="21"/>
          <w:sz w:val="32"/>
          <w:szCs w:val="32"/>
          <w:highlight w:val="none"/>
        </w:rPr>
        <w:t>资金管理人可按年度提取风险补偿资金管理费，具体如下：</w:t>
      </w:r>
    </w:p>
    <w:p w14:paraId="23BADF53">
      <w:pPr>
        <w:pStyle w:val="62"/>
        <w:numPr>
          <w:ilvl w:val="0"/>
          <w:numId w:val="3"/>
        </w:numPr>
        <w:spacing w:line="560" w:lineRule="exact"/>
        <w:ind w:firstLine="632" w:firstLineChars="200"/>
        <w:rPr>
          <w:rFonts w:ascii="宋体" w:hAnsi="宋体" w:eastAsia="仿宋_GB2312" w:cs="仿宋"/>
          <w:bCs/>
          <w:kern w:val="21"/>
          <w:sz w:val="32"/>
          <w:szCs w:val="32"/>
          <w:highlight w:val="none"/>
        </w:rPr>
      </w:pPr>
      <w:r>
        <w:rPr>
          <w:rFonts w:hint="eastAsia" w:ascii="宋体" w:hAnsi="宋体" w:eastAsia="仿宋_GB2312" w:cs="仿宋"/>
          <w:bCs/>
          <w:kern w:val="21"/>
          <w:sz w:val="32"/>
          <w:szCs w:val="32"/>
          <w:highlight w:val="none"/>
        </w:rPr>
        <w:t>提取标准</w:t>
      </w:r>
      <w:bookmarkStart w:id="3" w:name="OLE_LINK18"/>
      <w:r>
        <w:rPr>
          <w:rFonts w:hint="eastAsia" w:ascii="宋体" w:hAnsi="宋体" w:eastAsia="仿宋_GB2312" w:cs="仿宋"/>
          <w:bCs/>
          <w:kern w:val="21"/>
          <w:sz w:val="32"/>
          <w:szCs w:val="32"/>
          <w:highlight w:val="none"/>
        </w:rPr>
        <w:t>：</w:t>
      </w:r>
      <w:bookmarkEnd w:id="3"/>
      <w:r>
        <w:rPr>
          <w:rFonts w:hint="eastAsia" w:ascii="宋体" w:hAnsi="宋体" w:eastAsia="仿宋_GB2312" w:cs="仿宋"/>
          <w:bCs/>
          <w:kern w:val="21"/>
          <w:sz w:val="32"/>
          <w:szCs w:val="32"/>
          <w:highlight w:val="none"/>
        </w:rPr>
        <w:t>管理费用由基本管理费和绩效管理费组成，</w:t>
      </w:r>
      <w:r>
        <w:rPr>
          <w:rFonts w:hint="eastAsia" w:ascii="仿宋_GB2312" w:hAnsi="仿宋" w:eastAsia="仿宋_GB2312" w:cs="仿宋"/>
          <w:sz w:val="32"/>
          <w:szCs w:val="32"/>
          <w:highlight w:val="none"/>
        </w:rPr>
        <w:t>以当年</w:t>
      </w:r>
      <w:r>
        <w:rPr>
          <w:rFonts w:hint="eastAsia" w:ascii="仿宋_GB2312" w:eastAsia="仿宋_GB2312"/>
          <w:sz w:val="32"/>
          <w:szCs w:val="32"/>
          <w:highlight w:val="none"/>
        </w:rPr>
        <w:t>风险补偿资金利息收益为基数计提,</w:t>
      </w:r>
      <w:r>
        <w:rPr>
          <w:rFonts w:hint="eastAsia" w:ascii="宋体" w:hAnsi="宋体" w:eastAsia="仿宋_GB2312" w:cs="仿宋"/>
          <w:bCs/>
          <w:kern w:val="21"/>
          <w:sz w:val="32"/>
          <w:szCs w:val="32"/>
          <w:highlight w:val="none"/>
        </w:rPr>
        <w:t>具体金额根据绩效考核评定结果而定，</w:t>
      </w:r>
      <w:r>
        <w:rPr>
          <w:rFonts w:hint="eastAsia" w:ascii="仿宋_GB2312" w:eastAsia="仿宋_GB2312"/>
          <w:sz w:val="32"/>
          <w:szCs w:val="32"/>
          <w:highlight w:val="none"/>
        </w:rPr>
        <w:t>每年基本管理费和绩效管理费总额最高不超过600万元</w:t>
      </w:r>
      <w:r>
        <w:rPr>
          <w:rFonts w:hint="eastAsia" w:ascii="宋体" w:hAnsi="宋体" w:eastAsia="仿宋_GB2312" w:cs="仿宋"/>
          <w:bCs/>
          <w:kern w:val="21"/>
          <w:sz w:val="32"/>
          <w:szCs w:val="32"/>
          <w:highlight w:val="none"/>
        </w:rPr>
        <w:t>。具体绩效考核办法另行制定。</w:t>
      </w:r>
    </w:p>
    <w:p w14:paraId="04AEF86E">
      <w:pPr>
        <w:pStyle w:val="62"/>
        <w:spacing w:line="560" w:lineRule="exact"/>
        <w:ind w:firstLine="632" w:firstLineChars="200"/>
        <w:rPr>
          <w:rFonts w:ascii="宋体" w:hAnsi="宋体" w:eastAsia="仿宋_GB2312" w:cs="仿宋"/>
          <w:bCs/>
          <w:kern w:val="21"/>
          <w:sz w:val="32"/>
          <w:szCs w:val="32"/>
          <w:highlight w:val="none"/>
        </w:rPr>
      </w:pPr>
      <w:r>
        <w:rPr>
          <w:rFonts w:hint="eastAsia" w:ascii="宋体" w:hAnsi="宋体" w:eastAsia="仿宋_GB2312" w:cs="仿宋"/>
          <w:bCs/>
          <w:kern w:val="21"/>
          <w:sz w:val="32"/>
          <w:szCs w:val="32"/>
          <w:highlight w:val="none"/>
        </w:rPr>
        <w:t>（二）费用来源：资金管理费在风险补偿资金利息收益中列支。</w:t>
      </w:r>
    </w:p>
    <w:p w14:paraId="449C53BD">
      <w:pPr>
        <w:pStyle w:val="36"/>
        <w:spacing w:line="560" w:lineRule="exact"/>
        <w:ind w:firstLine="632" w:firstLineChars="200"/>
        <w:rPr>
          <w:rFonts w:ascii="宋体" w:hAnsi="宋体" w:eastAsia="仿宋_GB2312"/>
          <w:bCs/>
          <w:kern w:val="21"/>
          <w:sz w:val="32"/>
          <w:szCs w:val="32"/>
          <w:highlight w:val="none"/>
        </w:rPr>
      </w:pPr>
      <w:r>
        <w:rPr>
          <w:rFonts w:hint="eastAsia" w:ascii="黑体" w:hAnsi="黑体" w:eastAsia="黑体" w:cs="黑体"/>
          <w:bCs/>
          <w:kern w:val="0"/>
          <w:sz w:val="32"/>
          <w:szCs w:val="32"/>
          <w:highlight w:val="none"/>
        </w:rPr>
        <w:t>第九条</w:t>
      </w:r>
      <w:r>
        <w:rPr>
          <w:rFonts w:hint="eastAsia" w:ascii="宋体" w:hAnsi="宋体" w:eastAsia="仿宋_GB2312" w:cs="宋体"/>
          <w:b/>
          <w:kern w:val="21"/>
          <w:sz w:val="32"/>
          <w:szCs w:val="32"/>
          <w:highlight w:val="none"/>
        </w:rPr>
        <w:t xml:space="preserve">  </w:t>
      </w:r>
      <w:r>
        <w:rPr>
          <w:rFonts w:hint="eastAsia" w:ascii="宋体" w:hAnsi="宋体" w:eastAsia="仿宋_GB2312" w:cs="仿宋"/>
          <w:bCs/>
          <w:kern w:val="21"/>
          <w:sz w:val="32"/>
          <w:szCs w:val="32"/>
          <w:highlight w:val="none"/>
        </w:rPr>
        <w:t>在佛山市内设立分支机构的银行金融机构，或在佛山市外广东省内设立分支机构且主体信用评级在AA+（含）以上的银行金融机构，可按照本办法的相关规定，向资金管理人申请成为合作银行。经监委会审批同意的，资金管理人</w:t>
      </w:r>
      <w:r>
        <w:rPr>
          <w:rFonts w:hint="eastAsia" w:ascii="宋体" w:hAnsi="宋体" w:eastAsia="仿宋_GB2312" w:cs="仿宋"/>
          <w:kern w:val="21"/>
          <w:sz w:val="32"/>
          <w:szCs w:val="32"/>
          <w:highlight w:val="none"/>
        </w:rPr>
        <w:t>按规定与该合作银行签订合作协议，并将相关资料报送监委办备案。</w:t>
      </w:r>
    </w:p>
    <w:p w14:paraId="3AEFB5C7">
      <w:pPr>
        <w:pStyle w:val="62"/>
        <w:spacing w:line="560" w:lineRule="exact"/>
        <w:jc w:val="center"/>
        <w:rPr>
          <w:rFonts w:ascii="方正小标宋简体" w:hAnsi="方正小标宋简体" w:eastAsia="方正小标宋简体" w:cs="宋体"/>
          <w:bCs/>
          <w:kern w:val="0"/>
          <w:sz w:val="32"/>
          <w:szCs w:val="32"/>
          <w:highlight w:val="none"/>
        </w:rPr>
      </w:pPr>
    </w:p>
    <w:p w14:paraId="642FDD2E">
      <w:pPr>
        <w:pStyle w:val="62"/>
        <w:spacing w:line="560" w:lineRule="exact"/>
        <w:jc w:val="center"/>
        <w:rPr>
          <w:rFonts w:ascii="方正小标宋简体" w:hAnsi="方正小标宋简体" w:eastAsia="方正小标宋简体" w:cs="宋体"/>
          <w:bCs/>
          <w:kern w:val="0"/>
          <w:sz w:val="32"/>
          <w:szCs w:val="32"/>
          <w:highlight w:val="none"/>
        </w:rPr>
      </w:pPr>
      <w:r>
        <w:rPr>
          <w:rFonts w:hint="eastAsia" w:ascii="方正小标宋简体" w:hAnsi="方正小标宋简体" w:eastAsia="方正小标宋简体" w:cs="宋体"/>
          <w:bCs/>
          <w:kern w:val="0"/>
          <w:sz w:val="32"/>
          <w:szCs w:val="32"/>
          <w:highlight w:val="none"/>
        </w:rPr>
        <w:t>第三章  扶持对象</w:t>
      </w:r>
    </w:p>
    <w:p w14:paraId="0B6E7A33">
      <w:pPr>
        <w:pStyle w:val="62"/>
        <w:spacing w:line="560" w:lineRule="exact"/>
        <w:ind w:firstLine="632" w:firstLineChars="200"/>
        <w:rPr>
          <w:rFonts w:ascii="宋体" w:hAnsi="宋体" w:eastAsia="仿宋_GB2312" w:cs="仿宋_GB2312"/>
          <w:bCs/>
          <w:kern w:val="21"/>
          <w:sz w:val="32"/>
          <w:szCs w:val="32"/>
          <w:highlight w:val="none"/>
        </w:rPr>
      </w:pPr>
      <w:r>
        <w:rPr>
          <w:rFonts w:hint="eastAsia" w:ascii="黑体" w:hAnsi="黑体" w:eastAsia="黑体" w:cs="黑体"/>
          <w:bCs/>
          <w:kern w:val="0"/>
          <w:sz w:val="32"/>
          <w:szCs w:val="32"/>
          <w:highlight w:val="none"/>
        </w:rPr>
        <w:t>第十条</w:t>
      </w:r>
      <w:r>
        <w:rPr>
          <w:rFonts w:hint="eastAsia" w:ascii="宋体" w:hAnsi="宋体" w:eastAsia="仿宋_GB2312" w:cs="仿宋_GB2312"/>
          <w:bCs/>
          <w:kern w:val="21"/>
          <w:sz w:val="32"/>
          <w:szCs w:val="32"/>
          <w:highlight w:val="none"/>
        </w:rPr>
        <w:t xml:space="preserve">  </w:t>
      </w:r>
      <w:r>
        <w:rPr>
          <w:rFonts w:hint="eastAsia" w:ascii="宋体" w:hAnsi="宋体" w:eastAsia="仿宋_GB2312" w:cs="仿宋"/>
          <w:bCs/>
          <w:kern w:val="21"/>
          <w:sz w:val="32"/>
          <w:szCs w:val="32"/>
          <w:highlight w:val="none"/>
        </w:rPr>
        <w:t>本办法的扶持对象为“扶持企业库”内中小企业（以下简称入库企业）；风险补偿的对象是实施以入库企业为服务对象的融资项目（以下简称风险补偿项目）的合作银行。</w:t>
      </w:r>
    </w:p>
    <w:p w14:paraId="102D15A2">
      <w:pPr>
        <w:pStyle w:val="62"/>
        <w:spacing w:line="560" w:lineRule="exact"/>
        <w:ind w:firstLine="632" w:firstLineChars="200"/>
        <w:rPr>
          <w:rFonts w:ascii="宋体" w:hAnsi="宋体" w:eastAsia="仿宋_GB2312" w:cs="仿宋"/>
          <w:bCs/>
          <w:kern w:val="21"/>
          <w:sz w:val="32"/>
          <w:szCs w:val="32"/>
          <w:highlight w:val="none"/>
        </w:rPr>
      </w:pPr>
      <w:r>
        <w:rPr>
          <w:rFonts w:hint="eastAsia" w:ascii="黑体" w:hAnsi="黑体" w:eastAsia="黑体" w:cs="黑体"/>
          <w:bCs/>
          <w:kern w:val="0"/>
          <w:sz w:val="32"/>
          <w:szCs w:val="32"/>
          <w:highlight w:val="none"/>
        </w:rPr>
        <w:t>第十一条</w:t>
      </w:r>
      <w:r>
        <w:rPr>
          <w:rFonts w:hint="eastAsia" w:ascii="宋体" w:hAnsi="宋体" w:cs="宋体"/>
          <w:b/>
          <w:kern w:val="0"/>
          <w:sz w:val="32"/>
          <w:szCs w:val="32"/>
          <w:highlight w:val="none"/>
        </w:rPr>
        <w:t xml:space="preserve"> </w:t>
      </w:r>
      <w:r>
        <w:rPr>
          <w:rFonts w:hint="eastAsia" w:ascii="宋体" w:hAnsi="宋体" w:eastAsia="仿宋_GB2312" w:cs="宋体"/>
          <w:b/>
          <w:kern w:val="21"/>
          <w:sz w:val="32"/>
          <w:szCs w:val="32"/>
          <w:highlight w:val="none"/>
        </w:rPr>
        <w:t xml:space="preserve"> </w:t>
      </w:r>
      <w:r>
        <w:rPr>
          <w:rFonts w:hint="eastAsia" w:ascii="宋体" w:hAnsi="宋体" w:eastAsia="仿宋_GB2312" w:cs="仿宋"/>
          <w:bCs/>
          <w:kern w:val="21"/>
          <w:sz w:val="32"/>
          <w:szCs w:val="32"/>
          <w:highlight w:val="none"/>
        </w:rPr>
        <w:t>本办法所称“扶持企业库”，特指南海区政府为了支持中小企业发展，按科学、公正的原则从区内中小企业中评选出来的重点扶持对象名单。扶持企业库主要包括以下几种类型中小企业：</w:t>
      </w:r>
    </w:p>
    <w:p w14:paraId="10880EF0">
      <w:pPr>
        <w:pStyle w:val="36"/>
        <w:spacing w:line="560" w:lineRule="exact"/>
        <w:rPr>
          <w:rFonts w:ascii="宋体" w:hAnsi="宋体" w:eastAsia="仿宋_GB2312" w:cs="仿宋"/>
          <w:bCs/>
          <w:kern w:val="21"/>
          <w:sz w:val="32"/>
          <w:szCs w:val="30"/>
          <w:highlight w:val="none"/>
        </w:rPr>
      </w:pPr>
      <w:r>
        <w:rPr>
          <w:rFonts w:hint="eastAsia" w:ascii="宋体" w:hAnsi="宋体" w:eastAsia="仿宋_GB2312" w:cs="仿宋"/>
          <w:bCs/>
          <w:kern w:val="21"/>
          <w:sz w:val="32"/>
          <w:szCs w:val="30"/>
          <w:highlight w:val="none"/>
        </w:rPr>
        <w:t xml:space="preserve">    （一）专精特新“小巨人”企业、广东省专精特新企业、创新型中小企业（有效期内，下同）（区经济促进局核定入库）；</w:t>
      </w:r>
    </w:p>
    <w:p w14:paraId="7D8FC206">
      <w:pPr>
        <w:pStyle w:val="36"/>
        <w:spacing w:line="560" w:lineRule="exact"/>
        <w:ind w:firstLine="645"/>
        <w:rPr>
          <w:rFonts w:ascii="宋体" w:hAnsi="宋体" w:eastAsia="仿宋_GB2312" w:cs="仿宋"/>
          <w:bCs/>
          <w:kern w:val="21"/>
          <w:sz w:val="32"/>
          <w:szCs w:val="30"/>
          <w:highlight w:val="none"/>
        </w:rPr>
      </w:pPr>
      <w:r>
        <w:rPr>
          <w:rFonts w:hint="eastAsia" w:ascii="宋体" w:hAnsi="宋体" w:eastAsia="仿宋_GB2312" w:cs="仿宋"/>
          <w:bCs/>
          <w:kern w:val="21"/>
          <w:sz w:val="32"/>
          <w:szCs w:val="30"/>
          <w:highlight w:val="none"/>
        </w:rPr>
        <w:t>（二）南海区机器人产业优质企业培育库企业（区经济促进局核定入库）；</w:t>
      </w:r>
    </w:p>
    <w:p w14:paraId="28495F9C">
      <w:pPr>
        <w:pStyle w:val="36"/>
        <w:spacing w:line="560" w:lineRule="exact"/>
        <w:ind w:firstLine="645"/>
        <w:rPr>
          <w:rFonts w:hint="eastAsia" w:ascii="宋体" w:hAnsi="宋体" w:eastAsia="仿宋_GB2312" w:cs="仿宋"/>
          <w:bCs/>
          <w:kern w:val="21"/>
          <w:sz w:val="32"/>
          <w:szCs w:val="30"/>
          <w:highlight w:val="none"/>
          <w:lang w:eastAsia="zh-CN"/>
        </w:rPr>
      </w:pPr>
      <w:r>
        <w:rPr>
          <w:rFonts w:hint="eastAsia" w:ascii="宋体" w:hAnsi="宋体" w:eastAsia="仿宋_GB2312" w:cs="仿宋"/>
          <w:bCs/>
          <w:kern w:val="21"/>
          <w:sz w:val="32"/>
          <w:szCs w:val="30"/>
          <w:highlight w:val="none"/>
        </w:rPr>
        <w:t>（三）国、省、市和区级数字化示范企业（区经济促进局核定入库）</w:t>
      </w:r>
      <w:r>
        <w:rPr>
          <w:rFonts w:hint="eastAsia" w:ascii="宋体" w:hAnsi="宋体" w:eastAsia="仿宋_GB2312" w:cs="仿宋"/>
          <w:bCs/>
          <w:kern w:val="21"/>
          <w:sz w:val="32"/>
          <w:szCs w:val="30"/>
          <w:highlight w:val="none"/>
          <w:lang w:eastAsia="zh-CN"/>
        </w:rPr>
        <w:t>；</w:t>
      </w:r>
    </w:p>
    <w:p w14:paraId="55094C60">
      <w:pPr>
        <w:pStyle w:val="36"/>
        <w:spacing w:line="560" w:lineRule="exact"/>
        <w:ind w:firstLine="645"/>
        <w:rPr>
          <w:rFonts w:hint="eastAsia" w:ascii="宋体" w:hAnsi="宋体" w:eastAsia="仿宋_GB2312" w:cs="仿宋"/>
          <w:bCs/>
          <w:kern w:val="21"/>
          <w:sz w:val="32"/>
          <w:szCs w:val="30"/>
          <w:highlight w:val="none"/>
          <w:lang w:eastAsia="zh-CN"/>
        </w:rPr>
      </w:pPr>
      <w:r>
        <w:rPr>
          <w:rFonts w:hint="eastAsia" w:ascii="宋体" w:hAnsi="宋体" w:eastAsia="仿宋_GB2312" w:cs="仿宋"/>
          <w:bCs/>
          <w:kern w:val="21"/>
          <w:sz w:val="32"/>
          <w:szCs w:val="30"/>
          <w:highlight w:val="none"/>
        </w:rPr>
        <w:t>（四）经过各镇（街道）载体联盟推荐的规上企业。（区招商局核定入库）</w:t>
      </w:r>
      <w:r>
        <w:rPr>
          <w:rFonts w:hint="eastAsia" w:ascii="宋体" w:hAnsi="宋体" w:eastAsia="仿宋_GB2312" w:cs="仿宋"/>
          <w:bCs/>
          <w:kern w:val="21"/>
          <w:sz w:val="32"/>
          <w:szCs w:val="30"/>
          <w:highlight w:val="none"/>
          <w:lang w:eastAsia="zh-CN"/>
        </w:rPr>
        <w:t>；</w:t>
      </w:r>
    </w:p>
    <w:p w14:paraId="3C96622F">
      <w:pPr>
        <w:pStyle w:val="36"/>
        <w:spacing w:line="560" w:lineRule="exact"/>
        <w:ind w:firstLine="645"/>
        <w:rPr>
          <w:rFonts w:ascii="宋体" w:hAnsi="宋体" w:eastAsia="仿宋_GB2312" w:cs="仿宋"/>
          <w:bCs/>
          <w:kern w:val="21"/>
          <w:sz w:val="32"/>
          <w:szCs w:val="30"/>
          <w:highlight w:val="none"/>
        </w:rPr>
      </w:pPr>
      <w:r>
        <w:rPr>
          <w:rFonts w:hint="eastAsia" w:ascii="宋体" w:hAnsi="宋体" w:eastAsia="仿宋_GB2312" w:cs="仿宋"/>
          <w:bCs/>
          <w:kern w:val="21"/>
          <w:sz w:val="32"/>
          <w:szCs w:val="30"/>
          <w:highlight w:val="none"/>
        </w:rPr>
        <w:t>（五）经各级人民政府认定的隐形冠军企业（区工商联核定入库）；</w:t>
      </w:r>
    </w:p>
    <w:p w14:paraId="6F33551D">
      <w:pPr>
        <w:pStyle w:val="43"/>
        <w:spacing w:line="560" w:lineRule="exact"/>
        <w:ind w:firstLine="630"/>
        <w:rPr>
          <w:rFonts w:ascii="宋体" w:hAnsi="宋体" w:eastAsia="仿宋_GB2312" w:cs="仿宋"/>
          <w:kern w:val="21"/>
          <w:sz w:val="32"/>
          <w:szCs w:val="32"/>
          <w:highlight w:val="none"/>
        </w:rPr>
      </w:pPr>
      <w:r>
        <w:rPr>
          <w:rFonts w:hint="eastAsia" w:ascii="宋体" w:hAnsi="宋体" w:eastAsia="仿宋_GB2312" w:cs="仿宋"/>
          <w:bCs/>
          <w:kern w:val="21"/>
          <w:sz w:val="32"/>
          <w:szCs w:val="30"/>
          <w:highlight w:val="none"/>
        </w:rPr>
        <w:t>（六）</w:t>
      </w:r>
      <w:r>
        <w:rPr>
          <w:rFonts w:hint="eastAsia" w:ascii="宋体" w:hAnsi="宋体" w:eastAsia="仿宋_GB2312" w:cs="仿宋"/>
          <w:kern w:val="21"/>
          <w:sz w:val="32"/>
          <w:szCs w:val="32"/>
          <w:highlight w:val="none"/>
        </w:rPr>
        <w:t>国家高新技术企业（区科学技术局核定入库）；</w:t>
      </w:r>
    </w:p>
    <w:p w14:paraId="72484AB5">
      <w:pPr>
        <w:pStyle w:val="43"/>
        <w:spacing w:line="560" w:lineRule="exact"/>
        <w:ind w:firstLine="630"/>
        <w:rPr>
          <w:rFonts w:ascii="宋体" w:hAnsi="宋体" w:eastAsia="仿宋_GB2312" w:cs="仿宋"/>
          <w:kern w:val="21"/>
          <w:sz w:val="32"/>
          <w:szCs w:val="32"/>
          <w:highlight w:val="none"/>
        </w:rPr>
      </w:pPr>
      <w:r>
        <w:rPr>
          <w:rFonts w:hint="eastAsia" w:ascii="宋体" w:hAnsi="宋体" w:eastAsia="仿宋_GB2312" w:cs="仿宋"/>
          <w:kern w:val="21"/>
          <w:sz w:val="32"/>
          <w:szCs w:val="32"/>
          <w:highlight w:val="none"/>
        </w:rPr>
        <w:t>（七）年度自营进出口总值超1亿元人民币的企业（区经济促进局核定入库）；</w:t>
      </w:r>
    </w:p>
    <w:p w14:paraId="5D0CE8CF">
      <w:pPr>
        <w:pStyle w:val="43"/>
        <w:spacing w:line="560" w:lineRule="exact"/>
        <w:ind w:firstLine="630"/>
        <w:rPr>
          <w:rFonts w:hint="eastAsia" w:ascii="宋体" w:hAnsi="宋体" w:eastAsia="仿宋_GB2312" w:cs="仿宋"/>
          <w:kern w:val="21"/>
          <w:sz w:val="32"/>
          <w:szCs w:val="32"/>
          <w:highlight w:val="none"/>
          <w:lang w:eastAsia="zh-CN"/>
        </w:rPr>
      </w:pPr>
      <w:r>
        <w:rPr>
          <w:rFonts w:hint="eastAsia" w:ascii="宋体" w:hAnsi="宋体" w:eastAsia="仿宋_GB2312" w:cs="仿宋"/>
          <w:kern w:val="21"/>
          <w:sz w:val="32"/>
          <w:szCs w:val="32"/>
          <w:highlight w:val="none"/>
        </w:rPr>
        <w:t>（八）落户南海的省市区创新创业项目（人才团队）、蓝海科创天使投资基金投资项目（区科学技术局核定入库）</w:t>
      </w:r>
      <w:r>
        <w:rPr>
          <w:rFonts w:hint="eastAsia" w:ascii="宋体" w:hAnsi="宋体" w:eastAsia="仿宋_GB2312" w:cs="仿宋"/>
          <w:kern w:val="21"/>
          <w:sz w:val="32"/>
          <w:szCs w:val="32"/>
          <w:highlight w:val="none"/>
          <w:lang w:eastAsia="zh-CN"/>
        </w:rPr>
        <w:t>；</w:t>
      </w:r>
    </w:p>
    <w:p w14:paraId="4BB07DED">
      <w:pPr>
        <w:pStyle w:val="43"/>
        <w:spacing w:line="560" w:lineRule="exact"/>
        <w:ind w:firstLine="630"/>
        <w:rPr>
          <w:rFonts w:hint="eastAsia" w:ascii="宋体" w:hAnsi="宋体" w:eastAsia="仿宋_GB2312" w:cs="仿宋"/>
          <w:kern w:val="21"/>
          <w:sz w:val="32"/>
          <w:szCs w:val="32"/>
          <w:highlight w:val="none"/>
          <w:lang w:eastAsia="zh-CN"/>
        </w:rPr>
      </w:pPr>
      <w:r>
        <w:rPr>
          <w:rFonts w:hint="eastAsia" w:ascii="宋体" w:hAnsi="宋体" w:eastAsia="仿宋_GB2312" w:cs="仿宋"/>
          <w:kern w:val="21"/>
          <w:sz w:val="32"/>
          <w:szCs w:val="32"/>
          <w:highlight w:val="none"/>
          <w:lang w:eastAsia="zh-CN"/>
        </w:rPr>
        <w:t>（九）区级增资扩产重点项目库的规上工业企业（区招商局核定入库）；</w:t>
      </w:r>
    </w:p>
    <w:p w14:paraId="7F577883">
      <w:pPr>
        <w:pStyle w:val="43"/>
        <w:spacing w:line="560" w:lineRule="exact"/>
        <w:ind w:firstLine="630"/>
        <w:rPr>
          <w:rFonts w:ascii="宋体" w:hAnsi="宋体" w:eastAsia="仿宋_GB2312" w:cs="仿宋"/>
          <w:color w:val="000000"/>
          <w:kern w:val="21"/>
          <w:sz w:val="32"/>
          <w:szCs w:val="32"/>
          <w:highlight w:val="none"/>
        </w:rPr>
      </w:pPr>
      <w:r>
        <w:rPr>
          <w:rFonts w:hint="eastAsia" w:ascii="宋体" w:hAnsi="宋体" w:eastAsia="仿宋_GB2312" w:cs="仿宋"/>
          <w:color w:val="000000"/>
          <w:kern w:val="21"/>
          <w:sz w:val="32"/>
          <w:szCs w:val="32"/>
          <w:highlight w:val="none"/>
        </w:rPr>
        <w:t>（</w:t>
      </w:r>
      <w:r>
        <w:rPr>
          <w:rFonts w:hint="eastAsia" w:ascii="宋体" w:hAnsi="宋体" w:eastAsia="仿宋_GB2312" w:cs="仿宋"/>
          <w:color w:val="000000"/>
          <w:kern w:val="21"/>
          <w:sz w:val="32"/>
          <w:szCs w:val="32"/>
          <w:highlight w:val="none"/>
          <w:lang w:eastAsia="zh-CN"/>
        </w:rPr>
        <w:t>十</w:t>
      </w:r>
      <w:r>
        <w:rPr>
          <w:rFonts w:hint="eastAsia" w:ascii="宋体" w:hAnsi="宋体" w:eastAsia="仿宋_GB2312" w:cs="仿宋"/>
          <w:color w:val="000000"/>
          <w:kern w:val="21"/>
          <w:sz w:val="32"/>
          <w:szCs w:val="32"/>
          <w:highlight w:val="none"/>
        </w:rPr>
        <w:t>）经监委会决议同意入库的企业。</w:t>
      </w:r>
    </w:p>
    <w:p w14:paraId="23AED42D">
      <w:pPr>
        <w:pStyle w:val="43"/>
        <w:spacing w:line="560" w:lineRule="exact"/>
        <w:ind w:firstLine="630"/>
        <w:rPr>
          <w:rFonts w:ascii="宋体" w:hAnsi="宋体" w:eastAsia="仿宋_GB2312" w:cs="仿宋"/>
          <w:kern w:val="21"/>
          <w:sz w:val="32"/>
          <w:szCs w:val="32"/>
          <w:highlight w:val="none"/>
        </w:rPr>
      </w:pPr>
      <w:r>
        <w:rPr>
          <w:rFonts w:hint="eastAsia" w:ascii="黑体" w:hAnsi="黑体" w:eastAsia="黑体" w:cs="黑体"/>
          <w:sz w:val="32"/>
          <w:szCs w:val="32"/>
          <w:highlight w:val="none"/>
        </w:rPr>
        <w:t xml:space="preserve">第十二条  </w:t>
      </w:r>
      <w:r>
        <w:rPr>
          <w:rFonts w:hint="eastAsia" w:ascii="宋体" w:hAnsi="宋体" w:eastAsia="仿宋_GB2312" w:cs="仿宋"/>
          <w:kern w:val="21"/>
          <w:sz w:val="32"/>
          <w:szCs w:val="32"/>
          <w:highlight w:val="none"/>
          <w:lang w:eastAsia="zh-CN"/>
        </w:rPr>
        <w:t>各核定部门负责对上述重点扶持对象的最新名单进行审核，并向监委办提出入库意见；对入库企业资质到期的，由原核定部门向监委办提出退库意见。扶持企业库的动态更新工作由监委办委托资金管理人负责组织实施。</w:t>
      </w:r>
    </w:p>
    <w:p w14:paraId="461CB7C0">
      <w:pPr>
        <w:pStyle w:val="62"/>
        <w:spacing w:line="560" w:lineRule="exact"/>
        <w:jc w:val="center"/>
        <w:rPr>
          <w:rFonts w:ascii="方正小标宋简体" w:hAnsi="方正小标宋简体" w:eastAsia="方正小标宋简体" w:cs="宋体"/>
          <w:bCs/>
          <w:kern w:val="0"/>
          <w:sz w:val="32"/>
          <w:szCs w:val="32"/>
          <w:highlight w:val="none"/>
        </w:rPr>
      </w:pPr>
    </w:p>
    <w:p w14:paraId="40018F6C">
      <w:pPr>
        <w:pStyle w:val="36"/>
        <w:tabs>
          <w:tab w:val="center" w:pos="4156"/>
          <w:tab w:val="left" w:pos="5895"/>
        </w:tabs>
        <w:spacing w:line="560" w:lineRule="exact"/>
        <w:jc w:val="center"/>
        <w:rPr>
          <w:rFonts w:ascii="方正小标宋简体" w:hAnsi="方正小标宋简体" w:eastAsia="方正小标宋简体"/>
          <w:bCs/>
          <w:sz w:val="32"/>
          <w:szCs w:val="30"/>
          <w:highlight w:val="none"/>
        </w:rPr>
      </w:pPr>
      <w:r>
        <w:rPr>
          <w:rFonts w:hint="eastAsia" w:ascii="方正小标宋简体" w:hAnsi="方正小标宋简体" w:eastAsia="方正小标宋简体"/>
          <w:bCs/>
          <w:sz w:val="32"/>
          <w:szCs w:val="30"/>
          <w:highlight w:val="none"/>
        </w:rPr>
        <w:t>第四章  扶持内容及运作</w:t>
      </w:r>
    </w:p>
    <w:p w14:paraId="6D25B3B1">
      <w:pPr>
        <w:pStyle w:val="43"/>
        <w:spacing w:line="560" w:lineRule="exact"/>
        <w:ind w:firstLine="632" w:firstLineChars="200"/>
        <w:rPr>
          <w:rFonts w:ascii="宋体" w:hAnsi="宋体" w:eastAsia="仿宋_GB2312" w:cs="仿宋"/>
          <w:bCs/>
          <w:kern w:val="21"/>
          <w:sz w:val="32"/>
          <w:szCs w:val="32"/>
          <w:highlight w:val="none"/>
        </w:rPr>
      </w:pPr>
      <w:r>
        <w:rPr>
          <w:rFonts w:hint="eastAsia" w:ascii="黑体" w:hAnsi="黑体" w:eastAsia="黑体" w:cs="黑体"/>
          <w:bCs/>
          <w:kern w:val="0"/>
          <w:sz w:val="32"/>
          <w:szCs w:val="32"/>
          <w:highlight w:val="none"/>
        </w:rPr>
        <w:t>第十三条</w:t>
      </w:r>
      <w:r>
        <w:rPr>
          <w:rFonts w:hint="eastAsia" w:ascii="宋体" w:hAnsi="宋体" w:eastAsia="仿宋_GB2312" w:cs="黑体"/>
          <w:bCs/>
          <w:kern w:val="21"/>
          <w:sz w:val="32"/>
          <w:szCs w:val="32"/>
          <w:highlight w:val="none"/>
        </w:rPr>
        <w:t xml:space="preserve">  </w:t>
      </w:r>
      <w:bookmarkStart w:id="4" w:name="OLE_LINK14"/>
      <w:r>
        <w:rPr>
          <w:rFonts w:hint="eastAsia" w:ascii="宋体" w:hAnsi="宋体" w:eastAsia="仿宋_GB2312" w:cs="仿宋"/>
          <w:bCs/>
          <w:kern w:val="21"/>
          <w:sz w:val="32"/>
          <w:szCs w:val="32"/>
          <w:highlight w:val="none"/>
        </w:rPr>
        <w:t>单个风险补偿项目信贷融资金额原则上不超过1000万元</w:t>
      </w:r>
      <w:bookmarkEnd w:id="4"/>
      <w:r>
        <w:rPr>
          <w:rFonts w:hint="eastAsia" w:ascii="宋体" w:hAnsi="宋体" w:eastAsia="仿宋_GB2312" w:cs="仿宋"/>
          <w:bCs/>
          <w:kern w:val="21"/>
          <w:sz w:val="32"/>
          <w:szCs w:val="32"/>
          <w:highlight w:val="none"/>
        </w:rPr>
        <w:t>（含）。风险补偿项目的融资期限最长不超过3年（含）。单家企业同时只能享受一个风险补偿项目，其按时还本付息后方可再次申请。</w:t>
      </w:r>
    </w:p>
    <w:p w14:paraId="76D59451">
      <w:pPr>
        <w:pStyle w:val="43"/>
        <w:spacing w:line="560" w:lineRule="exact"/>
        <w:rPr>
          <w:rFonts w:ascii="仿宋" w:hAnsi="仿宋" w:eastAsia="仿宋" w:cs="仿宋"/>
          <w:bCs/>
          <w:kern w:val="0"/>
          <w:sz w:val="32"/>
          <w:szCs w:val="32"/>
          <w:highlight w:val="none"/>
        </w:rPr>
      </w:pPr>
      <w:r>
        <w:rPr>
          <w:rFonts w:hint="eastAsia" w:ascii="黑体" w:hAnsi="黑体" w:eastAsia="黑体" w:cs="黑体"/>
          <w:bCs/>
          <w:kern w:val="0"/>
          <w:sz w:val="32"/>
          <w:szCs w:val="32"/>
          <w:highlight w:val="none"/>
        </w:rPr>
        <w:t xml:space="preserve">    第十四条</w:t>
      </w:r>
      <w:r>
        <w:rPr>
          <w:rFonts w:hint="eastAsia" w:ascii="宋体" w:hAnsi="宋体" w:eastAsia="仿宋_GB2312" w:cs="黑体"/>
          <w:bCs/>
          <w:kern w:val="21"/>
          <w:sz w:val="32"/>
          <w:szCs w:val="32"/>
          <w:highlight w:val="none"/>
        </w:rPr>
        <w:t xml:space="preserve">  </w:t>
      </w:r>
      <w:r>
        <w:rPr>
          <w:rFonts w:hint="eastAsia" w:ascii="宋体" w:hAnsi="宋体" w:eastAsia="仿宋_GB2312" w:cs="仿宋"/>
          <w:bCs/>
          <w:kern w:val="21"/>
          <w:sz w:val="32"/>
          <w:szCs w:val="32"/>
          <w:highlight w:val="none"/>
        </w:rPr>
        <w:t>风险补偿实行“先放贷、后报备”模式，合作银行向入库企业发放融资款项后，按本办法相关要求向资金管理人提交项目备案申请，经备案确认后的风险补偿项目纳入融资风险补偿资金扶持范围。</w:t>
      </w:r>
    </w:p>
    <w:p w14:paraId="2CD98B5D">
      <w:pPr>
        <w:pStyle w:val="43"/>
        <w:spacing w:line="560" w:lineRule="exact"/>
        <w:ind w:firstLine="623" w:firstLineChars="197"/>
        <w:rPr>
          <w:rFonts w:ascii="仿宋_GB2312" w:hAnsi="仿宋" w:eastAsia="仿宋_GB2312"/>
          <w:sz w:val="32"/>
          <w:szCs w:val="32"/>
          <w:highlight w:val="none"/>
        </w:rPr>
      </w:pPr>
      <w:r>
        <w:rPr>
          <w:rFonts w:hint="eastAsia" w:ascii="黑体" w:hAnsi="黑体" w:eastAsia="黑体" w:cs="黑体"/>
          <w:bCs/>
          <w:kern w:val="0"/>
          <w:sz w:val="32"/>
          <w:szCs w:val="32"/>
          <w:highlight w:val="none"/>
        </w:rPr>
        <w:t>第十五条</w:t>
      </w:r>
      <w:r>
        <w:rPr>
          <w:rFonts w:hint="eastAsia" w:ascii="宋体" w:hAnsi="宋体" w:eastAsia="仿宋_GB2312" w:cs="黑体"/>
          <w:bCs/>
          <w:kern w:val="21"/>
          <w:sz w:val="32"/>
          <w:szCs w:val="32"/>
          <w:highlight w:val="none"/>
        </w:rPr>
        <w:t xml:space="preserve">  </w:t>
      </w:r>
      <w:r>
        <w:rPr>
          <w:rFonts w:hint="eastAsia" w:ascii="宋体" w:hAnsi="宋体" w:eastAsia="仿宋_GB2312"/>
          <w:kern w:val="21"/>
          <w:sz w:val="32"/>
          <w:szCs w:val="32"/>
          <w:highlight w:val="none"/>
        </w:rPr>
        <w:t>风险补偿项目的补偿形式为信贷风险补偿。</w:t>
      </w:r>
    </w:p>
    <w:p w14:paraId="4EFDBB4A">
      <w:pPr>
        <w:pStyle w:val="43"/>
        <w:spacing w:line="560" w:lineRule="exact"/>
        <w:ind w:firstLine="632" w:firstLineChars="200"/>
        <w:rPr>
          <w:rFonts w:ascii="宋体" w:hAnsi="宋体" w:eastAsia="仿宋_GB2312" w:cs="仿宋"/>
          <w:kern w:val="21"/>
          <w:sz w:val="32"/>
          <w:szCs w:val="32"/>
          <w:highlight w:val="none"/>
        </w:rPr>
      </w:pPr>
      <w:r>
        <w:rPr>
          <w:rFonts w:hint="eastAsia" w:ascii="黑体" w:hAnsi="黑体" w:eastAsia="黑体" w:cs="黑体"/>
          <w:bCs/>
          <w:kern w:val="0"/>
          <w:sz w:val="32"/>
          <w:szCs w:val="32"/>
          <w:highlight w:val="none"/>
        </w:rPr>
        <w:t xml:space="preserve">第十六条 </w:t>
      </w:r>
      <w:r>
        <w:rPr>
          <w:rFonts w:hint="eastAsia" w:ascii="仿宋_GB2312" w:hAnsi="仿宋_GB2312" w:eastAsia="仿宋_GB2312" w:cs="仿宋_GB2312"/>
          <w:bCs/>
          <w:kern w:val="0"/>
          <w:sz w:val="32"/>
          <w:szCs w:val="32"/>
          <w:highlight w:val="none"/>
        </w:rPr>
        <w:t xml:space="preserve"> </w:t>
      </w:r>
      <w:r>
        <w:rPr>
          <w:rFonts w:hint="eastAsia" w:ascii="宋体" w:hAnsi="宋体" w:eastAsia="仿宋_GB2312" w:cs="仿宋"/>
          <w:kern w:val="21"/>
          <w:sz w:val="32"/>
          <w:szCs w:val="32"/>
          <w:highlight w:val="none"/>
        </w:rPr>
        <w:t>信贷风险补偿运作方式如下：</w:t>
      </w:r>
    </w:p>
    <w:p w14:paraId="0765402A">
      <w:pPr>
        <w:pStyle w:val="43"/>
        <w:spacing w:line="560" w:lineRule="exact"/>
        <w:ind w:firstLine="632" w:firstLineChars="200"/>
        <w:rPr>
          <w:rFonts w:ascii="宋体" w:hAnsi="宋体" w:eastAsia="仿宋_GB2312" w:cs="仿宋"/>
          <w:kern w:val="21"/>
          <w:sz w:val="32"/>
          <w:szCs w:val="32"/>
          <w:highlight w:val="none"/>
        </w:rPr>
      </w:pPr>
      <w:r>
        <w:rPr>
          <w:rFonts w:hint="eastAsia" w:ascii="宋体" w:hAnsi="宋体" w:eastAsia="仿宋_GB2312" w:cs="仿宋"/>
          <w:kern w:val="21"/>
          <w:sz w:val="32"/>
          <w:szCs w:val="32"/>
          <w:highlight w:val="none"/>
        </w:rPr>
        <w:t>（一）资金管理人应在合作银行设立风险补偿资金专户，然后按合作协议的约定存入风险补偿准备金并建立风险补偿资金池；如合作银行无法履行合作协议约定的职责，资金管理人有权从专户中取出全部或部分风险补偿准备金，合作银行必须予以全力配合。</w:t>
      </w:r>
    </w:p>
    <w:p w14:paraId="15449118">
      <w:pPr>
        <w:pStyle w:val="43"/>
        <w:spacing w:line="560" w:lineRule="exact"/>
        <w:ind w:firstLine="623" w:firstLineChars="197"/>
        <w:rPr>
          <w:rFonts w:ascii="宋体" w:hAnsi="宋体" w:eastAsia="仿宋_GB2312" w:cs="仿宋"/>
          <w:kern w:val="21"/>
          <w:sz w:val="32"/>
          <w:szCs w:val="32"/>
          <w:highlight w:val="none"/>
        </w:rPr>
      </w:pPr>
      <w:r>
        <w:rPr>
          <w:rFonts w:hint="eastAsia" w:ascii="宋体" w:hAnsi="宋体" w:eastAsia="仿宋_GB2312" w:cs="仿宋"/>
          <w:kern w:val="21"/>
          <w:sz w:val="32"/>
          <w:szCs w:val="32"/>
          <w:highlight w:val="none"/>
        </w:rPr>
        <w:t>（二）资金管理人应积极优化资金存款方式以提高风险补偿资金的利息收益。</w:t>
      </w:r>
    </w:p>
    <w:p w14:paraId="47F00552">
      <w:pPr>
        <w:pStyle w:val="43"/>
        <w:spacing w:line="560" w:lineRule="exact"/>
        <w:ind w:firstLine="623" w:firstLineChars="197"/>
        <w:rPr>
          <w:rFonts w:ascii="宋体" w:hAnsi="宋体" w:eastAsia="仿宋_GB2312" w:cs="仿宋"/>
          <w:kern w:val="21"/>
          <w:sz w:val="32"/>
          <w:szCs w:val="32"/>
          <w:highlight w:val="none"/>
        </w:rPr>
      </w:pPr>
      <w:r>
        <w:rPr>
          <w:rFonts w:hint="eastAsia" w:ascii="宋体" w:hAnsi="宋体" w:eastAsia="仿宋_GB2312" w:cs="仿宋"/>
          <w:kern w:val="21"/>
          <w:sz w:val="32"/>
          <w:szCs w:val="32"/>
          <w:highlight w:val="none"/>
        </w:rPr>
        <w:t>（三）合作银行应按国家有关管理制度处理资金管理人存入的风险补偿准备资金，原则上为入库企业提供不低于10倍风险补偿准备金数额的贷款授信额度（以下简称授信额度）。</w:t>
      </w:r>
    </w:p>
    <w:p w14:paraId="49839B9C">
      <w:pPr>
        <w:pStyle w:val="43"/>
        <w:spacing w:line="560" w:lineRule="exact"/>
        <w:ind w:firstLine="623" w:firstLineChars="197"/>
        <w:rPr>
          <w:rFonts w:ascii="宋体" w:hAnsi="宋体" w:eastAsia="仿宋_GB2312" w:cs="仿宋"/>
          <w:kern w:val="21"/>
          <w:sz w:val="32"/>
          <w:szCs w:val="32"/>
          <w:highlight w:val="none"/>
        </w:rPr>
      </w:pPr>
      <w:r>
        <w:rPr>
          <w:rFonts w:hint="eastAsia" w:ascii="宋体" w:hAnsi="宋体" w:eastAsia="仿宋_GB2312" w:cs="仿宋"/>
          <w:kern w:val="21"/>
          <w:sz w:val="32"/>
          <w:szCs w:val="32"/>
          <w:highlight w:val="none"/>
        </w:rPr>
        <w:t>（四）合作银行根据其相关审核规定，自主决定融资款项的发放；融资利率原则上参考全国银行间同业拆借中心公布的同期同档次贷款基础利率（LPR），并结合市场因素给予优惠，具体另行约定；合作银行不得收取除利息以外任何形式的其他费用。</w:t>
      </w:r>
    </w:p>
    <w:p w14:paraId="1B84C56E">
      <w:pPr>
        <w:pStyle w:val="43"/>
        <w:spacing w:line="560" w:lineRule="exact"/>
        <w:ind w:firstLine="623" w:firstLineChars="197"/>
        <w:rPr>
          <w:rFonts w:ascii="宋体" w:hAnsi="宋体" w:eastAsia="仿宋_GB2312" w:cs="仿宋"/>
          <w:kern w:val="21"/>
          <w:sz w:val="32"/>
          <w:szCs w:val="32"/>
          <w:highlight w:val="none"/>
        </w:rPr>
      </w:pPr>
      <w:r>
        <w:rPr>
          <w:rFonts w:hint="eastAsia" w:ascii="宋体" w:hAnsi="宋体" w:eastAsia="仿宋_GB2312" w:cs="黑体"/>
          <w:kern w:val="21"/>
          <w:sz w:val="32"/>
          <w:szCs w:val="32"/>
          <w:highlight w:val="none"/>
        </w:rPr>
        <w:t>（五）</w:t>
      </w:r>
      <w:r>
        <w:rPr>
          <w:rFonts w:hint="eastAsia" w:ascii="宋体" w:hAnsi="宋体" w:eastAsia="仿宋_GB2312" w:cs="仿宋"/>
          <w:kern w:val="21"/>
          <w:sz w:val="32"/>
          <w:szCs w:val="32"/>
          <w:highlight w:val="none"/>
        </w:rPr>
        <w:t>入库企业通过合作银行获得的贷款项目，如合作银行发生实际信贷融资本金损失，由风险补偿资金、合作银行共同承担，原则上按3∶7比例执行</w:t>
      </w:r>
      <w:bookmarkStart w:id="5" w:name="OLE_LINK8"/>
      <w:r>
        <w:rPr>
          <w:rFonts w:hint="eastAsia" w:ascii="宋体" w:hAnsi="宋体" w:eastAsia="仿宋_GB2312" w:cs="仿宋"/>
          <w:kern w:val="21"/>
          <w:sz w:val="32"/>
          <w:szCs w:val="32"/>
          <w:highlight w:val="none"/>
        </w:rPr>
        <w:t>，</w:t>
      </w:r>
      <w:bookmarkEnd w:id="5"/>
      <w:r>
        <w:rPr>
          <w:rFonts w:hint="eastAsia" w:ascii="宋体" w:hAnsi="宋体" w:eastAsia="仿宋_GB2312" w:cs="仿宋"/>
          <w:kern w:val="21"/>
          <w:sz w:val="32"/>
          <w:szCs w:val="32"/>
          <w:highlight w:val="none"/>
        </w:rPr>
        <w:t>但风险补偿资金对合作银行的风险补偿实行限额责任：</w:t>
      </w:r>
    </w:p>
    <w:p w14:paraId="6DC1A404">
      <w:pPr>
        <w:pStyle w:val="43"/>
        <w:spacing w:line="560" w:lineRule="exact"/>
        <w:ind w:firstLine="623" w:firstLineChars="197"/>
        <w:rPr>
          <w:rFonts w:ascii="宋体" w:hAnsi="宋体" w:eastAsia="仿宋_GB2312" w:cs="仿宋"/>
          <w:kern w:val="21"/>
          <w:sz w:val="32"/>
          <w:szCs w:val="32"/>
          <w:highlight w:val="none"/>
        </w:rPr>
      </w:pPr>
      <w:r>
        <w:rPr>
          <w:rFonts w:hint="eastAsia" w:ascii="宋体" w:hAnsi="宋体" w:eastAsia="仿宋_GB2312" w:cs="仿宋"/>
          <w:kern w:val="21"/>
          <w:sz w:val="32"/>
          <w:szCs w:val="32"/>
          <w:highlight w:val="none"/>
        </w:rPr>
        <w:t>（1）风险补偿资金对全部合作银行的风险补偿额度以全部风险补偿资金池</w:t>
      </w:r>
      <w:r>
        <w:rPr>
          <w:rFonts w:hint="eastAsia" w:ascii="宋体" w:hAnsi="宋体" w:eastAsia="仿宋_GB2312" w:cs="仿宋"/>
          <w:kern w:val="21"/>
          <w:sz w:val="32"/>
          <w:szCs w:val="32"/>
          <w:highlight w:val="none"/>
          <w:lang w:eastAsia="zh-CN"/>
        </w:rPr>
        <w:t>的</w:t>
      </w:r>
      <w:r>
        <w:rPr>
          <w:rFonts w:hint="eastAsia" w:ascii="宋体" w:hAnsi="宋体" w:eastAsia="仿宋_GB2312" w:cs="仿宋"/>
          <w:kern w:val="21"/>
          <w:sz w:val="32"/>
          <w:szCs w:val="32"/>
          <w:highlight w:val="none"/>
        </w:rPr>
        <w:t>资金余额（指风险</w:t>
      </w:r>
      <w:r>
        <w:rPr>
          <w:rFonts w:hint="eastAsia" w:ascii="宋体" w:hAnsi="宋体" w:eastAsia="仿宋_GB2312" w:cs="仿宋"/>
          <w:kern w:val="21"/>
          <w:sz w:val="32"/>
          <w:szCs w:val="32"/>
          <w:highlight w:val="none"/>
          <w:lang w:eastAsia="zh-CN"/>
        </w:rPr>
        <w:t>补偿资金</w:t>
      </w:r>
      <w:r>
        <w:rPr>
          <w:rFonts w:hint="eastAsia" w:ascii="宋体" w:hAnsi="宋体" w:eastAsia="仿宋_GB2312" w:cs="仿宋"/>
          <w:kern w:val="21"/>
          <w:sz w:val="32"/>
          <w:szCs w:val="32"/>
          <w:highlight w:val="none"/>
        </w:rPr>
        <w:t>本金余额，不含利息或其他收益，下同）为限</w:t>
      </w:r>
      <w:r>
        <w:rPr>
          <w:rFonts w:hint="eastAsia" w:ascii="宋体" w:hAnsi="宋体" w:eastAsia="仿宋_GB2312" w:cs="仿宋"/>
          <w:kern w:val="21"/>
          <w:sz w:val="32"/>
          <w:szCs w:val="32"/>
          <w:highlight w:val="none"/>
          <w:lang w:eastAsia="zh-CN"/>
        </w:rPr>
        <w:t>。</w:t>
      </w:r>
    </w:p>
    <w:p w14:paraId="0D88DE24">
      <w:pPr>
        <w:widowControl/>
        <w:ind w:firstLine="632" w:firstLineChars="200"/>
        <w:rPr>
          <w:rFonts w:cs="仿宋"/>
          <w:kern w:val="21"/>
          <w:highlight w:val="none"/>
        </w:rPr>
      </w:pPr>
      <w:r>
        <w:rPr>
          <w:rFonts w:hint="eastAsia" w:cs="仿宋"/>
          <w:kern w:val="21"/>
          <w:highlight w:val="none"/>
        </w:rPr>
        <w:t>（2）风险补偿资金在每个年度内对全部合作银行的风险补偿总额度以1000万元为限，且对单个合作银行在每个年度的风险补偿额度以</w:t>
      </w:r>
      <w:r>
        <w:rPr>
          <w:rFonts w:cs="仿宋"/>
          <w:kern w:val="21"/>
          <w:highlight w:val="none"/>
        </w:rPr>
        <w:t>600</w:t>
      </w:r>
      <w:r>
        <w:rPr>
          <w:rFonts w:hint="eastAsia" w:cs="仿宋"/>
          <w:kern w:val="21"/>
          <w:highlight w:val="none"/>
        </w:rPr>
        <w:t>万元为限。</w:t>
      </w:r>
    </w:p>
    <w:p w14:paraId="3172082C">
      <w:pPr>
        <w:widowControl/>
        <w:ind w:firstLine="632" w:firstLineChars="200"/>
        <w:rPr>
          <w:rFonts w:cs="仿宋"/>
          <w:kern w:val="21"/>
          <w:highlight w:val="none"/>
        </w:rPr>
      </w:pPr>
      <w:r>
        <w:rPr>
          <w:rFonts w:hint="eastAsia" w:cs="仿宋"/>
          <w:kern w:val="21"/>
          <w:highlight w:val="none"/>
        </w:rPr>
        <w:t>合作银行对单个风险补偿项目只能申请一次风险补偿，每个年度申请的风险补偿金额超出上述额度时，风险补偿资金相应不再承担超出部分的风险补偿责任并结束对相应超出部分的风险补偿事项的跟进</w:t>
      </w:r>
      <w:r>
        <w:rPr>
          <w:rFonts w:hint="eastAsia" w:cs="仿宋"/>
          <w:kern w:val="21"/>
          <w:highlight w:val="none"/>
          <w:lang w:eastAsia="zh-CN"/>
        </w:rPr>
        <w:t>，</w:t>
      </w:r>
      <w:r>
        <w:rPr>
          <w:rFonts w:hint="eastAsia" w:cs="仿宋"/>
          <w:kern w:val="21"/>
          <w:highlight w:val="none"/>
        </w:rPr>
        <w:t>超出补偿限额后未获补偿的金额，不得再重复申请补偿。</w:t>
      </w:r>
      <w:r>
        <w:rPr>
          <w:rFonts w:cs="仿宋"/>
          <w:kern w:val="21"/>
          <w:highlight w:val="none"/>
        </w:rPr>
        <w:t xml:space="preserve"> </w:t>
      </w:r>
    </w:p>
    <w:p w14:paraId="5CB97F6B">
      <w:pPr>
        <w:pStyle w:val="2"/>
        <w:keepNext/>
        <w:keepLines/>
        <w:pageBreakBefore w:val="0"/>
        <w:widowControl w:val="0"/>
        <w:kinsoku/>
        <w:wordWrap/>
        <w:overflowPunct/>
        <w:topLinePunct w:val="0"/>
        <w:autoSpaceDE/>
        <w:autoSpaceDN/>
        <w:bidi w:val="0"/>
        <w:adjustRightInd/>
        <w:snapToGrid/>
        <w:ind w:firstLine="632" w:firstLineChars="200"/>
        <w:textAlignment w:val="auto"/>
        <w:rPr>
          <w:rFonts w:eastAsia="仿宋_GB2312" w:cs="仿宋"/>
          <w:kern w:val="21"/>
          <w:sz w:val="32"/>
          <w:szCs w:val="32"/>
          <w:highlight w:val="none"/>
        </w:rPr>
      </w:pPr>
      <w:r>
        <w:rPr>
          <w:rFonts w:hint="eastAsia" w:eastAsia="仿宋_GB2312" w:cs="仿宋"/>
          <w:kern w:val="21"/>
          <w:sz w:val="32"/>
          <w:szCs w:val="32"/>
          <w:highlight w:val="none"/>
        </w:rPr>
        <w:t>同一年度内如有多个合作银行申请风险补偿但总金额超过1</w:t>
      </w:r>
      <w:r>
        <w:rPr>
          <w:rFonts w:eastAsia="仿宋_GB2312" w:cs="仿宋"/>
          <w:kern w:val="21"/>
          <w:sz w:val="32"/>
          <w:szCs w:val="32"/>
          <w:highlight w:val="none"/>
        </w:rPr>
        <w:t>000</w:t>
      </w:r>
      <w:r>
        <w:rPr>
          <w:rFonts w:hint="eastAsia" w:eastAsia="仿宋_GB2312" w:cs="仿宋"/>
          <w:kern w:val="21"/>
          <w:sz w:val="32"/>
          <w:szCs w:val="32"/>
          <w:highlight w:val="none"/>
        </w:rPr>
        <w:t>万元的，按照符合风险补偿条件且经监委会决议同意时间先后顺序的原则执行，但风险补偿资金的</w:t>
      </w:r>
      <w:r>
        <w:rPr>
          <w:rFonts w:hint="eastAsia" w:eastAsia="仿宋_GB2312" w:cs="仿宋"/>
          <w:kern w:val="21"/>
          <w:sz w:val="32"/>
          <w:szCs w:val="32"/>
          <w:highlight w:val="none"/>
          <w:lang w:eastAsia="zh-CN"/>
        </w:rPr>
        <w:t>年度补偿总金额</w:t>
      </w:r>
      <w:r>
        <w:rPr>
          <w:rFonts w:hint="eastAsia" w:eastAsia="仿宋_GB2312" w:cs="仿宋"/>
          <w:kern w:val="21"/>
          <w:sz w:val="32"/>
          <w:szCs w:val="32"/>
          <w:highlight w:val="none"/>
        </w:rPr>
        <w:t>仍受上述补偿限额限制。</w:t>
      </w:r>
    </w:p>
    <w:p w14:paraId="2FB2A41D">
      <w:pPr>
        <w:pStyle w:val="2"/>
        <w:rPr>
          <w:rFonts w:eastAsia="仿宋_GB2312" w:cs="仿宋"/>
          <w:kern w:val="21"/>
          <w:sz w:val="32"/>
          <w:szCs w:val="32"/>
          <w:highlight w:val="none"/>
        </w:rPr>
      </w:pPr>
      <w:r>
        <w:rPr>
          <w:rFonts w:hint="eastAsia" w:eastAsia="仿宋_GB2312" w:cs="仿宋"/>
          <w:kern w:val="21"/>
          <w:sz w:val="32"/>
          <w:szCs w:val="32"/>
          <w:highlight w:val="none"/>
        </w:rPr>
        <w:t xml:space="preserve"> </w:t>
      </w:r>
      <w:r>
        <w:rPr>
          <w:rFonts w:eastAsia="仿宋_GB2312" w:cs="仿宋"/>
          <w:kern w:val="21"/>
          <w:sz w:val="32"/>
          <w:szCs w:val="32"/>
          <w:highlight w:val="none"/>
        </w:rPr>
        <w:t xml:space="preserve">   </w:t>
      </w:r>
      <w:r>
        <w:rPr>
          <w:rFonts w:hint="eastAsia" w:eastAsia="仿宋_GB2312" w:cs="仿宋"/>
          <w:kern w:val="21"/>
          <w:sz w:val="32"/>
          <w:szCs w:val="32"/>
          <w:highlight w:val="none"/>
        </w:rPr>
        <w:t>前述（1）、（2）为互不冲突且并列执行的内容。</w:t>
      </w:r>
    </w:p>
    <w:p w14:paraId="77A25C7C">
      <w:pPr>
        <w:pStyle w:val="43"/>
        <w:spacing w:line="560" w:lineRule="exact"/>
        <w:ind w:firstLine="623" w:firstLineChars="197"/>
        <w:rPr>
          <w:rFonts w:ascii="仿宋" w:hAnsi="仿宋" w:eastAsia="仿宋"/>
          <w:sz w:val="32"/>
          <w:szCs w:val="32"/>
          <w:highlight w:val="none"/>
        </w:rPr>
      </w:pPr>
      <w:bookmarkStart w:id="6" w:name="OLE_LINK10"/>
      <w:r>
        <w:rPr>
          <w:rFonts w:hint="eastAsia" w:ascii="黑体" w:hAnsi="黑体" w:eastAsia="黑体" w:cs="黑体"/>
          <w:bCs/>
          <w:kern w:val="0"/>
          <w:sz w:val="32"/>
          <w:szCs w:val="32"/>
          <w:highlight w:val="none"/>
        </w:rPr>
        <w:t>第十七条</w:t>
      </w:r>
      <w:r>
        <w:rPr>
          <w:rFonts w:hint="eastAsia" w:ascii="宋体" w:hAnsi="宋体" w:eastAsia="仿宋_GB2312" w:cs="仿宋_GB2312"/>
          <w:bCs/>
          <w:kern w:val="21"/>
          <w:sz w:val="32"/>
          <w:szCs w:val="32"/>
          <w:highlight w:val="none"/>
        </w:rPr>
        <w:t xml:space="preserve">  </w:t>
      </w:r>
      <w:r>
        <w:rPr>
          <w:rFonts w:hint="eastAsia" w:ascii="宋体" w:hAnsi="宋体" w:eastAsia="仿宋_GB2312" w:cs="仿宋"/>
          <w:bCs/>
          <w:kern w:val="21"/>
          <w:sz w:val="32"/>
          <w:szCs w:val="32"/>
          <w:highlight w:val="none"/>
        </w:rPr>
        <w:t>入库企业通过风险补偿项目获得的资金只能用于企业的日常生产经营活动（包括采购原材料、技术改造、自主创新等），严禁用于偿还旧债（可用于归还南海区支持企业融资专项资金）、发放拖欠工资和资本市场上的投资。</w:t>
      </w:r>
    </w:p>
    <w:bookmarkEnd w:id="6"/>
    <w:p w14:paraId="2001A2DE">
      <w:pPr>
        <w:pStyle w:val="43"/>
        <w:spacing w:line="560" w:lineRule="exact"/>
        <w:ind w:firstLine="623" w:firstLineChars="197"/>
        <w:rPr>
          <w:rFonts w:ascii="仿宋" w:hAnsi="仿宋" w:eastAsia="仿宋"/>
          <w:bCs/>
          <w:sz w:val="32"/>
          <w:szCs w:val="30"/>
          <w:highlight w:val="none"/>
        </w:rPr>
      </w:pPr>
      <w:r>
        <w:rPr>
          <w:rFonts w:hint="eastAsia" w:ascii="黑体" w:hAnsi="黑体" w:eastAsia="黑体" w:cs="黑体"/>
          <w:sz w:val="32"/>
          <w:szCs w:val="32"/>
          <w:highlight w:val="none"/>
        </w:rPr>
        <w:t>第十八条</w:t>
      </w:r>
      <w:r>
        <w:rPr>
          <w:rFonts w:hint="eastAsia" w:ascii="宋体" w:hAnsi="宋体" w:eastAsia="仿宋_GB2312" w:cs="宋体"/>
          <w:bCs/>
          <w:kern w:val="21"/>
          <w:sz w:val="32"/>
          <w:szCs w:val="32"/>
          <w:highlight w:val="none"/>
        </w:rPr>
        <w:t xml:space="preserve">  </w:t>
      </w:r>
      <w:r>
        <w:rPr>
          <w:rFonts w:hint="eastAsia" w:ascii="宋体" w:hAnsi="宋体" w:eastAsia="仿宋_GB2312" w:cs="仿宋"/>
          <w:kern w:val="21"/>
          <w:sz w:val="32"/>
          <w:szCs w:val="32"/>
          <w:highlight w:val="none"/>
        </w:rPr>
        <w:t>风险补偿项目实施后，合作银行应按要求及时向资金管理人进行项目备案；对于资金管理人按有关规定不予受理的风险补偿项目，风险补偿资金不承担任何补偿责任。项目备案相关要求另行确定。</w:t>
      </w:r>
    </w:p>
    <w:p w14:paraId="1DA6E217">
      <w:pPr>
        <w:pStyle w:val="62"/>
        <w:spacing w:line="560" w:lineRule="exact"/>
        <w:jc w:val="center"/>
        <w:rPr>
          <w:rFonts w:ascii="方正小标宋简体" w:hAnsi="方正小标宋简体" w:eastAsia="方正小标宋简体" w:cs="宋体"/>
          <w:bCs/>
          <w:kern w:val="0"/>
          <w:sz w:val="32"/>
          <w:szCs w:val="32"/>
          <w:highlight w:val="none"/>
        </w:rPr>
      </w:pPr>
    </w:p>
    <w:p w14:paraId="6355CA30">
      <w:pPr>
        <w:pStyle w:val="62"/>
        <w:spacing w:line="560" w:lineRule="exact"/>
        <w:jc w:val="center"/>
        <w:rPr>
          <w:rFonts w:ascii="方正小标宋简体" w:hAnsi="方正小标宋简体" w:eastAsia="方正小标宋简体" w:cs="宋体"/>
          <w:bCs/>
          <w:kern w:val="0"/>
          <w:sz w:val="32"/>
          <w:szCs w:val="32"/>
          <w:highlight w:val="none"/>
        </w:rPr>
      </w:pPr>
      <w:r>
        <w:rPr>
          <w:rFonts w:hint="eastAsia" w:ascii="方正小标宋简体" w:hAnsi="方正小标宋简体" w:eastAsia="方正小标宋简体" w:cs="宋体"/>
          <w:bCs/>
          <w:kern w:val="0"/>
          <w:sz w:val="32"/>
          <w:szCs w:val="32"/>
          <w:highlight w:val="none"/>
        </w:rPr>
        <w:t>第五章  风险控制及管理</w:t>
      </w:r>
    </w:p>
    <w:p w14:paraId="64B453EB">
      <w:pPr>
        <w:pStyle w:val="62"/>
        <w:spacing w:line="560" w:lineRule="exact"/>
        <w:ind w:firstLine="632" w:firstLineChars="200"/>
        <w:rPr>
          <w:rFonts w:ascii="宋体" w:hAnsi="宋体" w:eastAsia="仿宋_GB2312" w:cs="仿宋"/>
          <w:bCs/>
          <w:kern w:val="21"/>
          <w:sz w:val="32"/>
          <w:szCs w:val="30"/>
          <w:highlight w:val="none"/>
        </w:rPr>
      </w:pPr>
      <w:r>
        <w:rPr>
          <w:rFonts w:hint="eastAsia" w:ascii="黑体" w:hAnsi="黑体" w:eastAsia="黑体" w:cs="黑体"/>
          <w:sz w:val="32"/>
          <w:szCs w:val="32"/>
          <w:highlight w:val="none"/>
        </w:rPr>
        <w:t>第</w:t>
      </w:r>
      <w:bookmarkStart w:id="7" w:name="OLE_LINK19"/>
      <w:r>
        <w:rPr>
          <w:rFonts w:hint="eastAsia" w:ascii="黑体" w:hAnsi="黑体" w:eastAsia="黑体" w:cs="黑体"/>
          <w:sz w:val="32"/>
          <w:szCs w:val="32"/>
          <w:highlight w:val="none"/>
        </w:rPr>
        <w:t>十</w:t>
      </w:r>
      <w:bookmarkEnd w:id="7"/>
      <w:r>
        <w:rPr>
          <w:rFonts w:hint="eastAsia" w:ascii="黑体" w:hAnsi="黑体" w:eastAsia="黑体" w:cs="黑体"/>
          <w:sz w:val="32"/>
          <w:szCs w:val="32"/>
          <w:highlight w:val="none"/>
        </w:rPr>
        <w:t>九条</w:t>
      </w:r>
      <w:r>
        <w:rPr>
          <w:rFonts w:hint="eastAsia" w:ascii="宋体" w:hAnsi="宋体" w:eastAsia="仿宋_GB2312" w:cs="宋体"/>
          <w:bCs/>
          <w:kern w:val="21"/>
          <w:sz w:val="32"/>
          <w:szCs w:val="32"/>
          <w:highlight w:val="none"/>
        </w:rPr>
        <w:t xml:space="preserve">  </w:t>
      </w:r>
      <w:r>
        <w:rPr>
          <w:rFonts w:hint="eastAsia" w:ascii="宋体" w:hAnsi="宋体" w:eastAsia="仿宋_GB2312" w:cs="仿宋"/>
          <w:bCs/>
          <w:kern w:val="21"/>
          <w:sz w:val="32"/>
          <w:szCs w:val="30"/>
          <w:highlight w:val="none"/>
        </w:rPr>
        <w:t>融资企业若有违反财经法律、弄虚作假不按管理要求提供完整财务报表、项目进展报告等材料，合作银行、资金管理人有权提前中止风险补偿项目并追讨相关资金；情节严重者，取消申报其他扶持项目的资格；构成犯罪者，采取法律途径追责其刑事责任。</w:t>
      </w:r>
    </w:p>
    <w:p w14:paraId="457AAD78">
      <w:pPr>
        <w:pStyle w:val="62"/>
        <w:spacing w:line="560" w:lineRule="exact"/>
        <w:ind w:firstLine="632" w:firstLineChars="200"/>
        <w:rPr>
          <w:rFonts w:ascii="宋体" w:hAnsi="宋体" w:eastAsia="仿宋_GB2312" w:cs="宋体"/>
          <w:bCs/>
          <w:kern w:val="21"/>
          <w:sz w:val="32"/>
          <w:szCs w:val="32"/>
          <w:highlight w:val="none"/>
        </w:rPr>
      </w:pPr>
      <w:r>
        <w:rPr>
          <w:rFonts w:hint="eastAsia" w:ascii="黑体" w:hAnsi="黑体" w:eastAsia="黑体" w:cs="黑体"/>
          <w:sz w:val="32"/>
          <w:szCs w:val="32"/>
          <w:highlight w:val="none"/>
        </w:rPr>
        <w:t>第二十条</w:t>
      </w:r>
      <w:r>
        <w:rPr>
          <w:rFonts w:hint="eastAsia" w:ascii="宋体" w:hAnsi="宋体" w:eastAsia="仿宋_GB2312" w:cs="宋体"/>
          <w:bCs/>
          <w:kern w:val="21"/>
          <w:sz w:val="32"/>
          <w:szCs w:val="32"/>
          <w:highlight w:val="none"/>
        </w:rPr>
        <w:t xml:space="preserve">  </w:t>
      </w:r>
      <w:r>
        <w:rPr>
          <w:rFonts w:hint="eastAsia" w:ascii="宋体" w:hAnsi="宋体" w:eastAsia="仿宋_GB2312" w:cs="仿宋"/>
          <w:bCs/>
          <w:kern w:val="21"/>
          <w:sz w:val="32"/>
          <w:szCs w:val="30"/>
          <w:highlight w:val="none"/>
        </w:rPr>
        <w:t>合作银行要保证风险补偿项目的质量，并严格按照合作协议约定进行放款。</w:t>
      </w:r>
      <w:bookmarkStart w:id="8" w:name="OLE_LINK16"/>
      <w:r>
        <w:rPr>
          <w:rFonts w:hint="eastAsia" w:ascii="宋体" w:hAnsi="宋体" w:eastAsia="仿宋_GB2312" w:cs="仿宋"/>
          <w:bCs/>
          <w:kern w:val="21"/>
          <w:sz w:val="32"/>
          <w:szCs w:val="30"/>
          <w:highlight w:val="none"/>
        </w:rPr>
        <w:t>资金管理人应会同监委办对合作银行进行考核；考核不通过的，经监委会同意后可取消合作银行资格。具体考核办法另行制定。</w:t>
      </w:r>
      <w:bookmarkEnd w:id="8"/>
    </w:p>
    <w:p w14:paraId="0AB658A1">
      <w:pPr>
        <w:pStyle w:val="43"/>
        <w:spacing w:line="560" w:lineRule="exact"/>
        <w:ind w:firstLine="623" w:firstLineChars="197"/>
        <w:rPr>
          <w:rFonts w:ascii="宋体" w:hAnsi="宋体" w:eastAsia="仿宋_GB2312" w:cs="仿宋"/>
          <w:kern w:val="21"/>
          <w:sz w:val="32"/>
          <w:szCs w:val="32"/>
          <w:highlight w:val="none"/>
        </w:rPr>
      </w:pPr>
      <w:r>
        <w:rPr>
          <w:rFonts w:hint="eastAsia" w:ascii="黑体" w:hAnsi="黑体" w:eastAsia="黑体" w:cs="黑体"/>
          <w:sz w:val="32"/>
          <w:szCs w:val="32"/>
          <w:highlight w:val="none"/>
        </w:rPr>
        <w:t>第二十一条</w:t>
      </w:r>
      <w:r>
        <w:rPr>
          <w:rFonts w:hint="eastAsia" w:ascii="宋体" w:hAnsi="宋体" w:eastAsia="仿宋_GB2312"/>
          <w:bCs/>
          <w:kern w:val="21"/>
          <w:sz w:val="32"/>
          <w:szCs w:val="32"/>
          <w:highlight w:val="none"/>
        </w:rPr>
        <w:t xml:space="preserve">  </w:t>
      </w:r>
      <w:r>
        <w:rPr>
          <w:rFonts w:hint="eastAsia" w:ascii="宋体" w:hAnsi="宋体" w:eastAsia="仿宋_GB2312" w:cs="仿宋"/>
          <w:kern w:val="21"/>
          <w:sz w:val="32"/>
          <w:szCs w:val="32"/>
          <w:highlight w:val="none"/>
        </w:rPr>
        <w:t>资金管理人、合作银行应加强定期信息交流。合作银行应按要求将项目审批信息及融资发放、融资归还等情况及时告知资金管理人，各方在风险管控、信息共享、逾期追索欠款等方面要密切合作。若发生下列情况，合作银行应于5个工作日内书面通知资金管理人，由资金管理人将调查情况上报监委办：</w:t>
      </w:r>
    </w:p>
    <w:p w14:paraId="7B2A99D1">
      <w:pPr>
        <w:pStyle w:val="43"/>
        <w:spacing w:line="560" w:lineRule="exact"/>
        <w:ind w:firstLine="623" w:firstLineChars="197"/>
        <w:rPr>
          <w:rFonts w:ascii="宋体" w:hAnsi="宋体" w:eastAsia="仿宋_GB2312" w:cs="仿宋"/>
          <w:kern w:val="21"/>
          <w:sz w:val="32"/>
          <w:szCs w:val="32"/>
          <w:highlight w:val="none"/>
        </w:rPr>
      </w:pPr>
      <w:r>
        <w:rPr>
          <w:rFonts w:hint="eastAsia" w:ascii="宋体" w:hAnsi="宋体" w:eastAsia="仿宋_GB2312" w:cs="仿宋"/>
          <w:kern w:val="21"/>
          <w:sz w:val="32"/>
          <w:szCs w:val="32"/>
          <w:highlight w:val="none"/>
        </w:rPr>
        <w:t>（一）融资企业不按期支付利息；</w:t>
      </w:r>
    </w:p>
    <w:p w14:paraId="4D1DA0E3">
      <w:pPr>
        <w:pStyle w:val="43"/>
        <w:spacing w:line="560" w:lineRule="exact"/>
        <w:ind w:firstLine="623" w:firstLineChars="197"/>
        <w:rPr>
          <w:rFonts w:ascii="宋体" w:hAnsi="宋体" w:eastAsia="仿宋_GB2312" w:cs="仿宋"/>
          <w:kern w:val="21"/>
          <w:sz w:val="32"/>
          <w:szCs w:val="32"/>
          <w:highlight w:val="none"/>
        </w:rPr>
      </w:pPr>
      <w:r>
        <w:rPr>
          <w:rFonts w:hint="eastAsia" w:ascii="宋体" w:hAnsi="宋体" w:eastAsia="仿宋_GB2312" w:cs="仿宋"/>
          <w:kern w:val="21"/>
          <w:sz w:val="32"/>
          <w:szCs w:val="32"/>
          <w:highlight w:val="none"/>
        </w:rPr>
        <w:t>（二）风险补偿项目出现逾期；</w:t>
      </w:r>
    </w:p>
    <w:p w14:paraId="56EDEAFE">
      <w:pPr>
        <w:pStyle w:val="43"/>
        <w:spacing w:line="560" w:lineRule="exact"/>
        <w:ind w:firstLine="623" w:firstLineChars="197"/>
        <w:rPr>
          <w:rFonts w:ascii="宋体" w:hAnsi="宋体" w:eastAsia="仿宋_GB2312" w:cs="仿宋"/>
          <w:kern w:val="21"/>
          <w:sz w:val="32"/>
          <w:szCs w:val="32"/>
          <w:highlight w:val="none"/>
        </w:rPr>
      </w:pPr>
      <w:r>
        <w:rPr>
          <w:rFonts w:hint="eastAsia" w:ascii="宋体" w:hAnsi="宋体" w:eastAsia="仿宋_GB2312" w:cs="仿宋"/>
          <w:kern w:val="21"/>
          <w:sz w:val="32"/>
          <w:szCs w:val="32"/>
          <w:highlight w:val="none"/>
        </w:rPr>
        <w:t>（三）合作银行认为融资企业不能正常还款，或出现可能影响正常还款的重大风险；</w:t>
      </w:r>
    </w:p>
    <w:p w14:paraId="18730D3B">
      <w:pPr>
        <w:pStyle w:val="43"/>
        <w:spacing w:line="560" w:lineRule="exact"/>
        <w:ind w:firstLine="623" w:firstLineChars="197"/>
        <w:rPr>
          <w:rFonts w:ascii="宋体" w:hAnsi="宋体" w:eastAsia="仿宋_GB2312" w:cs="仿宋"/>
          <w:kern w:val="21"/>
          <w:sz w:val="32"/>
          <w:szCs w:val="32"/>
          <w:highlight w:val="none"/>
        </w:rPr>
      </w:pPr>
      <w:r>
        <w:rPr>
          <w:rFonts w:hint="eastAsia" w:ascii="宋体" w:hAnsi="宋体" w:eastAsia="仿宋_GB2312" w:cs="仿宋"/>
          <w:kern w:val="21"/>
          <w:sz w:val="32"/>
          <w:szCs w:val="32"/>
          <w:highlight w:val="none"/>
        </w:rPr>
        <w:t>（四）合作银行认为需要通知的其他重要事项。</w:t>
      </w:r>
    </w:p>
    <w:p w14:paraId="74A4AD14">
      <w:pPr>
        <w:pStyle w:val="43"/>
        <w:spacing w:line="560" w:lineRule="exact"/>
        <w:ind w:firstLine="623" w:firstLineChars="197"/>
        <w:rPr>
          <w:rFonts w:ascii="宋体" w:hAnsi="宋体" w:eastAsia="仿宋_GB2312" w:cs="仿宋"/>
          <w:kern w:val="21"/>
          <w:sz w:val="32"/>
          <w:szCs w:val="32"/>
          <w:highlight w:val="none"/>
        </w:rPr>
      </w:pPr>
      <w:r>
        <w:rPr>
          <w:rFonts w:hint="eastAsia" w:ascii="黑体" w:hAnsi="黑体" w:eastAsia="黑体" w:cs="黑体"/>
          <w:sz w:val="32"/>
          <w:szCs w:val="32"/>
          <w:highlight w:val="none"/>
        </w:rPr>
        <w:t xml:space="preserve">第二十二条 </w:t>
      </w:r>
      <w:r>
        <w:rPr>
          <w:rFonts w:hint="eastAsia" w:ascii="黑体" w:hAnsi="黑体" w:eastAsia="黑体" w:cs="黑体"/>
          <w:sz w:val="32"/>
          <w:szCs w:val="32"/>
          <w:highlight w:val="none"/>
          <w:lang w:val="en-US" w:eastAsia="zh-CN"/>
        </w:rPr>
        <w:t xml:space="preserve"> </w:t>
      </w:r>
      <w:r>
        <w:rPr>
          <w:rFonts w:hint="eastAsia" w:ascii="宋体" w:hAnsi="宋体" w:eastAsia="仿宋_GB2312" w:cs="仿宋"/>
          <w:kern w:val="21"/>
          <w:sz w:val="32"/>
          <w:szCs w:val="32"/>
          <w:highlight w:val="none"/>
        </w:rPr>
        <w:t>当单个合作银行风险补偿项目逾期率超过5%且逾期金额达到3000万元，同时年度申请风险补偿金额达到</w:t>
      </w:r>
      <w:r>
        <w:rPr>
          <w:rFonts w:ascii="宋体" w:hAnsi="宋体" w:eastAsia="仿宋_GB2312" w:cs="仿宋"/>
          <w:kern w:val="21"/>
          <w:sz w:val="32"/>
          <w:szCs w:val="32"/>
          <w:highlight w:val="none"/>
        </w:rPr>
        <w:t>600</w:t>
      </w:r>
      <w:r>
        <w:rPr>
          <w:rFonts w:hint="eastAsia" w:ascii="宋体" w:hAnsi="宋体" w:eastAsia="仿宋_GB2312" w:cs="仿宋"/>
          <w:kern w:val="21"/>
          <w:sz w:val="32"/>
          <w:szCs w:val="32"/>
          <w:highlight w:val="none"/>
        </w:rPr>
        <w:t>万元时，资金管理人应向该合作银行发函暂停该合作银行项下风险补偿新增业务备案申请。</w:t>
      </w:r>
      <w:r>
        <w:rPr>
          <w:rFonts w:hint="eastAsia" w:ascii="宋体" w:hAnsi="宋体" w:eastAsia="仿宋_GB2312" w:cs="仿宋"/>
          <w:kern w:val="21"/>
          <w:sz w:val="32"/>
          <w:szCs w:val="32"/>
          <w:highlight w:val="none"/>
          <w:lang w:eastAsia="zh-CN"/>
        </w:rPr>
        <w:t>自暂停新增业务至恢复之前，若存量业务续贷的项目出现逾期，则由合作银行承担全部风险补偿责任。</w:t>
      </w:r>
      <w:r>
        <w:rPr>
          <w:rFonts w:hint="eastAsia" w:ascii="宋体" w:hAnsi="宋体" w:eastAsia="仿宋_GB2312" w:cs="仿宋"/>
          <w:kern w:val="21"/>
          <w:sz w:val="32"/>
          <w:szCs w:val="32"/>
          <w:highlight w:val="none"/>
        </w:rPr>
        <w:t>合作银行应加强自查，加快完善风险管理制度及风险管理、处置工作。在合作银行被暂停新增业务备案期间，资金管理人应持续跟进了解合作银行的风险管控以及业务变化情况，合作银行应予以配合并及时向资金管理人报告相关情况。当合作银行至少连续3个月满足风险补偿项目逾期率持续稳定在5%以下，或逾期金额低于3000万元时，被暂停备案业务的合作银行可提出书面申请，经资金管理人上报，由监委会研究同意后恢复其新增业务备案。</w:t>
      </w:r>
    </w:p>
    <w:p w14:paraId="0FAC0188">
      <w:pPr>
        <w:pStyle w:val="43"/>
        <w:spacing w:line="560" w:lineRule="exact"/>
        <w:ind w:firstLine="623" w:firstLineChars="197"/>
        <w:rPr>
          <w:rFonts w:ascii="宋体" w:hAnsi="宋体" w:eastAsia="仿宋_GB2312" w:cs="仿宋"/>
          <w:kern w:val="21"/>
          <w:sz w:val="32"/>
          <w:szCs w:val="32"/>
          <w:highlight w:val="none"/>
        </w:rPr>
      </w:pPr>
      <w:r>
        <w:rPr>
          <w:rFonts w:hint="eastAsia" w:ascii="黑体" w:hAnsi="黑体" w:eastAsia="黑体" w:cs="黑体"/>
          <w:sz w:val="32"/>
          <w:szCs w:val="32"/>
          <w:highlight w:val="none"/>
        </w:rPr>
        <w:t>第</w:t>
      </w:r>
      <w:bookmarkStart w:id="9" w:name="OLE_LINK20"/>
      <w:r>
        <w:rPr>
          <w:rFonts w:hint="eastAsia" w:ascii="黑体" w:hAnsi="黑体" w:eastAsia="黑体" w:cs="黑体"/>
          <w:sz w:val="32"/>
          <w:szCs w:val="32"/>
          <w:highlight w:val="none"/>
        </w:rPr>
        <w:t>二十</w:t>
      </w:r>
      <w:bookmarkEnd w:id="9"/>
      <w:r>
        <w:rPr>
          <w:rFonts w:hint="eastAsia" w:ascii="黑体" w:hAnsi="黑体" w:eastAsia="黑体" w:cs="黑体"/>
          <w:sz w:val="32"/>
          <w:szCs w:val="32"/>
          <w:highlight w:val="none"/>
        </w:rPr>
        <w:t>三条</w:t>
      </w:r>
      <w:r>
        <w:rPr>
          <w:rFonts w:hint="eastAsia" w:ascii="宋体" w:hAnsi="宋体" w:eastAsia="仿宋_GB2312" w:cs="宋体"/>
          <w:kern w:val="21"/>
          <w:sz w:val="32"/>
          <w:szCs w:val="32"/>
          <w:highlight w:val="none"/>
        </w:rPr>
        <w:t xml:space="preserve"> </w:t>
      </w:r>
      <w:r>
        <w:rPr>
          <w:rFonts w:hint="eastAsia" w:ascii="宋体" w:hAnsi="宋体" w:eastAsia="仿宋_GB2312"/>
          <w:kern w:val="21"/>
          <w:sz w:val="32"/>
          <w:szCs w:val="32"/>
          <w:highlight w:val="none"/>
        </w:rPr>
        <w:t xml:space="preserve"> </w:t>
      </w:r>
      <w:r>
        <w:rPr>
          <w:rFonts w:hint="eastAsia" w:ascii="宋体" w:hAnsi="宋体" w:eastAsia="仿宋_GB2312" w:cs="仿宋"/>
          <w:kern w:val="21"/>
          <w:sz w:val="32"/>
          <w:szCs w:val="32"/>
          <w:highlight w:val="none"/>
        </w:rPr>
        <w:t>风险补偿项目损失实行风险共担机制。风险补偿项目发生不良的，按照本办法第十六条有关规定，由风险补偿资金与合作银行按比例承担本金的实际损失。合作银行负责按照融资合同及相关法规进行追偿，并全额承担利息损失和追偿费用。</w:t>
      </w:r>
    </w:p>
    <w:p w14:paraId="6271EDBF">
      <w:pPr>
        <w:pStyle w:val="43"/>
        <w:spacing w:line="560" w:lineRule="exact"/>
        <w:ind w:firstLine="623" w:firstLineChars="197"/>
        <w:rPr>
          <w:rFonts w:ascii="宋体" w:hAnsi="宋体" w:eastAsia="仿宋_GB2312" w:cs="仿宋"/>
          <w:kern w:val="21"/>
          <w:sz w:val="32"/>
          <w:szCs w:val="32"/>
          <w:highlight w:val="none"/>
        </w:rPr>
      </w:pPr>
      <w:r>
        <w:rPr>
          <w:rFonts w:hint="eastAsia" w:ascii="黑体" w:hAnsi="黑体" w:eastAsia="黑体" w:cs="黑体"/>
          <w:sz w:val="32"/>
          <w:szCs w:val="32"/>
          <w:highlight w:val="none"/>
        </w:rPr>
        <w:t>第二十四条</w:t>
      </w:r>
      <w:r>
        <w:rPr>
          <w:rFonts w:hint="eastAsia" w:ascii="宋体" w:hAnsi="宋体" w:eastAsia="仿宋_GB2312" w:cs="宋体"/>
          <w:bCs/>
          <w:kern w:val="21"/>
          <w:sz w:val="32"/>
          <w:szCs w:val="32"/>
          <w:highlight w:val="none"/>
        </w:rPr>
        <w:t xml:space="preserve"> </w:t>
      </w:r>
      <w:r>
        <w:rPr>
          <w:rFonts w:hint="eastAsia" w:ascii="宋体" w:hAnsi="宋体" w:eastAsia="仿宋_GB2312"/>
          <w:bCs/>
          <w:kern w:val="21"/>
          <w:sz w:val="32"/>
          <w:szCs w:val="32"/>
          <w:highlight w:val="none"/>
        </w:rPr>
        <w:t xml:space="preserve"> </w:t>
      </w:r>
      <w:r>
        <w:rPr>
          <w:rFonts w:hint="eastAsia" w:ascii="宋体" w:hAnsi="宋体" w:eastAsia="仿宋_GB2312" w:cs="仿宋"/>
          <w:kern w:val="21"/>
          <w:sz w:val="32"/>
          <w:szCs w:val="32"/>
          <w:highlight w:val="none"/>
        </w:rPr>
        <w:t>风险补偿项目发生实际损失后，合作银行可按合作协议约定的方式向资金管理人申请项目损失补偿。风险补偿资金应承担的风险补偿责任经监委会认定后，补偿金从风险补偿资金专用账户中支出。资金管理人会同合作银行办理具体划转手续。</w:t>
      </w:r>
    </w:p>
    <w:p w14:paraId="1C3CFA63">
      <w:pPr>
        <w:pStyle w:val="43"/>
        <w:spacing w:line="560" w:lineRule="exact"/>
        <w:ind w:firstLine="623" w:firstLineChars="197"/>
        <w:rPr>
          <w:rFonts w:ascii="宋体" w:hAnsi="宋体" w:eastAsia="仿宋_GB2312"/>
          <w:kern w:val="21"/>
          <w:sz w:val="32"/>
          <w:szCs w:val="32"/>
          <w:highlight w:val="none"/>
        </w:rPr>
      </w:pPr>
      <w:r>
        <w:rPr>
          <w:rFonts w:hint="eastAsia" w:ascii="宋体" w:hAnsi="宋体" w:eastAsia="仿宋_GB2312" w:cs="仿宋"/>
          <w:kern w:val="21"/>
          <w:sz w:val="32"/>
          <w:szCs w:val="32"/>
          <w:highlight w:val="none"/>
        </w:rPr>
        <w:t>合作银行在风险补偿或者后续追偿中，如存在相关方串通、弄虚作假或隐瞒、遗漏真实情况的，风险补偿资金有权不予补偿；已经补偿的，有权追回资金及相关损失。</w:t>
      </w:r>
    </w:p>
    <w:p w14:paraId="108D0590">
      <w:pPr>
        <w:pStyle w:val="62"/>
        <w:spacing w:line="560" w:lineRule="exact"/>
        <w:ind w:firstLine="632" w:firstLineChars="200"/>
        <w:rPr>
          <w:rFonts w:ascii="宋体" w:hAnsi="宋体" w:eastAsia="仿宋_GB2312"/>
          <w:bCs/>
          <w:kern w:val="21"/>
          <w:sz w:val="32"/>
          <w:szCs w:val="32"/>
          <w:highlight w:val="none"/>
        </w:rPr>
      </w:pPr>
      <w:r>
        <w:rPr>
          <w:rFonts w:hint="eastAsia" w:ascii="黑体" w:hAnsi="黑体" w:eastAsia="黑体" w:cs="黑体"/>
          <w:sz w:val="32"/>
          <w:szCs w:val="32"/>
          <w:highlight w:val="none"/>
        </w:rPr>
        <w:t>第二十五条</w:t>
      </w:r>
      <w:r>
        <w:rPr>
          <w:rFonts w:hint="eastAsia" w:ascii="宋体" w:hAnsi="宋体" w:eastAsia="仿宋_GB2312" w:cs="宋体"/>
          <w:bCs/>
          <w:kern w:val="21"/>
          <w:sz w:val="32"/>
          <w:szCs w:val="32"/>
          <w:highlight w:val="none"/>
        </w:rPr>
        <w:t xml:space="preserve"> </w:t>
      </w:r>
      <w:r>
        <w:rPr>
          <w:rFonts w:hint="eastAsia" w:ascii="宋体" w:hAnsi="宋体" w:eastAsia="仿宋_GB2312"/>
          <w:kern w:val="21"/>
          <w:sz w:val="32"/>
          <w:szCs w:val="32"/>
          <w:highlight w:val="none"/>
        </w:rPr>
        <w:t xml:space="preserve"> </w:t>
      </w:r>
      <w:r>
        <w:rPr>
          <w:rFonts w:hint="eastAsia" w:ascii="宋体" w:hAnsi="宋体" w:eastAsia="仿宋_GB2312" w:cs="仿宋"/>
          <w:kern w:val="21"/>
          <w:sz w:val="32"/>
          <w:szCs w:val="32"/>
          <w:highlight w:val="none"/>
        </w:rPr>
        <w:t>风险补偿资金承担的风险责任由区、镇两级财政按7∶3的比例承担。相关镇（街道）财政应根据监委会关于风险补偿的决议，按应承担的责任（风险补偿资金实际损失的30%）将资金划付至风险补偿资金专户。完成划付后，资金管理人按照有关规定对风险补偿资金的最终损失进行财务核销。</w:t>
      </w:r>
    </w:p>
    <w:p w14:paraId="5E246318">
      <w:pPr>
        <w:pStyle w:val="62"/>
        <w:spacing w:line="560" w:lineRule="exact"/>
        <w:ind w:firstLine="632" w:firstLineChars="200"/>
        <w:rPr>
          <w:rFonts w:ascii="宋体" w:hAnsi="宋体" w:eastAsia="仿宋_GB2312" w:cs="仿宋"/>
          <w:bCs/>
          <w:kern w:val="21"/>
          <w:sz w:val="32"/>
          <w:szCs w:val="30"/>
          <w:highlight w:val="none"/>
        </w:rPr>
      </w:pPr>
      <w:r>
        <w:rPr>
          <w:rFonts w:hint="eastAsia" w:ascii="黑体" w:hAnsi="黑体" w:eastAsia="黑体" w:cs="黑体"/>
          <w:sz w:val="32"/>
          <w:szCs w:val="32"/>
          <w:highlight w:val="none"/>
        </w:rPr>
        <w:t>第二十六条</w:t>
      </w:r>
      <w:r>
        <w:rPr>
          <w:rFonts w:hint="eastAsia" w:ascii="宋体" w:hAnsi="宋体" w:eastAsia="仿宋_GB2312" w:cs="宋体"/>
          <w:bCs/>
          <w:kern w:val="21"/>
          <w:sz w:val="32"/>
          <w:szCs w:val="32"/>
          <w:highlight w:val="none"/>
        </w:rPr>
        <w:t xml:space="preserve">  </w:t>
      </w:r>
      <w:r>
        <w:rPr>
          <w:rFonts w:hint="eastAsia" w:ascii="宋体" w:hAnsi="宋体" w:eastAsia="仿宋_GB2312" w:cs="仿宋"/>
          <w:bCs/>
          <w:kern w:val="21"/>
          <w:sz w:val="32"/>
          <w:szCs w:val="30"/>
          <w:highlight w:val="none"/>
        </w:rPr>
        <w:t>风险补偿资金必须保证专款专用，并保证资金的安全性和完整性，监委办可以委托审计部门或中介机构对风险补偿资金进行审计，相关费用在风险补偿资金利息收益中列支。如发现资金管理人不按规定使用资金，监委会有权取消资金管理人资格。</w:t>
      </w:r>
    </w:p>
    <w:p w14:paraId="181C0901">
      <w:pPr>
        <w:pStyle w:val="62"/>
        <w:spacing w:line="560" w:lineRule="exact"/>
        <w:ind w:firstLine="632" w:firstLineChars="200"/>
        <w:rPr>
          <w:rFonts w:ascii="宋体" w:hAnsi="宋体" w:eastAsia="仿宋_GB2312" w:cs="仿宋"/>
          <w:bCs/>
          <w:kern w:val="21"/>
          <w:sz w:val="32"/>
          <w:szCs w:val="30"/>
          <w:highlight w:val="none"/>
        </w:rPr>
      </w:pPr>
    </w:p>
    <w:p w14:paraId="4C28C4DD">
      <w:pPr>
        <w:pStyle w:val="62"/>
        <w:spacing w:line="560" w:lineRule="exact"/>
        <w:jc w:val="center"/>
        <w:rPr>
          <w:rFonts w:ascii="方正小标宋简体" w:hAnsi="方正小标宋简体" w:eastAsia="方正小标宋简体" w:cs="宋体"/>
          <w:bCs/>
          <w:kern w:val="0"/>
          <w:sz w:val="32"/>
          <w:szCs w:val="32"/>
          <w:highlight w:val="none"/>
        </w:rPr>
      </w:pPr>
      <w:r>
        <w:rPr>
          <w:rFonts w:hint="eastAsia" w:ascii="方正小标宋简体" w:hAnsi="方正小标宋简体" w:eastAsia="方正小标宋简体" w:cs="宋体"/>
          <w:bCs/>
          <w:kern w:val="0"/>
          <w:sz w:val="32"/>
          <w:szCs w:val="32"/>
          <w:highlight w:val="none"/>
        </w:rPr>
        <w:t>第六章  附  则</w:t>
      </w:r>
    </w:p>
    <w:p w14:paraId="767C42CE">
      <w:pPr>
        <w:pStyle w:val="53"/>
        <w:spacing w:line="560" w:lineRule="exact"/>
        <w:ind w:firstLine="632" w:firstLineChars="200"/>
        <w:rPr>
          <w:rFonts w:ascii="宋体" w:hAnsi="宋体" w:eastAsia="仿宋_GB2312"/>
          <w:color w:val="000000"/>
          <w:kern w:val="21"/>
          <w:sz w:val="32"/>
          <w:szCs w:val="32"/>
          <w:highlight w:val="none"/>
        </w:rPr>
      </w:pPr>
      <w:r>
        <w:rPr>
          <w:rFonts w:hint="eastAsia" w:ascii="黑体" w:hAnsi="黑体" w:eastAsia="黑体" w:cs="黑体"/>
          <w:sz w:val="32"/>
          <w:szCs w:val="32"/>
          <w:highlight w:val="none"/>
        </w:rPr>
        <w:t>第二十七条</w:t>
      </w:r>
      <w:r>
        <w:rPr>
          <w:rFonts w:hint="eastAsia" w:ascii="宋体" w:hAnsi="宋体" w:eastAsia="仿宋_GB2312"/>
          <w:bCs/>
          <w:kern w:val="21"/>
          <w:sz w:val="32"/>
          <w:szCs w:val="32"/>
          <w:highlight w:val="none"/>
        </w:rPr>
        <w:t xml:space="preserve">  </w:t>
      </w:r>
      <w:r>
        <w:rPr>
          <w:rFonts w:hint="eastAsia" w:ascii="宋体" w:hAnsi="宋体" w:eastAsia="仿宋_GB2312"/>
          <w:color w:val="000000"/>
          <w:kern w:val="21"/>
          <w:sz w:val="32"/>
          <w:szCs w:val="32"/>
          <w:highlight w:val="none"/>
        </w:rPr>
        <w:t>本办法自印发之日起实施，至2030年12月31日止。有效期满后，在风险补偿资金存续期内纳入扶持范围备案的贷款项目，可依据本办法继续享受风险补偿。2026年1月1日至本办法印发前，相关政策按《佛山市南海区人民政府关于印发&lt;佛山市南海区中小企业融资风险补偿专项资金管理办法&gt;及配套办法的通知》（南府〔2021〕50号）规定执行。</w:t>
      </w:r>
    </w:p>
    <w:p w14:paraId="19F522A1">
      <w:pPr>
        <w:pStyle w:val="62"/>
        <w:spacing w:line="560" w:lineRule="exact"/>
        <w:ind w:firstLine="632" w:firstLineChars="200"/>
        <w:rPr>
          <w:rFonts w:ascii="仿宋" w:hAnsi="仿宋" w:eastAsia="仿宋" w:cs="仿宋"/>
          <w:bCs/>
          <w:kern w:val="0"/>
          <w:sz w:val="32"/>
          <w:szCs w:val="32"/>
          <w:highlight w:val="none"/>
        </w:rPr>
      </w:pPr>
      <w:r>
        <w:rPr>
          <w:rFonts w:hint="eastAsia" w:ascii="黑体" w:hAnsi="黑体" w:eastAsia="黑体" w:cs="黑体"/>
          <w:sz w:val="32"/>
          <w:szCs w:val="32"/>
          <w:highlight w:val="none"/>
        </w:rPr>
        <w:t>第二十八条</w:t>
      </w:r>
      <w:r>
        <w:rPr>
          <w:rFonts w:hint="eastAsia" w:ascii="宋体" w:hAnsi="宋体" w:eastAsia="仿宋_GB2312"/>
          <w:bCs/>
          <w:kern w:val="21"/>
          <w:sz w:val="32"/>
          <w:szCs w:val="32"/>
          <w:highlight w:val="none"/>
        </w:rPr>
        <w:t xml:space="preserve">  </w:t>
      </w:r>
      <w:r>
        <w:rPr>
          <w:rFonts w:hint="eastAsia" w:ascii="宋体" w:hAnsi="宋体" w:eastAsia="仿宋_GB2312" w:cs="仿宋"/>
          <w:bCs/>
          <w:kern w:val="21"/>
          <w:sz w:val="32"/>
          <w:szCs w:val="32"/>
          <w:highlight w:val="none"/>
        </w:rPr>
        <w:t>风险补偿项目实施的期限原则上不能超出本办法有效期，否则风险补偿资金不承担任何风险补偿责任。原《佛山市南海区中小企业融资风险补偿专项资金管理办法》及配套办法（南府〔2021〕50号）按相关协议约定承担的责任或义务由风险补偿资金承接，</w:t>
      </w:r>
      <w:r>
        <w:rPr>
          <w:rFonts w:hint="eastAsia" w:ascii="宋体" w:hAnsi="宋体" w:eastAsia="仿宋_GB2312" w:cs="仿宋"/>
          <w:bCs/>
          <w:kern w:val="21"/>
          <w:sz w:val="32"/>
          <w:szCs w:val="32"/>
          <w:highlight w:val="none"/>
          <w:lang w:eastAsia="zh-CN"/>
        </w:rPr>
        <w:t>并依据本办法相关规定执行，</w:t>
      </w:r>
      <w:r>
        <w:rPr>
          <w:rFonts w:hint="eastAsia" w:ascii="宋体" w:hAnsi="宋体" w:eastAsia="仿宋_GB2312" w:cs="仿宋"/>
          <w:bCs/>
          <w:kern w:val="21"/>
          <w:sz w:val="32"/>
          <w:szCs w:val="32"/>
          <w:highlight w:val="none"/>
        </w:rPr>
        <w:t>由此发生的相关事项由资金管理人负责跟进。</w:t>
      </w:r>
    </w:p>
    <w:p w14:paraId="044A9585">
      <w:pPr>
        <w:pStyle w:val="62"/>
        <w:spacing w:line="560" w:lineRule="exact"/>
        <w:ind w:firstLine="632" w:firstLineChars="200"/>
        <w:rPr>
          <w:rFonts w:ascii="宋体" w:hAnsi="宋体" w:eastAsia="仿宋_GB2312" w:cs="仿宋"/>
          <w:bCs/>
          <w:kern w:val="21"/>
          <w:sz w:val="32"/>
          <w:szCs w:val="32"/>
          <w:highlight w:val="none"/>
        </w:rPr>
      </w:pPr>
      <w:r>
        <w:rPr>
          <w:rFonts w:hint="eastAsia" w:ascii="黑体" w:hAnsi="黑体" w:eastAsia="黑体" w:cs="黑体"/>
          <w:sz w:val="32"/>
          <w:szCs w:val="32"/>
          <w:highlight w:val="none"/>
        </w:rPr>
        <w:t>第二十九条</w:t>
      </w:r>
      <w:r>
        <w:rPr>
          <w:rFonts w:hint="eastAsia" w:ascii="宋体" w:hAnsi="宋体" w:eastAsia="仿宋_GB2312"/>
          <w:bCs/>
          <w:kern w:val="21"/>
          <w:sz w:val="32"/>
          <w:szCs w:val="32"/>
          <w:highlight w:val="none"/>
        </w:rPr>
        <w:t xml:space="preserve">  </w:t>
      </w:r>
      <w:r>
        <w:rPr>
          <w:rFonts w:hint="eastAsia" w:ascii="宋体" w:hAnsi="宋体" w:eastAsia="仿宋_GB2312" w:cs="仿宋"/>
          <w:bCs/>
          <w:kern w:val="21"/>
          <w:sz w:val="32"/>
          <w:szCs w:val="32"/>
          <w:highlight w:val="none"/>
        </w:rPr>
        <w:t>风险补偿资金在本办法到期并履行相关风险补偿责任后，余额应退还区财政。</w:t>
      </w:r>
    </w:p>
    <w:p w14:paraId="202D997C">
      <w:pPr>
        <w:pStyle w:val="62"/>
        <w:spacing w:line="560" w:lineRule="exact"/>
        <w:ind w:firstLine="632" w:firstLineChars="200"/>
        <w:rPr>
          <w:rFonts w:ascii="宋体" w:hAnsi="宋体" w:eastAsia="仿宋_GB2312" w:cs="仿宋"/>
          <w:bCs/>
          <w:kern w:val="21"/>
          <w:sz w:val="32"/>
          <w:szCs w:val="32"/>
          <w:highlight w:val="none"/>
        </w:rPr>
      </w:pPr>
      <w:r>
        <w:rPr>
          <w:rFonts w:hint="eastAsia" w:ascii="黑体" w:hAnsi="黑体" w:eastAsia="黑体" w:cs="黑体"/>
          <w:sz w:val="32"/>
          <w:szCs w:val="32"/>
          <w:highlight w:val="none"/>
        </w:rPr>
        <w:t>第三十条</w:t>
      </w:r>
      <w:r>
        <w:rPr>
          <w:rFonts w:ascii="黑体" w:hAnsi="黑体" w:eastAsia="黑体" w:cs="黑体"/>
          <w:sz w:val="32"/>
          <w:szCs w:val="32"/>
          <w:highlight w:val="none"/>
        </w:rPr>
        <w:t xml:space="preserve">  </w:t>
      </w:r>
      <w:r>
        <w:rPr>
          <w:rFonts w:hint="eastAsia" w:ascii="宋体" w:hAnsi="宋体" w:eastAsia="仿宋_GB2312" w:cs="仿宋"/>
          <w:bCs/>
          <w:kern w:val="21"/>
          <w:sz w:val="32"/>
          <w:szCs w:val="32"/>
          <w:highlight w:val="none"/>
        </w:rPr>
        <w:t>本办法中涉及的“以上”、“达到”、“不超过”</w:t>
      </w:r>
      <w:r>
        <w:rPr>
          <w:rFonts w:hint="eastAsia" w:ascii="宋体" w:hAnsi="宋体" w:eastAsia="仿宋_GB2312" w:cs="仿宋"/>
          <w:bCs/>
          <w:kern w:val="21"/>
          <w:sz w:val="32"/>
          <w:szCs w:val="32"/>
          <w:highlight w:val="none"/>
          <w:lang w:eastAsia="zh-CN"/>
        </w:rPr>
        <w:t>、“为限”</w:t>
      </w:r>
      <w:r>
        <w:rPr>
          <w:rFonts w:hint="eastAsia" w:ascii="宋体" w:hAnsi="宋体" w:eastAsia="仿宋_GB2312" w:cs="仿宋"/>
          <w:bCs/>
          <w:kern w:val="21"/>
          <w:sz w:val="32"/>
          <w:szCs w:val="32"/>
          <w:highlight w:val="none"/>
        </w:rPr>
        <w:t>均包含本数，“超过”则不包含本数。</w:t>
      </w:r>
    </w:p>
    <w:p w14:paraId="7032E553">
      <w:pPr>
        <w:pStyle w:val="62"/>
        <w:spacing w:line="560" w:lineRule="exact"/>
        <w:ind w:firstLine="632" w:firstLineChars="200"/>
        <w:rPr>
          <w:rFonts w:ascii="宋体" w:hAnsi="宋体" w:eastAsia="仿宋_GB2312" w:cs="仿宋"/>
          <w:bCs/>
          <w:kern w:val="21"/>
          <w:sz w:val="32"/>
          <w:szCs w:val="32"/>
          <w:highlight w:val="none"/>
        </w:rPr>
      </w:pPr>
      <w:r>
        <w:rPr>
          <w:rFonts w:hint="eastAsia" w:ascii="宋体" w:hAnsi="宋体" w:eastAsia="仿宋_GB2312" w:cs="仿宋"/>
          <w:bCs/>
          <w:kern w:val="21"/>
          <w:sz w:val="32"/>
          <w:szCs w:val="32"/>
          <w:highlight w:val="none"/>
        </w:rPr>
        <w:t>本办法中涉及的货币金额均为人民币，如信贷融资涉及外币的，按相关规定及约定折算为人民币。</w:t>
      </w:r>
    </w:p>
    <w:p w14:paraId="0984CBD6">
      <w:pPr>
        <w:pStyle w:val="59"/>
        <w:tabs>
          <w:tab w:val="left" w:pos="8280"/>
          <w:tab w:val="left" w:pos="8487"/>
          <w:tab w:val="left" w:pos="8694"/>
        </w:tabs>
        <w:ind w:firstLine="632" w:firstLineChars="200"/>
        <w:jc w:val="left"/>
        <w:rPr>
          <w:highlight w:val="none"/>
        </w:rPr>
      </w:pPr>
      <w:r>
        <w:rPr>
          <w:rFonts w:hint="eastAsia" w:ascii="黑体" w:hAnsi="黑体" w:eastAsia="黑体" w:cs="黑体"/>
          <w:sz w:val="32"/>
          <w:szCs w:val="32"/>
          <w:highlight w:val="none"/>
        </w:rPr>
        <w:t>第三十</w:t>
      </w:r>
      <w:r>
        <w:rPr>
          <w:rFonts w:hint="eastAsia" w:ascii="黑体" w:hAnsi="黑体" w:eastAsia="黑体" w:cs="黑体"/>
          <w:highlight w:val="none"/>
        </w:rPr>
        <w:t>一</w:t>
      </w:r>
      <w:r>
        <w:rPr>
          <w:rFonts w:hint="eastAsia" w:ascii="黑体" w:hAnsi="黑体" w:eastAsia="黑体" w:cs="黑体"/>
          <w:sz w:val="32"/>
          <w:szCs w:val="32"/>
          <w:highlight w:val="none"/>
        </w:rPr>
        <w:t>条</w:t>
      </w:r>
      <w:r>
        <w:rPr>
          <w:rFonts w:hint="eastAsia" w:ascii="宋体" w:hAnsi="宋体" w:eastAsia="仿宋_GB2312" w:cs="宋体"/>
          <w:bCs/>
          <w:kern w:val="21"/>
          <w:sz w:val="32"/>
          <w:szCs w:val="32"/>
          <w:highlight w:val="none"/>
        </w:rPr>
        <w:t xml:space="preserve">  </w:t>
      </w:r>
      <w:r>
        <w:rPr>
          <w:rFonts w:hint="eastAsia" w:ascii="宋体" w:hAnsi="宋体" w:eastAsia="仿宋_GB2312" w:cs="仿宋"/>
          <w:bCs/>
          <w:kern w:val="21"/>
          <w:sz w:val="32"/>
          <w:szCs w:val="32"/>
          <w:highlight w:val="none"/>
        </w:rPr>
        <w:t>本办法由佛山市南海区中小企业融资风险补偿专项资金监督管理</w:t>
      </w:r>
      <w:r>
        <w:rPr>
          <w:rFonts w:hint="eastAsia" w:ascii="宋体" w:hAnsi="宋体" w:eastAsia="仿宋_GB2312" w:cs="仿宋"/>
          <w:bCs/>
          <w:kern w:val="21"/>
          <w:highlight w:val="none"/>
        </w:rPr>
        <w:t>委员会负责解释。</w:t>
      </w:r>
    </w:p>
    <w:sectPr>
      <w:footerReference r:id="rId3" w:type="default"/>
      <w:pgSz w:w="11906" w:h="16838"/>
      <w:pgMar w:top="2098" w:right="1474" w:bottom="1984" w:left="1587" w:header="850" w:footer="1361" w:gutter="0"/>
      <w:cols w:space="720" w:num="1"/>
      <w:docGrid w:type="linesAndChars" w:linePitch="589"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国标宋体-超大字符集扩"/>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国标宋体-超大字符集扩"/>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黑体_GBK">
    <w:panose1 w:val="02000000000000000000"/>
    <w:charset w:val="86"/>
    <w:family w:val="auto"/>
    <w:pitch w:val="default"/>
    <w:sig w:usb0="00000001" w:usb1="08000000" w:usb2="00000000" w:usb3="00000000" w:csb0="00040000" w:csb1="00000000"/>
  </w:font>
  <w:font w:name="FZXBSJW--GB1-0">
    <w:altName w:val="思源宋体"/>
    <w:panose1 w:val="00000000000000000000"/>
    <w:charset w:val="00"/>
    <w:family w:val="auto"/>
    <w:pitch w:val="default"/>
    <w:sig w:usb0="00000000" w:usb1="00000000" w:usb2="00000000" w:usb3="00000000" w:csb0="00040001" w:csb1="00000000"/>
  </w:font>
  <w:font w:name="思源宋体">
    <w:panose1 w:val="02020400000000000000"/>
    <w:charset w:val="86"/>
    <w:family w:val="auto"/>
    <w:pitch w:val="default"/>
    <w:sig w:usb0="30000083" w:usb1="2BDF3C10" w:usb2="00000016" w:usb3="00000000" w:csb0="602E0107" w:csb1="00000000"/>
  </w:font>
  <w:font w:name="仿宋">
    <w:altName w:val="仿宋_GB2312"/>
    <w:panose1 w:val="02010609060101010101"/>
    <w:charset w:val="86"/>
    <w:family w:val="modern"/>
    <w:pitch w:val="default"/>
    <w:sig w:usb0="00000000" w:usb1="00000000" w:usb2="00000016" w:usb3="00000000" w:csb0="00040001" w:csb1="00000000"/>
  </w:font>
  <w:font w:name="楷体_GB2312">
    <w:altName w:val="方正楷体_GBK"/>
    <w:panose1 w:val="02010609030101010101"/>
    <w:charset w:val="86"/>
    <w:family w:val="auto"/>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03" w:usb1="2BDF3C10" w:usb2="00000016" w:usb3="00000000" w:csb0="602E0107" w:csb1="00000000"/>
  </w:font>
  <w:font w:name="国标宋体-超大字符集扩">
    <w:panose1 w:val="000005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649A5">
    <w:pPr>
      <w:pStyle w:val="79"/>
      <w:ind w:right="360"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905DBF2">
                          <w:pPr>
                            <w:pStyle w:val="79"/>
                            <w:ind w:left="160" w:leftChars="50" w:right="160" w:rightChars="50"/>
                            <w:rPr>
                              <w:rStyle w:val="30"/>
                              <w:rFonts w:ascii="宋体" w:hAnsi="宋体" w:cs="宋体"/>
                              <w:sz w:val="28"/>
                              <w:szCs w:val="28"/>
                            </w:rPr>
                          </w:pPr>
                          <w:r>
                            <w:rPr>
                              <w:rStyle w:val="30"/>
                              <w:rFonts w:hint="eastAsia" w:ascii="宋体" w:hAnsi="宋体" w:cs="宋体"/>
                              <w:sz w:val="28"/>
                              <w:szCs w:val="28"/>
                            </w:rPr>
                            <w:t xml:space="preserve">— </w:t>
                          </w:r>
                          <w:r>
                            <w:rPr>
                              <w:rFonts w:hint="eastAsia" w:ascii="宋体" w:hAnsi="宋体" w:cs="宋体"/>
                              <w:sz w:val="28"/>
                              <w:szCs w:val="28"/>
                            </w:rPr>
                            <w:fldChar w:fldCharType="begin"/>
                          </w:r>
                          <w:r>
                            <w:rPr>
                              <w:rStyle w:val="30"/>
                              <w:rFonts w:hint="eastAsia" w:ascii="宋体" w:hAnsi="宋体" w:cs="宋体"/>
                              <w:sz w:val="28"/>
                              <w:szCs w:val="28"/>
                            </w:rPr>
                            <w:instrText xml:space="preserve">PAGE  </w:instrText>
                          </w:r>
                          <w:r>
                            <w:rPr>
                              <w:rFonts w:hint="eastAsia" w:ascii="宋体" w:hAnsi="宋体" w:cs="宋体"/>
                              <w:sz w:val="28"/>
                              <w:szCs w:val="28"/>
                            </w:rPr>
                            <w:fldChar w:fldCharType="separate"/>
                          </w:r>
                          <w:r>
                            <w:rPr>
                              <w:rStyle w:val="30"/>
                              <w:rFonts w:ascii="宋体" w:hAnsi="宋体" w:cs="宋体"/>
                              <w:sz w:val="28"/>
                              <w:szCs w:val="28"/>
                            </w:rPr>
                            <w:t>8</w:t>
                          </w:r>
                          <w:r>
                            <w:rPr>
                              <w:rFonts w:hint="eastAsia" w:ascii="宋体" w:hAnsi="宋体" w:cs="宋体"/>
                              <w:sz w:val="28"/>
                              <w:szCs w:val="28"/>
                            </w:rPr>
                            <w:fldChar w:fldCharType="end"/>
                          </w:r>
                          <w:r>
                            <w:rPr>
                              <w:rStyle w:val="30"/>
                              <w:rFonts w:hint="eastAsia" w:ascii="宋体" w:hAnsi="宋体" w:cs="宋体"/>
                              <w:sz w:val="28"/>
                              <w:szCs w:val="28"/>
                            </w:rPr>
                            <w:t xml:space="preserve"> —</w:t>
                          </w:r>
                        </w:p>
                      </w:txbxContent>
                    </wps:txbx>
                    <wps:bodyPr wrap="none" lIns="0" tIns="0" rIns="0" bIns="0">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OqXm5zwAAAAUBAAAPAAAAAAAAAAEAIAAAACIAAABkcnMvZG93bnJldi54bWxQSwEC&#10;FAAUAAAACACHTuJAWZgglcQBAACQAwAADgAAAAAAAAABACAAAAAeAQAAZHJzL2Uyb0RvYy54bWxQ&#10;SwUGAAAAAAYABgBZAQAAVAUAAAAA&#10;">
              <v:fill on="f" focussize="0,0"/>
              <v:stroke on="f"/>
              <v:imagedata o:title=""/>
              <o:lock v:ext="edit" aspectratio="f"/>
              <v:textbox inset="0mm,0mm,0mm,0mm" style="mso-fit-shape-to-text:t;">
                <w:txbxContent>
                  <w:p w14:paraId="6905DBF2">
                    <w:pPr>
                      <w:pStyle w:val="79"/>
                      <w:ind w:left="160" w:leftChars="50" w:right="160" w:rightChars="50"/>
                      <w:rPr>
                        <w:rStyle w:val="30"/>
                        <w:rFonts w:ascii="宋体" w:hAnsi="宋体" w:cs="宋体"/>
                        <w:sz w:val="28"/>
                        <w:szCs w:val="28"/>
                      </w:rPr>
                    </w:pPr>
                    <w:r>
                      <w:rPr>
                        <w:rStyle w:val="30"/>
                        <w:rFonts w:hint="eastAsia" w:ascii="宋体" w:hAnsi="宋体" w:cs="宋体"/>
                        <w:sz w:val="28"/>
                        <w:szCs w:val="28"/>
                      </w:rPr>
                      <w:t xml:space="preserve">— </w:t>
                    </w:r>
                    <w:r>
                      <w:rPr>
                        <w:rFonts w:hint="eastAsia" w:ascii="宋体" w:hAnsi="宋体" w:cs="宋体"/>
                        <w:sz w:val="28"/>
                        <w:szCs w:val="28"/>
                      </w:rPr>
                      <w:fldChar w:fldCharType="begin"/>
                    </w:r>
                    <w:r>
                      <w:rPr>
                        <w:rStyle w:val="30"/>
                        <w:rFonts w:hint="eastAsia" w:ascii="宋体" w:hAnsi="宋体" w:cs="宋体"/>
                        <w:sz w:val="28"/>
                        <w:szCs w:val="28"/>
                      </w:rPr>
                      <w:instrText xml:space="preserve">PAGE  </w:instrText>
                    </w:r>
                    <w:r>
                      <w:rPr>
                        <w:rFonts w:hint="eastAsia" w:ascii="宋体" w:hAnsi="宋体" w:cs="宋体"/>
                        <w:sz w:val="28"/>
                        <w:szCs w:val="28"/>
                      </w:rPr>
                      <w:fldChar w:fldCharType="separate"/>
                    </w:r>
                    <w:r>
                      <w:rPr>
                        <w:rStyle w:val="30"/>
                        <w:rFonts w:ascii="宋体" w:hAnsi="宋体" w:cs="宋体"/>
                        <w:sz w:val="28"/>
                        <w:szCs w:val="28"/>
                      </w:rPr>
                      <w:t>8</w:t>
                    </w:r>
                    <w:r>
                      <w:rPr>
                        <w:rFonts w:hint="eastAsia" w:ascii="宋体" w:hAnsi="宋体" w:cs="宋体"/>
                        <w:sz w:val="28"/>
                        <w:szCs w:val="28"/>
                      </w:rPr>
                      <w:fldChar w:fldCharType="end"/>
                    </w:r>
                    <w:r>
                      <w:rPr>
                        <w:rStyle w:val="30"/>
                        <w:rFonts w:hint="eastAsia" w:ascii="宋体" w:hAnsi="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7C171B"/>
    <w:multiLevelType w:val="singleLevel"/>
    <w:tmpl w:val="267C171B"/>
    <w:lvl w:ilvl="0" w:tentative="0">
      <w:start w:val="1"/>
      <w:numFmt w:val="chineseCounting"/>
      <w:suff w:val="nothing"/>
      <w:lvlText w:val="（%1）"/>
      <w:lvlJc w:val="left"/>
    </w:lvl>
  </w:abstractNum>
  <w:abstractNum w:abstractNumId="1">
    <w:nsid w:val="5FA26476"/>
    <w:multiLevelType w:val="singleLevel"/>
    <w:tmpl w:val="5FA26476"/>
    <w:lvl w:ilvl="0" w:tentative="0">
      <w:start w:val="1"/>
      <w:numFmt w:val="chineseCounting"/>
      <w:suff w:val="nothing"/>
      <w:lvlText w:val="（%1）"/>
      <w:lvlJc w:val="left"/>
    </w:lvl>
  </w:abstractNum>
  <w:abstractNum w:abstractNumId="2">
    <w:nsid w:val="7C6FD97E"/>
    <w:multiLevelType w:val="singleLevel"/>
    <w:tmpl w:val="7C6FD97E"/>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58"/>
  <w:drawingGridVerticalSpacing w:val="295"/>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295F96"/>
    <w:rsid w:val="00053DC5"/>
    <w:rsid w:val="00067D63"/>
    <w:rsid w:val="00095E59"/>
    <w:rsid w:val="001B49EC"/>
    <w:rsid w:val="0020430F"/>
    <w:rsid w:val="00296EF6"/>
    <w:rsid w:val="002D26A4"/>
    <w:rsid w:val="002D5275"/>
    <w:rsid w:val="004C5468"/>
    <w:rsid w:val="0051558E"/>
    <w:rsid w:val="005A3896"/>
    <w:rsid w:val="005D0ADE"/>
    <w:rsid w:val="00704123"/>
    <w:rsid w:val="00730C8E"/>
    <w:rsid w:val="008937CE"/>
    <w:rsid w:val="008B2575"/>
    <w:rsid w:val="008E71ED"/>
    <w:rsid w:val="00993C8C"/>
    <w:rsid w:val="00A22F9B"/>
    <w:rsid w:val="00A71916"/>
    <w:rsid w:val="00AD3818"/>
    <w:rsid w:val="00C2428B"/>
    <w:rsid w:val="00CB3A05"/>
    <w:rsid w:val="00CF232E"/>
    <w:rsid w:val="00D5796B"/>
    <w:rsid w:val="00FD60AD"/>
    <w:rsid w:val="02111B48"/>
    <w:rsid w:val="02626F14"/>
    <w:rsid w:val="042757F2"/>
    <w:rsid w:val="04E43F88"/>
    <w:rsid w:val="06295F96"/>
    <w:rsid w:val="062C6F0E"/>
    <w:rsid w:val="063D3038"/>
    <w:rsid w:val="08547A92"/>
    <w:rsid w:val="093028EC"/>
    <w:rsid w:val="09E949E2"/>
    <w:rsid w:val="0AB62539"/>
    <w:rsid w:val="0B2E5E02"/>
    <w:rsid w:val="0B6A30F0"/>
    <w:rsid w:val="0BA152E5"/>
    <w:rsid w:val="0BB25CE2"/>
    <w:rsid w:val="0C4D1D96"/>
    <w:rsid w:val="0CAE356C"/>
    <w:rsid w:val="0DC76FBA"/>
    <w:rsid w:val="0DE63C6D"/>
    <w:rsid w:val="0F453F87"/>
    <w:rsid w:val="11234838"/>
    <w:rsid w:val="11496821"/>
    <w:rsid w:val="11BD8779"/>
    <w:rsid w:val="1367213F"/>
    <w:rsid w:val="139947F5"/>
    <w:rsid w:val="144F4162"/>
    <w:rsid w:val="16FF23D7"/>
    <w:rsid w:val="17B336F9"/>
    <w:rsid w:val="17E71F1B"/>
    <w:rsid w:val="181914D5"/>
    <w:rsid w:val="19CD0DC3"/>
    <w:rsid w:val="19FF0CB9"/>
    <w:rsid w:val="1A196461"/>
    <w:rsid w:val="1A885F1C"/>
    <w:rsid w:val="1B300F4E"/>
    <w:rsid w:val="1B88639D"/>
    <w:rsid w:val="1C6B281B"/>
    <w:rsid w:val="1DDC4633"/>
    <w:rsid w:val="1F4E34A2"/>
    <w:rsid w:val="1FE12BA8"/>
    <w:rsid w:val="20336009"/>
    <w:rsid w:val="20B7143F"/>
    <w:rsid w:val="21CF6EDF"/>
    <w:rsid w:val="22C62C70"/>
    <w:rsid w:val="26C677C3"/>
    <w:rsid w:val="274A3E0E"/>
    <w:rsid w:val="27B979A9"/>
    <w:rsid w:val="28AA72B2"/>
    <w:rsid w:val="29BE1DA2"/>
    <w:rsid w:val="2A5B7031"/>
    <w:rsid w:val="2BF42B17"/>
    <w:rsid w:val="2C0F0108"/>
    <w:rsid w:val="2C5D79D3"/>
    <w:rsid w:val="2D4B6186"/>
    <w:rsid w:val="2D6B9567"/>
    <w:rsid w:val="30910857"/>
    <w:rsid w:val="3133320B"/>
    <w:rsid w:val="32915EAB"/>
    <w:rsid w:val="34DB2AE2"/>
    <w:rsid w:val="35376A96"/>
    <w:rsid w:val="353F4F86"/>
    <w:rsid w:val="35BE51F9"/>
    <w:rsid w:val="37EB7745"/>
    <w:rsid w:val="37FF78BA"/>
    <w:rsid w:val="39F527B7"/>
    <w:rsid w:val="3DA740E1"/>
    <w:rsid w:val="3E1419AD"/>
    <w:rsid w:val="3E5A4FD3"/>
    <w:rsid w:val="3EF219C8"/>
    <w:rsid w:val="3F67475D"/>
    <w:rsid w:val="3FFDAF21"/>
    <w:rsid w:val="403212B6"/>
    <w:rsid w:val="4081504A"/>
    <w:rsid w:val="40F901F7"/>
    <w:rsid w:val="419F528E"/>
    <w:rsid w:val="4307258B"/>
    <w:rsid w:val="4379051C"/>
    <w:rsid w:val="45F54C36"/>
    <w:rsid w:val="462063D5"/>
    <w:rsid w:val="46312B31"/>
    <w:rsid w:val="46986CED"/>
    <w:rsid w:val="469B038E"/>
    <w:rsid w:val="47C37084"/>
    <w:rsid w:val="495245DA"/>
    <w:rsid w:val="4A65476C"/>
    <w:rsid w:val="4AA8425C"/>
    <w:rsid w:val="4AC07334"/>
    <w:rsid w:val="4B313DAA"/>
    <w:rsid w:val="4BBE3D6A"/>
    <w:rsid w:val="4C6119D2"/>
    <w:rsid w:val="4C794E50"/>
    <w:rsid w:val="4CF45FEB"/>
    <w:rsid w:val="4E883898"/>
    <w:rsid w:val="4EC3061F"/>
    <w:rsid w:val="4F2040CB"/>
    <w:rsid w:val="4FE20C5A"/>
    <w:rsid w:val="507E4476"/>
    <w:rsid w:val="51BE1328"/>
    <w:rsid w:val="51CD6804"/>
    <w:rsid w:val="51FA0D1C"/>
    <w:rsid w:val="5264589A"/>
    <w:rsid w:val="544530E9"/>
    <w:rsid w:val="55DC5655"/>
    <w:rsid w:val="567591DB"/>
    <w:rsid w:val="582B347E"/>
    <w:rsid w:val="59612FE8"/>
    <w:rsid w:val="597F1859"/>
    <w:rsid w:val="5AA221E2"/>
    <w:rsid w:val="5B1B484C"/>
    <w:rsid w:val="5B8448EF"/>
    <w:rsid w:val="5BBBA6B7"/>
    <w:rsid w:val="5D241DEF"/>
    <w:rsid w:val="5D5E1B98"/>
    <w:rsid w:val="5DED7A60"/>
    <w:rsid w:val="5E2703C2"/>
    <w:rsid w:val="5E2D3395"/>
    <w:rsid w:val="5EBD214C"/>
    <w:rsid w:val="5F374E45"/>
    <w:rsid w:val="5F990EFF"/>
    <w:rsid w:val="5FC50816"/>
    <w:rsid w:val="61583C0A"/>
    <w:rsid w:val="61864028"/>
    <w:rsid w:val="61E51BB5"/>
    <w:rsid w:val="633C2089"/>
    <w:rsid w:val="63FF2AF6"/>
    <w:rsid w:val="642447AC"/>
    <w:rsid w:val="662842B8"/>
    <w:rsid w:val="66E3441B"/>
    <w:rsid w:val="68196E47"/>
    <w:rsid w:val="687D479A"/>
    <w:rsid w:val="697B04C0"/>
    <w:rsid w:val="6B9E6D92"/>
    <w:rsid w:val="6C2D6AD7"/>
    <w:rsid w:val="6CAC554C"/>
    <w:rsid w:val="6CCE48E5"/>
    <w:rsid w:val="6D241087"/>
    <w:rsid w:val="6D344E46"/>
    <w:rsid w:val="6D5D3C04"/>
    <w:rsid w:val="6EAD2167"/>
    <w:rsid w:val="6EF43EB6"/>
    <w:rsid w:val="6FA851F4"/>
    <w:rsid w:val="6FEF652B"/>
    <w:rsid w:val="70F167BF"/>
    <w:rsid w:val="72462254"/>
    <w:rsid w:val="73FDC3E8"/>
    <w:rsid w:val="744A5268"/>
    <w:rsid w:val="74B6701F"/>
    <w:rsid w:val="74E2394B"/>
    <w:rsid w:val="76752BCA"/>
    <w:rsid w:val="77CF7AF3"/>
    <w:rsid w:val="784B2EA8"/>
    <w:rsid w:val="796E6169"/>
    <w:rsid w:val="79A67A9A"/>
    <w:rsid w:val="79AFAF37"/>
    <w:rsid w:val="79BC1BA1"/>
    <w:rsid w:val="7AB7C17F"/>
    <w:rsid w:val="7B7F82A8"/>
    <w:rsid w:val="7BCB3CBA"/>
    <w:rsid w:val="7BE54BFF"/>
    <w:rsid w:val="7D520DE7"/>
    <w:rsid w:val="7D552848"/>
    <w:rsid w:val="7E975D29"/>
    <w:rsid w:val="7F55D897"/>
    <w:rsid w:val="7F9313E6"/>
    <w:rsid w:val="7F9AC01A"/>
    <w:rsid w:val="7FFB8306"/>
    <w:rsid w:val="AA6FC1CE"/>
    <w:rsid w:val="BA77F784"/>
    <w:rsid w:val="BDFD50A7"/>
    <w:rsid w:val="C3DF66CA"/>
    <w:rsid w:val="D23E6093"/>
    <w:rsid w:val="D4D7AD48"/>
    <w:rsid w:val="D7762672"/>
    <w:rsid w:val="D79F36DA"/>
    <w:rsid w:val="DEAF9EB4"/>
    <w:rsid w:val="DFAF2776"/>
    <w:rsid w:val="EF9F928E"/>
    <w:rsid w:val="F3FBD4A2"/>
    <w:rsid w:val="F6FF5760"/>
    <w:rsid w:val="F7FD0A2E"/>
    <w:rsid w:val="F9FE911E"/>
    <w:rsid w:val="FBFD6222"/>
    <w:rsid w:val="FE5F0D34"/>
    <w:rsid w:val="FFA68C78"/>
    <w:rsid w:val="FFD2EC6A"/>
    <w:rsid w:val="FFDEA1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仿宋_GB2312" w:cs="Times New Roman"/>
      <w:kern w:val="2"/>
      <w:sz w:val="32"/>
      <w:szCs w:val="32"/>
      <w:lang w:val="en-US" w:eastAsia="zh-CN" w:bidi="ar-SA"/>
    </w:rPr>
  </w:style>
  <w:style w:type="paragraph" w:styleId="2">
    <w:name w:val="heading 1"/>
    <w:basedOn w:val="1"/>
    <w:next w:val="1"/>
    <w:qFormat/>
    <w:uiPriority w:val="0"/>
    <w:pPr>
      <w:keepNext/>
      <w:keepLines/>
      <w:outlineLvl w:val="0"/>
    </w:pPr>
    <w:rPr>
      <w:rFonts w:eastAsia="方正小标宋简体"/>
      <w:kern w:val="44"/>
      <w:sz w:val="44"/>
      <w:szCs w:val="44"/>
    </w:rPr>
  </w:style>
  <w:style w:type="paragraph" w:styleId="3">
    <w:name w:val="heading 2"/>
    <w:basedOn w:val="1"/>
    <w:next w:val="1"/>
    <w:unhideWhenUsed/>
    <w:qFormat/>
    <w:uiPriority w:val="0"/>
    <w:pPr>
      <w:keepNext/>
      <w:keepLines/>
      <w:spacing w:line="413" w:lineRule="auto"/>
      <w:outlineLvl w:val="1"/>
    </w:pPr>
    <w:rPr>
      <w:rFonts w:ascii="Arial" w:hAnsi="Arial" w:eastAsia="黑体"/>
      <w:b/>
    </w:rPr>
  </w:style>
  <w:style w:type="paragraph" w:styleId="4">
    <w:name w:val="heading 3"/>
    <w:basedOn w:val="1"/>
    <w:next w:val="1"/>
    <w:unhideWhenUsed/>
    <w:qFormat/>
    <w:uiPriority w:val="0"/>
    <w:pPr>
      <w:outlineLvl w:val="2"/>
    </w:p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firstLineChars="200"/>
    </w:pPr>
    <w:rPr>
      <w:sz w:val="33"/>
      <w:szCs w:val="33"/>
    </w:rPr>
  </w:style>
  <w:style w:type="paragraph" w:styleId="6">
    <w:name w:val="annotation text"/>
    <w:basedOn w:val="1"/>
    <w:link w:val="81"/>
    <w:qFormat/>
    <w:uiPriority w:val="0"/>
    <w:pPr>
      <w:jc w:val="left"/>
    </w:pPr>
  </w:style>
  <w:style w:type="paragraph" w:styleId="7">
    <w:name w:val="Body Text"/>
    <w:basedOn w:val="1"/>
    <w:qFormat/>
    <w:uiPriority w:val="0"/>
  </w:style>
  <w:style w:type="paragraph" w:styleId="8">
    <w:name w:val="Plain Text"/>
    <w:basedOn w:val="1"/>
    <w:qFormat/>
    <w:uiPriority w:val="0"/>
    <w:rPr>
      <w:rFonts w:hAnsi="Courier New" w:cs="Courier New"/>
      <w:sz w:val="21"/>
      <w:szCs w:val="21"/>
    </w:rPr>
  </w:style>
  <w:style w:type="paragraph" w:styleId="9">
    <w:name w:val="Balloon Text"/>
    <w:basedOn w:val="1"/>
    <w:link w:val="80"/>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toc 2"/>
    <w:basedOn w:val="1"/>
    <w:next w:val="1"/>
    <w:qFormat/>
    <w:uiPriority w:val="0"/>
    <w:rPr>
      <w:rFonts w:ascii="Calibri" w:hAnsi="Calibri"/>
      <w:szCs w:val="24"/>
    </w:rPr>
  </w:style>
  <w:style w:type="paragraph" w:styleId="13">
    <w:name w:val="Normal (Web)"/>
    <w:basedOn w:val="1"/>
    <w:qFormat/>
    <w:uiPriority w:val="0"/>
    <w:pPr>
      <w:spacing w:before="100" w:beforeAutospacing="1" w:after="100" w:afterAutospacing="1"/>
      <w:jc w:val="left"/>
    </w:pPr>
    <w:rPr>
      <w:kern w:val="0"/>
      <w:sz w:val="24"/>
    </w:rPr>
  </w:style>
  <w:style w:type="paragraph" w:styleId="14">
    <w:name w:val="annotation subject"/>
    <w:basedOn w:val="6"/>
    <w:next w:val="6"/>
    <w:link w:val="82"/>
    <w:qFormat/>
    <w:uiPriority w:val="0"/>
    <w:rPr>
      <w:b/>
      <w:bCs/>
    </w:rPr>
  </w:style>
  <w:style w:type="table" w:styleId="16">
    <w:name w:val="Table Grid"/>
    <w:basedOn w:val="15"/>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0"/>
    <w:rPr>
      <w:rFonts w:cs="Times New Roman"/>
      <w:b/>
      <w:bCs/>
    </w:rPr>
  </w:style>
  <w:style w:type="character" w:styleId="19">
    <w:name w:val="page number"/>
    <w:basedOn w:val="17"/>
    <w:qFormat/>
    <w:uiPriority w:val="0"/>
  </w:style>
  <w:style w:type="character" w:styleId="20">
    <w:name w:val="Hyperlink"/>
    <w:basedOn w:val="17"/>
    <w:qFormat/>
    <w:uiPriority w:val="0"/>
    <w:rPr>
      <w:rFonts w:eastAsia="宋体"/>
      <w:color w:val="0000FF"/>
      <w:sz w:val="21"/>
      <w:szCs w:val="20"/>
      <w:u w:val="single"/>
    </w:rPr>
  </w:style>
  <w:style w:type="character" w:styleId="21">
    <w:name w:val="annotation reference"/>
    <w:basedOn w:val="17"/>
    <w:qFormat/>
    <w:uiPriority w:val="0"/>
    <w:rPr>
      <w:sz w:val="21"/>
      <w:szCs w:val="21"/>
    </w:rPr>
  </w:style>
  <w:style w:type="paragraph" w:customStyle="1" w:styleId="22">
    <w:name w:val="Char Char Char Char"/>
    <w:basedOn w:val="23"/>
    <w:qFormat/>
    <w:uiPriority w:val="0"/>
    <w:pPr>
      <w:widowControl/>
      <w:spacing w:after="160" w:line="240" w:lineRule="exact"/>
      <w:jc w:val="left"/>
    </w:pPr>
  </w:style>
  <w:style w:type="paragraph" w:customStyle="1" w:styleId="23">
    <w:name w:val="正文 New New New New New New New New New New New New New New New New New New New New"/>
    <w:qFormat/>
    <w:uiPriority w:val="0"/>
    <w:pPr>
      <w:widowControl w:val="0"/>
      <w:spacing w:line="600" w:lineRule="exact"/>
      <w:ind w:firstLine="624"/>
      <w:jc w:val="both"/>
    </w:pPr>
    <w:rPr>
      <w:rFonts w:hint="eastAsia" w:ascii="Times New Roman" w:hAnsi="Times New Roman" w:eastAsia="仿宋_GB2312" w:cs="Times New Roman"/>
      <w:sz w:val="32"/>
      <w:szCs w:val="22"/>
      <w:lang w:val="en-US" w:eastAsia="zh-CN" w:bidi="ar-SA"/>
    </w:rPr>
  </w:style>
  <w:style w:type="character" w:customStyle="1" w:styleId="24">
    <w:name w:val="fontstyle21"/>
    <w:basedOn w:val="17"/>
    <w:qFormat/>
    <w:uiPriority w:val="0"/>
    <w:rPr>
      <w:rFonts w:ascii="FZXBSJW--GB1-0" w:hAnsi="FZXBSJW--GB1-0" w:eastAsia="FZXBSJW--GB1-0" w:cs="FZXBSJW--GB1-0"/>
      <w:color w:val="000000"/>
      <w:sz w:val="44"/>
      <w:szCs w:val="44"/>
    </w:rPr>
  </w:style>
  <w:style w:type="character" w:customStyle="1" w:styleId="25">
    <w:name w:val="fontstyle41"/>
    <w:basedOn w:val="17"/>
    <w:qFormat/>
    <w:uiPriority w:val="0"/>
    <w:rPr>
      <w:rFonts w:ascii="黑体" w:hAnsi="宋体" w:eastAsia="黑体" w:cs="黑体"/>
      <w:color w:val="000000"/>
      <w:sz w:val="32"/>
      <w:szCs w:val="32"/>
    </w:rPr>
  </w:style>
  <w:style w:type="character" w:customStyle="1" w:styleId="26">
    <w:name w:val="fontstyle01"/>
    <w:basedOn w:val="17"/>
    <w:qFormat/>
    <w:uiPriority w:val="0"/>
    <w:rPr>
      <w:rFonts w:ascii="宋体" w:hAnsi="宋体" w:eastAsia="宋体" w:cs="宋体"/>
      <w:color w:val="000000"/>
      <w:sz w:val="28"/>
      <w:szCs w:val="28"/>
    </w:rPr>
  </w:style>
  <w:style w:type="character" w:customStyle="1" w:styleId="27">
    <w:name w:val="批注引用1"/>
    <w:qFormat/>
    <w:uiPriority w:val="0"/>
    <w:rPr>
      <w:rFonts w:ascii="Times New Roman" w:hAnsi="Times New Roman" w:eastAsia="仿宋"/>
      <w:sz w:val="28"/>
      <w:szCs w:val="21"/>
    </w:rPr>
  </w:style>
  <w:style w:type="character" w:customStyle="1" w:styleId="28">
    <w:name w:val="fontstyle51"/>
    <w:basedOn w:val="17"/>
    <w:qFormat/>
    <w:uiPriority w:val="0"/>
    <w:rPr>
      <w:rFonts w:ascii="楷体_GB2312" w:hAnsi="楷体_GB2312" w:eastAsia="楷体_GB2312" w:cs="楷体_GB2312"/>
      <w:color w:val="000000"/>
      <w:sz w:val="32"/>
      <w:szCs w:val="32"/>
    </w:rPr>
  </w:style>
  <w:style w:type="character" w:customStyle="1" w:styleId="29">
    <w:name w:val="fontstyle31"/>
    <w:basedOn w:val="17"/>
    <w:qFormat/>
    <w:uiPriority w:val="0"/>
    <w:rPr>
      <w:rFonts w:ascii="仿宋_GB2312" w:hAnsi="仿宋_GB2312" w:eastAsia="仿宋_GB2312" w:cs="仿宋_GB2312"/>
      <w:color w:val="000000"/>
      <w:sz w:val="32"/>
      <w:szCs w:val="32"/>
    </w:rPr>
  </w:style>
  <w:style w:type="character" w:customStyle="1" w:styleId="30">
    <w:name w:val="页码 New"/>
    <w:basedOn w:val="17"/>
    <w:qFormat/>
    <w:uiPriority w:val="0"/>
  </w:style>
  <w:style w:type="paragraph" w:customStyle="1" w:styleId="31">
    <w:name w:val="纯文本1"/>
    <w:basedOn w:val="1"/>
    <w:qFormat/>
    <w:uiPriority w:val="0"/>
    <w:rPr>
      <w:rFonts w:hAnsi="Courier New" w:cs="Courier New"/>
      <w:kern w:val="0"/>
      <w:sz w:val="20"/>
      <w:szCs w:val="21"/>
    </w:rPr>
  </w:style>
  <w:style w:type="paragraph" w:customStyle="1" w:styleId="32">
    <w:name w:val="正文 New New New"/>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4">
    <w:name w:val="列出段落1"/>
    <w:basedOn w:val="1"/>
    <w:qFormat/>
    <w:uiPriority w:val="0"/>
    <w:pPr>
      <w:ind w:firstLine="420" w:firstLineChars="200"/>
    </w:pPr>
    <w:rPr>
      <w:rFonts w:ascii="Calibri" w:hAnsi="Calibri" w:eastAsia="宋体"/>
    </w:rPr>
  </w:style>
  <w:style w:type="paragraph" w:customStyle="1" w:styleId="35">
    <w:name w:val="正文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color w:val="000000"/>
      <w:kern w:val="1"/>
      <w:sz w:val="21"/>
      <w:szCs w:val="24"/>
      <w:lang w:val="en-US" w:eastAsia="zh-CN" w:bidi="ar-SA"/>
    </w:rPr>
  </w:style>
  <w:style w:type="paragraph" w:customStyle="1" w:styleId="36">
    <w:name w:val="正文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7">
    <w:name w:val="正文 New New New New New New New New New New New New New New New New New New New New New New New New New New New New New New New New New New New New New New New New"/>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
    <w:name w:val="列表段落1"/>
    <w:basedOn w:val="1"/>
    <w:qFormat/>
    <w:uiPriority w:val="34"/>
    <w:pPr>
      <w:ind w:firstLine="420" w:firstLineChars="200"/>
    </w:pPr>
  </w:style>
  <w:style w:type="paragraph" w:customStyle="1" w:styleId="39">
    <w:name w:val="正文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0">
    <w:name w:val="正文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1">
    <w:name w:val="正文 New New New New New New New New New New New New New New New New New New New New New New New New New New New New New New New New New New New New New New New New New New New New New New New New New New New New New New New New New New New New New New Ne1"/>
    <w:qFormat/>
    <w:uiPriority w:val="0"/>
    <w:pPr>
      <w:widowControl w:val="0"/>
      <w:jc w:val="both"/>
    </w:pPr>
    <w:rPr>
      <w:rFonts w:ascii="Calibri" w:hAnsi="Calibri" w:eastAsia="宋体" w:cs="黑体"/>
      <w:kern w:val="2"/>
      <w:sz w:val="21"/>
      <w:szCs w:val="22"/>
      <w:lang w:val="en-US" w:eastAsia="zh-CN" w:bidi="ar-SA"/>
    </w:rPr>
  </w:style>
  <w:style w:type="paragraph" w:customStyle="1" w:styleId="42">
    <w:name w:val="Normal New New New"/>
    <w:qFormat/>
    <w:uiPriority w:val="0"/>
    <w:pPr>
      <w:widowControl w:val="0"/>
      <w:jc w:val="both"/>
    </w:pPr>
    <w:rPr>
      <w:rFonts w:hint="eastAsia" w:ascii="Times New Roman" w:hAnsi="Times New Roman" w:eastAsia="宋体" w:cs="Times New Roman"/>
      <w:kern w:val="2"/>
      <w:sz w:val="21"/>
      <w:szCs w:val="22"/>
      <w:lang w:val="en-US" w:eastAsia="zh-CN" w:bidi="ar-SA"/>
    </w:rPr>
  </w:style>
  <w:style w:type="paragraph" w:customStyle="1" w:styleId="43">
    <w:name w:val="正文 New New New New New New New New New New New New New New New New New New New New New New New New New"/>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
    <w:name w:val="正文 New New New New New New New New New New New New New New New New New New New New New New New New New New New New New New New New New New New New New New New New New New New New New New New New New New New New New New New New New New New New New New Ne2"/>
    <w:qFormat/>
    <w:uiPriority w:val="0"/>
    <w:pPr>
      <w:widowControl w:val="0"/>
      <w:jc w:val="both"/>
    </w:pPr>
    <w:rPr>
      <w:rFonts w:ascii="Calibri" w:hAnsi="Calibri" w:eastAsia="仿宋_GB2312" w:cs="黑体"/>
      <w:kern w:val="2"/>
      <w:sz w:val="32"/>
      <w:szCs w:val="22"/>
      <w:lang w:val="en-US" w:eastAsia="zh-CN" w:bidi="ar-SA"/>
    </w:rPr>
  </w:style>
  <w:style w:type="paragraph" w:customStyle="1" w:styleId="45">
    <w:name w:val="页眉 New"/>
    <w:basedOn w:val="46"/>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eastAsia="方正小标宋简体"/>
      <w:sz w:val="18"/>
      <w:szCs w:val="44"/>
    </w:rPr>
  </w:style>
  <w:style w:type="paragraph" w:customStyle="1" w:styleId="46">
    <w:name w:val="正文 New"/>
    <w:next w:val="47"/>
    <w:qFormat/>
    <w:uiPriority w:val="0"/>
    <w:pPr>
      <w:widowControl w:val="0"/>
      <w:jc w:val="both"/>
    </w:pPr>
    <w:rPr>
      <w:rFonts w:ascii="宋体" w:hAnsi="宋体" w:eastAsia="仿宋" w:cs="Times New Roman"/>
      <w:kern w:val="2"/>
      <w:sz w:val="32"/>
      <w:szCs w:val="24"/>
      <w:lang w:val="en-US" w:eastAsia="zh-CN" w:bidi="ar-SA"/>
    </w:rPr>
  </w:style>
  <w:style w:type="paragraph" w:customStyle="1" w:styleId="47">
    <w:name w:val="标题 3 New"/>
    <w:basedOn w:val="46"/>
    <w:next w:val="46"/>
    <w:qFormat/>
    <w:uiPriority w:val="0"/>
    <w:pPr>
      <w:spacing w:before="104" w:after="104"/>
      <w:outlineLvl w:val="2"/>
    </w:pPr>
  </w:style>
  <w:style w:type="paragraph" w:customStyle="1" w:styleId="48">
    <w:name w:val="正文 New New New New New New New New New New New New New New New New New New New New New New New New New New New New New New New New New New New New New New New New New New New New New New New New New New New New New New New New New New New New New New Ne3"/>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9">
    <w:name w:val="正文 New New New New New New New New New New New New New New New New New New New New New New New New New New New New New New New New New New New New New New New New New New New"/>
    <w:qFormat/>
    <w:uiPriority w:val="0"/>
    <w:pPr>
      <w:widowControl w:val="0"/>
      <w:jc w:val="both"/>
    </w:pPr>
    <w:rPr>
      <w:rFonts w:ascii="Calibri" w:hAnsi="Calibri" w:eastAsia="宋体" w:cs="Times New Roman"/>
      <w:kern w:val="2"/>
      <w:sz w:val="21"/>
      <w:szCs w:val="22"/>
      <w:lang w:val="en-US" w:eastAsia="zh-CN" w:bidi="ar-SA"/>
    </w:rPr>
  </w:style>
  <w:style w:type="paragraph" w:customStyle="1" w:styleId="50">
    <w:name w:val="正文 New New New New New New New New New New New New New New New New New New New New New New New New New New New New New New New New New New New New New"/>
    <w:qFormat/>
    <w:uiPriority w:val="0"/>
    <w:pPr>
      <w:widowControl w:val="0"/>
      <w:jc w:val="both"/>
    </w:pPr>
    <w:rPr>
      <w:rFonts w:ascii="Calibri" w:hAnsi="Calibri" w:eastAsia="宋体" w:cs="Times New Roman"/>
      <w:kern w:val="2"/>
      <w:sz w:val="21"/>
      <w:szCs w:val="22"/>
      <w:lang w:val="en-US" w:eastAsia="zh-CN" w:bidi="ar-SA"/>
    </w:rPr>
  </w:style>
  <w:style w:type="paragraph" w:customStyle="1" w:styleId="51">
    <w:name w:val="_Style 5"/>
    <w:qFormat/>
    <w:uiPriority w:val="0"/>
    <w:pPr>
      <w:widowControl w:val="0"/>
      <w:ind w:firstLine="200" w:firstLineChars="200"/>
      <w:jc w:val="both"/>
    </w:pPr>
    <w:rPr>
      <w:rFonts w:ascii="Calibri" w:hAnsi="Calibri" w:eastAsia="宋体" w:cs="Times New Roman"/>
      <w:kern w:val="2"/>
      <w:sz w:val="24"/>
      <w:szCs w:val="22"/>
      <w:lang w:val="en-US" w:eastAsia="zh-CN" w:bidi="ar-SA"/>
    </w:rPr>
  </w:style>
  <w:style w:type="paragraph" w:customStyle="1" w:styleId="52">
    <w:name w:val="正文 New New New New New New New New New New New New New New New New New New New New New New New New New New New New New New New"/>
    <w:qFormat/>
    <w:uiPriority w:val="0"/>
    <w:pPr>
      <w:widowControl w:val="0"/>
      <w:jc w:val="both"/>
    </w:pPr>
    <w:rPr>
      <w:rFonts w:ascii="Calibri" w:hAnsi="Calibri" w:eastAsia="宋体" w:cs="Times New Roman"/>
      <w:kern w:val="2"/>
      <w:sz w:val="21"/>
      <w:szCs w:val="22"/>
      <w:lang w:val="en-US" w:eastAsia="zh-CN" w:bidi="ar-SA"/>
    </w:rPr>
  </w:style>
  <w:style w:type="paragraph" w:customStyle="1" w:styleId="53">
    <w:name w:val="正文 New New New New New New New New New New New New New New New New New New New New New New New New New New New New New New New New New"/>
    <w:qFormat/>
    <w:uiPriority w:val="0"/>
    <w:pPr>
      <w:widowControl w:val="0"/>
      <w:jc w:val="both"/>
    </w:pPr>
    <w:rPr>
      <w:rFonts w:ascii="Calibri" w:hAnsi="Calibri" w:eastAsia="宋体" w:cs="Times New Roman"/>
      <w:kern w:val="2"/>
      <w:sz w:val="21"/>
      <w:szCs w:val="22"/>
      <w:lang w:val="en-US" w:eastAsia="zh-CN" w:bidi="ar-SA"/>
    </w:rPr>
  </w:style>
  <w:style w:type="paragraph" w:customStyle="1" w:styleId="54">
    <w:name w:val="正文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Calibri" w:hAnsi="Calibri" w:eastAsia="仿宋_GB2312" w:cs="Times New Roman"/>
      <w:kern w:val="2"/>
      <w:sz w:val="32"/>
      <w:szCs w:val="32"/>
      <w:lang w:val="en-US" w:eastAsia="zh-CN" w:bidi="ar-SA"/>
    </w:rPr>
  </w:style>
  <w:style w:type="paragraph" w:customStyle="1" w:styleId="55">
    <w:name w:val="正文 New New New New New New New New New New New New New New New New New New New New New New New New New New New New New New New New New New New New New New New New New New New New New New New New New New New New New New New New New New New New New New Ne4"/>
    <w:qFormat/>
    <w:uiPriority w:val="0"/>
    <w:pPr>
      <w:widowControl w:val="0"/>
      <w:jc w:val="both"/>
    </w:pPr>
    <w:rPr>
      <w:rFonts w:ascii="仿宋_GB2312" w:hAnsi="仿宋_GB2312" w:eastAsia="仿宋_GB2312" w:cs="Times New Roman"/>
      <w:kern w:val="2"/>
      <w:sz w:val="32"/>
      <w:szCs w:val="32"/>
      <w:lang w:val="en-US" w:eastAsia="zh-CN" w:bidi="ar-SA"/>
    </w:rPr>
  </w:style>
  <w:style w:type="paragraph" w:customStyle="1" w:styleId="56">
    <w:name w:val="正文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color w:val="000000"/>
      <w:sz w:val="21"/>
      <w:szCs w:val="22"/>
      <w:lang w:val="en-US" w:eastAsia="zh-CN" w:bidi="ar-SA"/>
    </w:rPr>
  </w:style>
  <w:style w:type="paragraph" w:customStyle="1" w:styleId="57">
    <w:name w:val="Char"/>
    <w:basedOn w:val="40"/>
    <w:qFormat/>
    <w:uiPriority w:val="0"/>
  </w:style>
  <w:style w:type="paragraph" w:customStyle="1" w:styleId="58">
    <w:name w:val="标题 1 New"/>
    <w:basedOn w:val="59"/>
    <w:next w:val="59"/>
    <w:qFormat/>
    <w:uiPriority w:val="0"/>
    <w:pPr>
      <w:keepNext/>
      <w:keepLines/>
      <w:spacing w:before="340" w:after="330" w:line="578" w:lineRule="auto"/>
      <w:outlineLvl w:val="0"/>
    </w:pPr>
    <w:rPr>
      <w:b/>
      <w:bCs/>
      <w:kern w:val="44"/>
      <w:sz w:val="44"/>
      <w:szCs w:val="44"/>
    </w:rPr>
  </w:style>
  <w:style w:type="paragraph" w:customStyle="1" w:styleId="59">
    <w:name w:val="正文 New New"/>
    <w:next w:val="58"/>
    <w:qFormat/>
    <w:uiPriority w:val="0"/>
    <w:pPr>
      <w:widowControl w:val="0"/>
      <w:jc w:val="both"/>
    </w:pPr>
    <w:rPr>
      <w:rFonts w:ascii="Times New Roman" w:hAnsi="Times New Roman" w:eastAsia="仿宋" w:cs="Times New Roman"/>
      <w:kern w:val="2"/>
      <w:sz w:val="32"/>
      <w:szCs w:val="32"/>
      <w:lang w:val="en-US" w:eastAsia="zh-CN" w:bidi="ar-SA"/>
    </w:rPr>
  </w:style>
  <w:style w:type="paragraph" w:customStyle="1" w:styleId="60">
    <w:name w:val="正式格式"/>
    <w:basedOn w:val="1"/>
    <w:qFormat/>
    <w:uiPriority w:val="0"/>
    <w:pPr>
      <w:spacing w:line="560" w:lineRule="exact"/>
    </w:pPr>
    <w:rPr>
      <w:rFonts w:ascii="Calibri" w:hAnsi="Calibri"/>
    </w:rPr>
  </w:style>
  <w:style w:type="paragraph" w:customStyle="1" w:styleId="61">
    <w:name w:val="正文 New New New New New New New New New New New New New New New New New New New New New New New New New New New New New New New New New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62">
    <w:name w:val="正文 New New New New New New New New New New New New New New New New New New New New New New New"/>
    <w:qFormat/>
    <w:uiPriority w:val="0"/>
    <w:pPr>
      <w:widowControl w:val="0"/>
      <w:jc w:val="both"/>
    </w:pPr>
    <w:rPr>
      <w:rFonts w:ascii="Calibri" w:hAnsi="Calibri" w:eastAsia="宋体" w:cs="Times New Roman"/>
      <w:kern w:val="2"/>
      <w:sz w:val="21"/>
      <w:szCs w:val="22"/>
      <w:lang w:val="en-US" w:eastAsia="zh-CN" w:bidi="ar-SA"/>
    </w:rPr>
  </w:style>
  <w:style w:type="paragraph" w:customStyle="1" w:styleId="63">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4">
    <w:name w:val="正文 New New New New New New New New New New New New New New New New New New"/>
    <w:basedOn w:val="1"/>
    <w:qFormat/>
    <w:uiPriority w:val="0"/>
    <w:rPr>
      <w:rFonts w:ascii="Times New Roman" w:hAnsi="Times New Roman" w:eastAsia="宋体"/>
      <w:sz w:val="21"/>
      <w:szCs w:val="20"/>
    </w:rPr>
  </w:style>
  <w:style w:type="paragraph" w:customStyle="1" w:styleId="65">
    <w:name w:val="正文文本缩进 New New"/>
    <w:basedOn w:val="48"/>
    <w:qFormat/>
    <w:uiPriority w:val="0"/>
    <w:pPr>
      <w:ind w:firstLine="630"/>
    </w:pPr>
    <w:rPr>
      <w:rFonts w:ascii="仿宋_GB2312" w:eastAsia="仿宋_GB2312"/>
      <w:sz w:val="32"/>
    </w:rPr>
  </w:style>
  <w:style w:type="paragraph" w:customStyle="1" w:styleId="66">
    <w:name w:val="页脚 New New New New New"/>
    <w:basedOn w:val="1"/>
    <w:qFormat/>
    <w:uiPriority w:val="0"/>
    <w:pPr>
      <w:tabs>
        <w:tab w:val="center" w:pos="4153"/>
        <w:tab w:val="right" w:pos="8306"/>
      </w:tabs>
      <w:snapToGrid w:val="0"/>
      <w:jc w:val="left"/>
    </w:pPr>
    <w:rPr>
      <w:sz w:val="18"/>
      <w:szCs w:val="18"/>
    </w:rPr>
  </w:style>
  <w:style w:type="paragraph" w:customStyle="1" w:styleId="67">
    <w:name w:val="正文 New New New New New New New New New New New New New New New New New New New New New New New New New New New New New New New New New New New New New New New New New New New New New New New New New New New New New New New New New New New New New New Ne5"/>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68">
    <w:name w:val="正文文本缩进 New"/>
    <w:basedOn w:val="59"/>
    <w:qFormat/>
    <w:uiPriority w:val="0"/>
    <w:pPr>
      <w:spacing w:after="120"/>
      <w:ind w:left="420" w:leftChars="200"/>
    </w:pPr>
  </w:style>
  <w:style w:type="paragraph" w:customStyle="1" w:styleId="69">
    <w:name w:val="列表段落2"/>
    <w:basedOn w:val="1"/>
    <w:qFormat/>
    <w:uiPriority w:val="99"/>
    <w:pPr>
      <w:ind w:firstLine="420" w:firstLineChars="200"/>
    </w:pPr>
  </w:style>
  <w:style w:type="paragraph" w:customStyle="1" w:styleId="70">
    <w:name w:val="p0"/>
    <w:basedOn w:val="1"/>
    <w:qFormat/>
    <w:uiPriority w:val="0"/>
    <w:pPr>
      <w:widowControl/>
    </w:pPr>
    <w:rPr>
      <w:rFonts w:ascii="Times New Roman" w:hAnsi="Times New Roman" w:eastAsia="宋体"/>
      <w:kern w:val="0"/>
      <w:szCs w:val="21"/>
    </w:rPr>
  </w:style>
  <w:style w:type="paragraph" w:customStyle="1" w:styleId="71">
    <w:name w:val="标题 4 New"/>
    <w:basedOn w:val="46"/>
    <w:next w:val="46"/>
    <w:qFormat/>
    <w:uiPriority w:val="0"/>
    <w:pPr>
      <w:keepNext/>
      <w:keepLines/>
      <w:spacing w:before="280" w:after="290" w:line="376" w:lineRule="auto"/>
      <w:outlineLvl w:val="3"/>
    </w:pPr>
    <w:rPr>
      <w:rFonts w:ascii="Arial" w:hAnsi="Arial" w:eastAsia="黑体"/>
      <w:b/>
      <w:bCs/>
      <w:sz w:val="28"/>
      <w:szCs w:val="28"/>
    </w:rPr>
  </w:style>
  <w:style w:type="paragraph" w:customStyle="1" w:styleId="72">
    <w:name w:val="正文 New New New New New New"/>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customStyle="1" w:styleId="73">
    <w:name w:val="正文 New New New New New New New New New New New New New New New New New New New New New New New New New New New New New New New New New New New New New New"/>
    <w:qFormat/>
    <w:uiPriority w:val="0"/>
    <w:pPr>
      <w:widowControl w:val="0"/>
      <w:jc w:val="both"/>
    </w:pPr>
    <w:rPr>
      <w:rFonts w:ascii="Calibri" w:hAnsi="Calibri" w:eastAsia="宋体" w:cs="Times New Roman"/>
      <w:kern w:val="2"/>
      <w:sz w:val="21"/>
      <w:szCs w:val="22"/>
      <w:lang w:val="en-US" w:eastAsia="zh-CN" w:bidi="ar-SA"/>
    </w:rPr>
  </w:style>
  <w:style w:type="paragraph" w:customStyle="1" w:styleId="74">
    <w:name w:val="页脚 New New New New New New New New New New New New New New New New New New New New New New New New New New New New New New New New New"/>
    <w:basedOn w:val="67"/>
    <w:qFormat/>
    <w:uiPriority w:val="0"/>
    <w:pPr>
      <w:tabs>
        <w:tab w:val="center" w:pos="4153"/>
        <w:tab w:val="right" w:pos="8306"/>
      </w:tabs>
      <w:snapToGrid w:val="0"/>
      <w:jc w:val="left"/>
    </w:pPr>
    <w:rPr>
      <w:sz w:val="18"/>
      <w:szCs w:val="18"/>
    </w:rPr>
  </w:style>
  <w:style w:type="paragraph" w:customStyle="1" w:styleId="75">
    <w:name w:val="正文 New New New New New New New New New New New New New New New New New New New New New New New New New New New New New New New New"/>
    <w:qFormat/>
    <w:uiPriority w:val="0"/>
    <w:pPr>
      <w:widowControl w:val="0"/>
      <w:jc w:val="both"/>
    </w:pPr>
    <w:rPr>
      <w:rFonts w:ascii="Calibri" w:hAnsi="Calibri" w:eastAsia="宋体" w:cs="Times New Roman"/>
      <w:kern w:val="2"/>
      <w:sz w:val="21"/>
      <w:szCs w:val="22"/>
      <w:lang w:val="en-US" w:eastAsia="zh-CN" w:bidi="ar-SA"/>
    </w:rPr>
  </w:style>
  <w:style w:type="paragraph" w:customStyle="1" w:styleId="76">
    <w:name w:val="列出段落2"/>
    <w:basedOn w:val="1"/>
    <w:qFormat/>
    <w:uiPriority w:val="0"/>
    <w:pPr>
      <w:ind w:firstLine="420" w:firstLineChars="200"/>
    </w:pPr>
  </w:style>
  <w:style w:type="paragraph" w:customStyle="1" w:styleId="77">
    <w:name w:val="正文 New New New New New"/>
    <w:qFormat/>
    <w:uiPriority w:val="0"/>
    <w:pPr>
      <w:widowControl w:val="0"/>
      <w:jc w:val="both"/>
    </w:pPr>
    <w:rPr>
      <w:rFonts w:ascii="等线" w:hAnsi="等线" w:eastAsia="等线" w:cs="Times New Roman"/>
      <w:kern w:val="2"/>
      <w:sz w:val="21"/>
      <w:szCs w:val="24"/>
      <w:lang w:val="en-US" w:eastAsia="zh-CN" w:bidi="ar-SA"/>
    </w:rPr>
  </w:style>
  <w:style w:type="paragraph" w:customStyle="1" w:styleId="78">
    <w:name w:val="正文 New New New New New New New New New New New New New New New New New New New New New New New New New New New New New"/>
    <w:qFormat/>
    <w:uiPriority w:val="0"/>
    <w:pPr>
      <w:widowControl w:val="0"/>
      <w:jc w:val="both"/>
    </w:pPr>
    <w:rPr>
      <w:rFonts w:ascii="Calibri" w:hAnsi="Calibri" w:eastAsia="宋体" w:cs="Times New Roman"/>
      <w:kern w:val="2"/>
      <w:sz w:val="21"/>
      <w:szCs w:val="22"/>
      <w:lang w:val="en-US" w:eastAsia="zh-CN" w:bidi="ar-SA"/>
    </w:rPr>
  </w:style>
  <w:style w:type="paragraph" w:customStyle="1" w:styleId="79">
    <w:name w:val="页脚 New New New New New New New New"/>
    <w:basedOn w:val="73"/>
    <w:qFormat/>
    <w:uiPriority w:val="0"/>
    <w:pPr>
      <w:tabs>
        <w:tab w:val="center" w:pos="4153"/>
        <w:tab w:val="right" w:pos="8306"/>
      </w:tabs>
      <w:snapToGrid w:val="0"/>
      <w:jc w:val="left"/>
    </w:pPr>
    <w:rPr>
      <w:sz w:val="18"/>
    </w:rPr>
  </w:style>
  <w:style w:type="character" w:customStyle="1" w:styleId="80">
    <w:name w:val="批注框文本 字符"/>
    <w:basedOn w:val="17"/>
    <w:link w:val="9"/>
    <w:qFormat/>
    <w:uiPriority w:val="0"/>
    <w:rPr>
      <w:rFonts w:ascii="宋体" w:hAnsi="宋体" w:eastAsia="仿宋_GB2312"/>
      <w:kern w:val="2"/>
      <w:sz w:val="18"/>
      <w:szCs w:val="18"/>
    </w:rPr>
  </w:style>
  <w:style w:type="character" w:customStyle="1" w:styleId="81">
    <w:name w:val="批注文字 字符"/>
    <w:basedOn w:val="17"/>
    <w:link w:val="6"/>
    <w:qFormat/>
    <w:uiPriority w:val="0"/>
    <w:rPr>
      <w:rFonts w:ascii="宋体" w:hAnsi="宋体" w:eastAsia="仿宋_GB2312"/>
      <w:kern w:val="2"/>
      <w:sz w:val="32"/>
      <w:szCs w:val="32"/>
    </w:rPr>
  </w:style>
  <w:style w:type="character" w:customStyle="1" w:styleId="82">
    <w:name w:val="批注主题 字符"/>
    <w:basedOn w:val="81"/>
    <w:link w:val="14"/>
    <w:qFormat/>
    <w:uiPriority w:val="0"/>
    <w:rPr>
      <w:rFonts w:ascii="宋体" w:hAnsi="宋体" w:eastAsia="仿宋_GB2312"/>
      <w:b/>
      <w:bCs/>
      <w:kern w:val="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区政府</Company>
  <Pages>11</Pages>
  <Words>1527</Words>
  <Characters>8709</Characters>
  <Lines>72</Lines>
  <Paragraphs>20</Paragraphs>
  <TotalTime>42</TotalTime>
  <ScaleCrop>false</ScaleCrop>
  <LinksUpToDate>false</LinksUpToDate>
  <CharactersWithSpaces>10216</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2020-03-10T15:20:00Z</dcterms:created>
  <dc:creator>黄钰媚</dc:creator>
  <cp:lastModifiedBy>黄春金</cp:lastModifiedBy>
  <cp:lastPrinted>2026-03-17T02:20:00Z</cp:lastPrinted>
  <dcterms:modified xsi:type="dcterms:W3CDTF">2026-04-27T14:18:23Z</dcterms:modified>
  <dc:title>主动公开</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8E2353EB5F80D7CE4922AE6972F8A3B3_43</vt:lpwstr>
  </property>
  <property fmtid="{D5CDD505-2E9C-101B-9397-08002B2CF9AE}" pid="4" name="KSOTemplateDocerSaveRecord">
    <vt:lpwstr>eyJoZGlkIjoiZjdjMTA0MWFjODI1ZDUwY2EwYzY2NWY2YjM0YTViMzEiLCJ1c2VySWQiOiIxMzc1NjI5MTE1In0=</vt:lpwstr>
  </property>
</Properties>
</file>