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方正小标宋_GBK" w:cs="Times New Roman"/>
          <w:color w:val="auto"/>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方正小标宋_GBK" w:cs="Times New Roman"/>
          <w:color w:val="auto"/>
          <w:sz w:val="44"/>
          <w:szCs w:val="44"/>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ascii="Times New Roman" w:hAnsi="Times New Roman" w:eastAsia="方正小标宋_GBK" w:cs="Times New Roman"/>
          <w:color w:val="auto"/>
          <w:sz w:val="44"/>
          <w:szCs w:val="44"/>
          <w:highlight w:val="none"/>
          <w:u w:val="none"/>
          <w:lang w:eastAsia="zh-CN"/>
        </w:rPr>
        <w:t>贵阳市消费新业态新模式新场景试点</w:t>
      </w:r>
      <w:r>
        <w:rPr>
          <w:rFonts w:hint="eastAsia" w:ascii="Times New Roman" w:hAnsi="Times New Roman" w:eastAsia="方正小标宋_GBK" w:cs="Times New Roman"/>
          <w:b w:val="0"/>
          <w:bCs w:val="0"/>
          <w:color w:val="auto"/>
          <w:sz w:val="44"/>
          <w:szCs w:val="44"/>
          <w:highlight w:val="none"/>
          <w:u w:val="none"/>
          <w:lang w:val="en-US" w:eastAsia="zh-CN"/>
        </w:rPr>
        <w:t>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auto"/>
          <w:sz w:val="44"/>
          <w:szCs w:val="44"/>
          <w:highlight w:val="none"/>
          <w:u w:val="none"/>
          <w:lang w:eastAsia="zh-CN"/>
        </w:rPr>
      </w:pPr>
      <w:r>
        <w:rPr>
          <w:rFonts w:ascii="Times New Roman" w:hAnsi="Times New Roman" w:eastAsia="方正小标宋_GBK" w:cs="Times New Roman"/>
          <w:color w:val="auto"/>
          <w:sz w:val="44"/>
          <w:szCs w:val="44"/>
          <w:highlight w:val="none"/>
          <w:u w:val="none"/>
          <w:lang w:eastAsia="zh-CN"/>
        </w:rPr>
        <w:t>专项资金管理办法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（征求意见稿）</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cs="Times New Roman"/>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lang w:eastAsia="zh-CN"/>
        </w:rPr>
      </w:pPr>
      <w:r>
        <w:rPr>
          <w:rFonts w:ascii="Times New Roman" w:hAnsi="Times New Roman" w:eastAsia="黑体" w:cs="Times New Roman"/>
          <w:color w:val="auto"/>
          <w:sz w:val="36"/>
          <w:szCs w:val="36"/>
          <w:highlight w:val="none"/>
          <w:u w:val="none"/>
          <w:lang w:eastAsia="zh-CN"/>
        </w:rPr>
        <w:t>第一章 总</w:t>
      </w:r>
      <w:r>
        <w:rPr>
          <w:rFonts w:hint="eastAsia" w:ascii="Times New Roman" w:hAnsi="Times New Roman" w:eastAsia="黑体" w:cs="Times New Roman"/>
          <w:color w:val="auto"/>
          <w:sz w:val="36"/>
          <w:szCs w:val="36"/>
          <w:highlight w:val="none"/>
          <w:u w:val="none"/>
          <w:lang w:val="en-US" w:eastAsia="zh-CN"/>
        </w:rPr>
        <w:t xml:space="preserve">  </w:t>
      </w:r>
      <w:r>
        <w:rPr>
          <w:rFonts w:ascii="Times New Roman" w:hAnsi="Times New Roman" w:eastAsia="黑体" w:cs="Times New Roman"/>
          <w:color w:val="auto"/>
          <w:sz w:val="36"/>
          <w:szCs w:val="36"/>
          <w:highlight w:val="none"/>
          <w:u w:val="none"/>
          <w:lang w:eastAsia="zh-CN"/>
        </w:rPr>
        <w:t>则</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ascii="Times New Roman" w:hAnsi="Times New Roman" w:eastAsia="仿宋_GB2312" w:cs="Times New Roman"/>
          <w:b/>
          <w:bCs/>
          <w:color w:val="auto"/>
          <w:sz w:val="36"/>
          <w:szCs w:val="36"/>
          <w:highlight w:val="none"/>
          <w:u w:val="none"/>
          <w:lang w:eastAsia="zh-CN"/>
        </w:rPr>
        <w:t>第一条</w:t>
      </w:r>
      <w:r>
        <w:rPr>
          <w:rFonts w:hint="eastAsia" w:ascii="Times New Roman" w:hAnsi="Times New Roman" w:eastAsia="仿宋_GB2312" w:cs="Times New Roman"/>
          <w:b/>
          <w:bCs/>
          <w:color w:val="auto"/>
          <w:sz w:val="36"/>
          <w:szCs w:val="36"/>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依据与目的。</w:t>
      </w:r>
      <w:r>
        <w:rPr>
          <w:rFonts w:ascii="Times New Roman" w:hAnsi="Times New Roman" w:eastAsia="仿宋_GB2312" w:cs="Times New Roman"/>
          <w:color w:val="auto"/>
          <w:sz w:val="36"/>
          <w:szCs w:val="36"/>
          <w:highlight w:val="none"/>
          <w:u w:val="none"/>
          <w:lang w:eastAsia="zh-CN"/>
        </w:rPr>
        <w:t>为加强和规范贵阳市消费新业态新模式新场景试点</w:t>
      </w:r>
      <w:r>
        <w:rPr>
          <w:rFonts w:hint="eastAsia" w:ascii="Times New Roman" w:hAnsi="Times New Roman" w:eastAsia="仿宋_GB2312" w:cs="Times New Roman"/>
          <w:color w:val="auto"/>
          <w:sz w:val="36"/>
          <w:szCs w:val="36"/>
          <w:highlight w:val="none"/>
          <w:u w:val="none"/>
          <w:lang w:val="en-US" w:eastAsia="zh-CN"/>
        </w:rPr>
        <w:t>项目</w:t>
      </w:r>
      <w:r>
        <w:rPr>
          <w:rFonts w:ascii="Times New Roman" w:hAnsi="Times New Roman" w:eastAsia="仿宋_GB2312" w:cs="Times New Roman"/>
          <w:color w:val="auto"/>
          <w:sz w:val="36"/>
          <w:szCs w:val="36"/>
          <w:highlight w:val="none"/>
          <w:u w:val="none"/>
          <w:lang w:eastAsia="zh-CN"/>
        </w:rPr>
        <w:t>专项资金管理，</w:t>
      </w:r>
      <w:r>
        <w:rPr>
          <w:rFonts w:hint="eastAsia" w:ascii="Times New Roman" w:hAnsi="Times New Roman" w:eastAsia="仿宋_GB2312" w:cs="Times New Roman"/>
          <w:color w:val="auto"/>
          <w:sz w:val="36"/>
          <w:szCs w:val="36"/>
          <w:highlight w:val="none"/>
          <w:u w:val="none"/>
          <w:lang w:val="en-US" w:eastAsia="zh-CN"/>
        </w:rPr>
        <w:t>根据《财政部 商务部关于开展消费新业态新模式新场景试点工作的通知》（财建〔2025〕341号）等文件精神，结合本市实际，制定本办法。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ascii="Times New Roman" w:hAnsi="Times New Roman" w:eastAsia="仿宋_GB2312" w:cs="Times New Roman"/>
          <w:b/>
          <w:bCs/>
          <w:color w:val="auto"/>
          <w:sz w:val="36"/>
          <w:szCs w:val="36"/>
          <w:highlight w:val="none"/>
          <w:u w:val="none"/>
          <w:lang w:eastAsia="zh-CN"/>
        </w:rPr>
        <w:t>第二条</w:t>
      </w:r>
      <w:r>
        <w:rPr>
          <w:rFonts w:hint="eastAsia" w:ascii="Times New Roman" w:hAnsi="Times New Roman" w:eastAsia="仿宋_GB2312" w:cs="Times New Roman"/>
          <w:b/>
          <w:bCs/>
          <w:color w:val="auto"/>
          <w:sz w:val="36"/>
          <w:szCs w:val="36"/>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适用范围。本办法适用于使用专项资金支持的贵阳市消费新业态新模式新场景试点项目，涵盖项目的申报、评审、监管、验收及资金拨付、监管的全过程。</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b/>
          <w:bCs/>
          <w:color w:val="auto"/>
          <w:sz w:val="36"/>
          <w:szCs w:val="36"/>
          <w:highlight w:val="none"/>
          <w:u w:val="none"/>
          <w:lang w:val="en-US" w:eastAsia="zh-CN"/>
        </w:rPr>
        <w:t xml:space="preserve">第三条 </w:t>
      </w:r>
      <w:r>
        <w:rPr>
          <w:rFonts w:hint="eastAsia" w:ascii="Times New Roman" w:hAnsi="Times New Roman" w:eastAsia="仿宋_GB2312" w:cs="Times New Roman"/>
          <w:color w:val="auto"/>
          <w:sz w:val="36"/>
          <w:szCs w:val="36"/>
          <w:highlight w:val="none"/>
          <w:u w:val="none"/>
          <w:lang w:val="en-US" w:eastAsia="zh-CN"/>
        </w:rPr>
        <w:t>专项资金定义。本办法所称专项资金，是指中央财政下达本市，专项用于支持消费新业态新模式新场景试点建设的资金。</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四</w:t>
      </w:r>
      <w:r>
        <w:rPr>
          <w:rFonts w:ascii="Times New Roman" w:hAnsi="Times New Roman" w:eastAsia="仿宋_GB2312" w:cs="Times New Roman"/>
          <w:b/>
          <w:bCs/>
          <w:color w:val="auto"/>
          <w:sz w:val="36"/>
          <w:szCs w:val="36"/>
          <w:highlight w:val="none"/>
          <w:u w:val="none"/>
          <w:lang w:eastAsia="zh-CN"/>
        </w:rPr>
        <w:t>条</w:t>
      </w:r>
      <w:r>
        <w:rPr>
          <w:rFonts w:hint="eastAsia" w:ascii="Times New Roman" w:hAnsi="Times New Roman" w:eastAsia="仿宋_GB2312" w:cs="Times New Roman"/>
          <w:b/>
          <w:bCs/>
          <w:color w:val="auto"/>
          <w:sz w:val="36"/>
          <w:szCs w:val="36"/>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资金使用原则。</w:t>
      </w:r>
      <w:r>
        <w:rPr>
          <w:rFonts w:ascii="Times New Roman" w:hAnsi="Times New Roman" w:eastAsia="仿宋_GB2312" w:cs="Times New Roman"/>
          <w:color w:val="auto"/>
          <w:sz w:val="36"/>
          <w:szCs w:val="36"/>
          <w:highlight w:val="none"/>
          <w:u w:val="none"/>
          <w:lang w:eastAsia="zh-CN"/>
        </w:rPr>
        <w:t>专项资金的使用和管理应当遵循“突出重点、科学规范、公平公正、讲求效益”的原则</w:t>
      </w:r>
      <w:r>
        <w:rPr>
          <w:rFonts w:hint="eastAsia" w:ascii="Times New Roman" w:hAnsi="Times New Roman" w:eastAsia="仿宋_GB2312" w:cs="Times New Roman"/>
          <w:color w:val="auto"/>
          <w:sz w:val="36"/>
          <w:szCs w:val="36"/>
          <w:highlight w:val="none"/>
          <w:u w:val="none"/>
          <w:lang w:eastAsia="zh-CN"/>
        </w:rPr>
        <w:t>，避免资金过度集中或“撒胡椒面”，资金分配和使用情况向社会公开，接受有关部门和社会监督。</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第二章 职责分工</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五</w:t>
      </w:r>
      <w:r>
        <w:rPr>
          <w:rFonts w:ascii="Times New Roman" w:hAnsi="Times New Roman" w:eastAsia="仿宋_GB2312" w:cs="Times New Roman"/>
          <w:b/>
          <w:bCs/>
          <w:color w:val="auto"/>
          <w:sz w:val="36"/>
          <w:szCs w:val="36"/>
          <w:highlight w:val="none"/>
          <w:u w:val="none"/>
          <w:lang w:eastAsia="zh-CN"/>
        </w:rPr>
        <w:t>条</w:t>
      </w:r>
      <w:r>
        <w:rPr>
          <w:rFonts w:hint="eastAsia" w:ascii="Times New Roman" w:hAnsi="Times New Roman" w:eastAsia="仿宋_GB2312" w:cs="Times New Roman"/>
          <w:b/>
          <w:bCs/>
          <w:color w:val="auto"/>
          <w:sz w:val="36"/>
          <w:szCs w:val="36"/>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val="en-US" w:eastAsia="zh-CN"/>
        </w:rPr>
        <w:t>职责分工。试点项目和专项资金管理依照市级统筹、分级负责的原则。</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（一）市级部门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val="en-US" w:eastAsia="zh-CN"/>
        </w:rPr>
        <w:t>1.贵阳市商务局：</w:t>
      </w:r>
      <w:r>
        <w:rPr>
          <w:rFonts w:ascii="Times New Roman" w:hAnsi="Times New Roman" w:eastAsia="仿宋_GB2312" w:cs="Times New Roman"/>
          <w:color w:val="auto"/>
          <w:sz w:val="36"/>
          <w:szCs w:val="36"/>
          <w:highlight w:val="none"/>
          <w:u w:val="none"/>
          <w:lang w:eastAsia="zh-CN"/>
        </w:rPr>
        <w:t>负责牵头拟制消费新业态新模式新场景试点城市建设实施方案，组织项目申报、审核，</w:t>
      </w:r>
      <w:r>
        <w:rPr>
          <w:rFonts w:hint="eastAsia" w:ascii="Times New Roman" w:hAnsi="Times New Roman" w:eastAsia="仿宋_GB2312" w:cs="Times New Roman"/>
          <w:color w:val="auto"/>
          <w:sz w:val="36"/>
          <w:szCs w:val="36"/>
          <w:highlight w:val="none"/>
          <w:u w:val="none"/>
          <w:lang w:eastAsia="zh-CN"/>
        </w:rPr>
        <w:t>确保资金分配与绩效</w:t>
      </w:r>
      <w:r>
        <w:rPr>
          <w:rFonts w:hint="eastAsia" w:ascii="Times New Roman" w:hAnsi="Times New Roman" w:eastAsia="仿宋_GB2312" w:cs="Times New Roman"/>
          <w:color w:val="auto"/>
          <w:sz w:val="36"/>
          <w:szCs w:val="36"/>
          <w:highlight w:val="none"/>
          <w:u w:val="none"/>
          <w:lang w:val="en-US" w:eastAsia="zh-CN"/>
        </w:rPr>
        <w:t>目标</w:t>
      </w:r>
      <w:r>
        <w:rPr>
          <w:rFonts w:hint="eastAsia" w:ascii="Times New Roman" w:hAnsi="Times New Roman" w:eastAsia="仿宋_GB2312" w:cs="Times New Roman"/>
          <w:color w:val="auto"/>
          <w:sz w:val="36"/>
          <w:szCs w:val="36"/>
          <w:highlight w:val="none"/>
          <w:u w:val="none"/>
          <w:lang w:eastAsia="zh-CN"/>
        </w:rPr>
        <w:t>相衔接</w:t>
      </w:r>
      <w:r>
        <w:rPr>
          <w:rFonts w:ascii="Times New Roman" w:hAnsi="Times New Roman" w:eastAsia="仿宋_GB2312" w:cs="Times New Roman"/>
          <w:color w:val="auto"/>
          <w:sz w:val="36"/>
          <w:szCs w:val="36"/>
          <w:highlight w:val="none"/>
          <w:u w:val="none"/>
          <w:lang w:eastAsia="zh-CN"/>
        </w:rPr>
        <w:t>；组织相关区（市、县</w:t>
      </w:r>
      <w:r>
        <w:rPr>
          <w:rFonts w:hint="eastAsia" w:ascii="Times New Roman" w:hAnsi="Times New Roman" w:eastAsia="仿宋_GB2312" w:cs="Times New Roman"/>
          <w:color w:val="auto"/>
          <w:sz w:val="36"/>
          <w:szCs w:val="36"/>
          <w:highlight w:val="none"/>
          <w:u w:val="none"/>
          <w:lang w:eastAsia="zh-CN"/>
        </w:rPr>
        <w:t>、开发区含贵安新区</w:t>
      </w:r>
      <w:r>
        <w:rPr>
          <w:rFonts w:ascii="Times New Roman" w:hAnsi="Times New Roman" w:eastAsia="仿宋_GB2312" w:cs="Times New Roman"/>
          <w:color w:val="auto"/>
          <w:sz w:val="36"/>
          <w:szCs w:val="36"/>
          <w:highlight w:val="none"/>
          <w:u w:val="none"/>
          <w:lang w:eastAsia="zh-CN"/>
        </w:rPr>
        <w:t>）建立市区两级日常监督机制，加强项目</w:t>
      </w:r>
      <w:r>
        <w:rPr>
          <w:rFonts w:hint="eastAsia" w:ascii="Times New Roman" w:hAnsi="Times New Roman" w:eastAsia="仿宋_GB2312" w:cs="Times New Roman"/>
          <w:color w:val="auto"/>
          <w:sz w:val="36"/>
          <w:szCs w:val="36"/>
          <w:highlight w:val="none"/>
          <w:u w:val="none"/>
          <w:lang w:val="en-US" w:eastAsia="zh-CN"/>
        </w:rPr>
        <w:t>入库</w:t>
      </w:r>
      <w:r>
        <w:rPr>
          <w:rFonts w:ascii="Times New Roman" w:hAnsi="Times New Roman" w:eastAsia="仿宋_GB2312" w:cs="Times New Roman"/>
          <w:color w:val="auto"/>
          <w:sz w:val="36"/>
          <w:szCs w:val="36"/>
          <w:highlight w:val="none"/>
          <w:u w:val="none"/>
          <w:lang w:eastAsia="zh-CN"/>
        </w:rPr>
        <w:t>、建设、验收复核等全过程监督，形成闭环管理。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2.贵阳市财政局：负责按规定程序及时下达预算指标和绩效目标，组织做好预算执行。会同市商务局对专项资金预算执行、资金使用情况进行监督，组织开展绩效评价等。</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（二）县（市）区、开发区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1.县（市）区、开发区含贵安新区商务主管部门：牵头落实辖区试点项目管理工作，负责牵头组织辖区内试点项目征集、申报、受理、初审、日常监管、预验收等全流程工作，并对初审与监管结果的真实性、合规性负责；参与辖区专项资金管理、资金拨付；负责落实绩效评价工作。</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val="en-US" w:eastAsia="zh-CN"/>
        </w:rPr>
        <w:t>2.县（市）区、开发区含贵安新区财政主管部门：</w:t>
      </w:r>
      <w:r>
        <w:rPr>
          <w:rFonts w:hint="eastAsia" w:ascii="Times New Roman" w:hAnsi="Times New Roman" w:eastAsia="仿宋_GB2312" w:cs="Times New Roman"/>
          <w:color w:val="auto"/>
          <w:sz w:val="36"/>
          <w:szCs w:val="36"/>
          <w:highlight w:val="none"/>
          <w:u w:val="none"/>
          <w:lang w:eastAsia="zh-CN"/>
        </w:rPr>
        <w:t>按职责分工，负责组织做好辖区内项目初审、申报、监管、验收、资金拨付、绩效管理等工作。</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（三）项目单位</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项目实施单位负责具体组织实施项目，管理使用项目资金；完善内部绩效管理和财务监督制度，加强内部控制；配合商务部门统计报送业务数据、绩效评价、项目审计和问题整改并自觉接受财政、审计及有关业务部门的监督检查，确保项目如期完成，实现各项绩效指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第三章</w:t>
      </w:r>
      <w:r>
        <w:rPr>
          <w:rFonts w:hint="eastAsia" w:ascii="Times New Roman" w:hAnsi="Times New Roman" w:eastAsia="黑体" w:cs="Times New Roman"/>
          <w:color w:val="auto"/>
          <w:sz w:val="36"/>
          <w:szCs w:val="36"/>
          <w:highlight w:val="none"/>
          <w:u w:val="none"/>
          <w:lang w:val="en-US" w:eastAsia="zh-CN"/>
        </w:rPr>
        <w:t xml:space="preserve"> </w:t>
      </w:r>
      <w:r>
        <w:rPr>
          <w:rFonts w:hint="eastAsia" w:ascii="Times New Roman" w:hAnsi="Times New Roman" w:eastAsia="黑体" w:cs="Times New Roman"/>
          <w:color w:val="auto"/>
          <w:sz w:val="36"/>
          <w:szCs w:val="36"/>
          <w:highlight w:val="none"/>
          <w:u w:val="none"/>
          <w:lang w:eastAsia="zh-CN"/>
        </w:rPr>
        <w:t xml:space="preserve">资金支持方向、方式及标准 </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六</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w:t>
      </w:r>
      <w:r>
        <w:rPr>
          <w:rFonts w:hint="eastAsia" w:ascii="Times New Roman" w:hAnsi="Times New Roman" w:eastAsia="仿宋_GB2312" w:cs="Times New Roman"/>
          <w:color w:val="auto"/>
          <w:sz w:val="36"/>
          <w:szCs w:val="36"/>
          <w:highlight w:val="none"/>
          <w:u w:val="none"/>
          <w:lang w:val="en-US" w:eastAsia="zh-CN"/>
        </w:rPr>
        <w:t>支持方向。</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楷体_GB2312" w:cs="Times New Roman"/>
          <w:color w:val="auto"/>
          <w:sz w:val="36"/>
          <w:szCs w:val="36"/>
          <w:highlight w:val="none"/>
          <w:u w:val="none"/>
          <w:lang w:eastAsia="zh-CN"/>
        </w:rPr>
      </w:pPr>
      <w:r>
        <w:rPr>
          <w:rFonts w:ascii="Times New Roman" w:hAnsi="Times New Roman" w:eastAsia="楷体_GB2312" w:cs="Times New Roman"/>
          <w:color w:val="auto"/>
          <w:sz w:val="36"/>
          <w:szCs w:val="36"/>
          <w:highlight w:val="none"/>
          <w:u w:val="none"/>
          <w:lang w:eastAsia="zh-CN"/>
        </w:rPr>
        <w:t>（</w:t>
      </w:r>
      <w:r>
        <w:rPr>
          <w:rFonts w:hint="eastAsia" w:ascii="Times New Roman" w:hAnsi="Times New Roman" w:eastAsia="楷体_GB2312" w:cs="Times New Roman"/>
          <w:color w:val="auto"/>
          <w:sz w:val="36"/>
          <w:szCs w:val="36"/>
          <w:highlight w:val="none"/>
          <w:u w:val="none"/>
          <w:lang w:eastAsia="zh-CN"/>
        </w:rPr>
        <w:t>一</w:t>
      </w:r>
      <w:r>
        <w:rPr>
          <w:rFonts w:ascii="Times New Roman" w:hAnsi="Times New Roman" w:eastAsia="楷体_GB2312" w:cs="Times New Roman"/>
          <w:color w:val="auto"/>
          <w:sz w:val="36"/>
          <w:szCs w:val="36"/>
          <w:highlight w:val="none"/>
          <w:u w:val="none"/>
          <w:lang w:eastAsia="zh-CN"/>
        </w:rPr>
        <w:t>）加快推动商旅文体健多元融合场景培育打造</w:t>
      </w:r>
      <w:r>
        <w:rPr>
          <w:rFonts w:hint="eastAsia" w:ascii="Times New Roman" w:hAnsi="Times New Roman" w:eastAsia="楷体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1.支持商旅文体健融合消费</w:t>
      </w:r>
      <w:r>
        <w:rPr>
          <w:rFonts w:hint="eastAsia" w:ascii="Times New Roman" w:hAnsi="Times New Roman" w:eastAsia="仿宋_GB2312" w:cs="Times New Roman"/>
          <w:color w:val="auto"/>
          <w:sz w:val="36"/>
          <w:szCs w:val="36"/>
          <w:highlight w:val="none"/>
          <w:u w:val="none"/>
          <w:lang w:val="en-US" w:eastAsia="zh-CN"/>
        </w:rPr>
        <w:t>新</w:t>
      </w:r>
      <w:r>
        <w:rPr>
          <w:rFonts w:ascii="Times New Roman" w:hAnsi="Times New Roman" w:eastAsia="仿宋_GB2312" w:cs="Times New Roman"/>
          <w:color w:val="auto"/>
          <w:sz w:val="36"/>
          <w:szCs w:val="36"/>
          <w:highlight w:val="none"/>
          <w:u w:val="none"/>
          <w:lang w:eastAsia="zh-CN"/>
        </w:rPr>
        <w:t>场景</w:t>
      </w:r>
      <w:r>
        <w:rPr>
          <w:rFonts w:hint="eastAsia" w:ascii="Times New Roman" w:hAnsi="Times New Roman" w:eastAsia="仿宋_GB2312" w:cs="Times New Roman"/>
          <w:color w:val="auto"/>
          <w:sz w:val="36"/>
          <w:szCs w:val="36"/>
          <w:highlight w:val="none"/>
          <w:u w:val="none"/>
          <w:lang w:val="en-US" w:eastAsia="zh-CN"/>
        </w:rPr>
        <w:t>建设</w:t>
      </w:r>
      <w:r>
        <w:rPr>
          <w:rFonts w:ascii="Times New Roman" w:hAnsi="Times New Roman" w:eastAsia="仿宋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2.支持重点商圈、特色商业街区、文旅集聚区、会展场馆、传统购物型商超、废旧工业厂区向多元消费场景升级</w:t>
      </w:r>
      <w:r>
        <w:rPr>
          <w:rFonts w:hint="eastAsia" w:ascii="Times New Roman" w:hAnsi="Times New Roman" w:eastAsia="仿宋_GB2312" w:cs="Times New Roman"/>
          <w:color w:val="auto"/>
          <w:sz w:val="36"/>
          <w:szCs w:val="36"/>
          <w:highlight w:val="none"/>
          <w:u w:val="none"/>
          <w:lang w:eastAsia="zh-CN"/>
        </w:rPr>
        <w:t>，</w:t>
      </w:r>
      <w:r>
        <w:rPr>
          <w:rFonts w:ascii="Times New Roman" w:hAnsi="Times New Roman" w:eastAsia="仿宋_GB2312" w:cs="Times New Roman"/>
          <w:color w:val="auto"/>
          <w:sz w:val="36"/>
          <w:szCs w:val="36"/>
          <w:highlight w:val="none"/>
          <w:u w:val="none"/>
          <w:lang w:eastAsia="zh-CN"/>
        </w:rPr>
        <w:t>扩展服务消费功能、业态。</w:t>
      </w:r>
      <w:r>
        <w:rPr>
          <w:rFonts w:ascii="Times New Roman" w:hAnsi="Times New Roman" w:eastAsia="仿宋_GB2312" w:cs="Times New Roman"/>
          <w:color w:val="auto"/>
          <w:sz w:val="36"/>
          <w:szCs w:val="36"/>
          <w:highlight w:val="none"/>
          <w:u w:val="none"/>
          <w:lang w:eastAsia="zh-CN"/>
        </w:rPr>
        <w:tab/>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3.支持重点赛事活动及演出“进商圈、进街区、进景区”。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4.支持夜间消费场景及业态融合，通过场景营造、设施完善、业态丰富，拓展消费空间，优化夜间消费环境，延长消费时间，打造具有示范性、代表性、地域性的“夜娱”“夜游”“夜市”等夜间消费品牌。</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val="en-US" w:eastAsia="zh-CN"/>
        </w:rPr>
        <w:t>5</w:t>
      </w:r>
      <w:r>
        <w:rPr>
          <w:rFonts w:ascii="Times New Roman" w:hAnsi="Times New Roman" w:eastAsia="仿宋_GB2312" w:cs="Times New Roman"/>
          <w:color w:val="auto"/>
          <w:sz w:val="36"/>
          <w:szCs w:val="36"/>
          <w:highlight w:val="none"/>
          <w:u w:val="none"/>
          <w:lang w:eastAsia="zh-CN"/>
        </w:rPr>
        <w:t>.</w:t>
      </w:r>
      <w:r>
        <w:rPr>
          <w:rFonts w:hint="eastAsia" w:ascii="Times New Roman" w:hAnsi="Times New Roman" w:eastAsia="仿宋_GB2312" w:cs="Times New Roman"/>
          <w:color w:val="auto"/>
          <w:sz w:val="36"/>
          <w:szCs w:val="36"/>
          <w:highlight w:val="none"/>
          <w:u w:val="none"/>
          <w:lang w:eastAsia="zh-CN"/>
        </w:rPr>
        <w:t>支持培育汽车后市场服务、旅居服务、冰雪经济、旅游列车等服务消费新增长点领域，发展艺术展览、沉浸体验、数字艺术、房车露营等消费场景。</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val="en-US" w:eastAsia="zh-CN"/>
        </w:rPr>
        <w:t>6</w:t>
      </w:r>
      <w:r>
        <w:rPr>
          <w:rFonts w:ascii="Times New Roman" w:hAnsi="Times New Roman" w:eastAsia="仿宋_GB2312" w:cs="Times New Roman"/>
          <w:color w:val="auto"/>
          <w:sz w:val="36"/>
          <w:szCs w:val="36"/>
          <w:highlight w:val="none"/>
          <w:u w:val="none"/>
          <w:lang w:eastAsia="zh-CN"/>
        </w:rPr>
        <w:t>.支持外贸优品展销中心、特色购物中心、外贸优品品牌集聚的特色商业街区等特色消费场景培育打造。</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7.支持“一老一小”服务体系，聚焦老年人、儿童两类重点人群，打造符合其消费需求的专属消费场景，包括银发金街、童趣乐园消费新场景。</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8.家政业态模式创新，支持行业协会、家政服务企业搭建智慧家政服务线上平台，推动家政服务标准化。支持家政服务企业创新服务模式，打造“社区+”家政服务新场景，推动家政服务进社区。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楷体_GB2312" w:cs="Times New Roman"/>
          <w:color w:val="auto"/>
          <w:sz w:val="36"/>
          <w:szCs w:val="36"/>
          <w:highlight w:val="none"/>
          <w:u w:val="none"/>
          <w:lang w:eastAsia="zh-CN"/>
        </w:rPr>
        <w:t>（</w:t>
      </w:r>
      <w:r>
        <w:rPr>
          <w:rFonts w:hint="eastAsia" w:ascii="Times New Roman" w:hAnsi="Times New Roman" w:eastAsia="楷体_GB2312" w:cs="Times New Roman"/>
          <w:color w:val="auto"/>
          <w:sz w:val="36"/>
          <w:szCs w:val="36"/>
          <w:highlight w:val="none"/>
          <w:u w:val="none"/>
          <w:lang w:eastAsia="zh-CN"/>
        </w:rPr>
        <w:t>二</w:t>
      </w:r>
      <w:r>
        <w:rPr>
          <w:rFonts w:ascii="Times New Roman" w:hAnsi="Times New Roman" w:eastAsia="楷体_GB2312" w:cs="Times New Roman"/>
          <w:color w:val="auto"/>
          <w:sz w:val="36"/>
          <w:szCs w:val="36"/>
          <w:highlight w:val="none"/>
          <w:u w:val="none"/>
          <w:lang w:eastAsia="zh-CN"/>
        </w:rPr>
        <w:t>）加快建立健全首发经济服务体系</w:t>
      </w:r>
      <w:r>
        <w:rPr>
          <w:rFonts w:hint="eastAsia" w:ascii="Times New Roman" w:hAnsi="Times New Roman" w:eastAsia="楷体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1.支持建设区域首发中心、首发经济集聚区。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2.支持具有引领性的国内外品牌开设高能级首店、旗舰店、概念店。</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3.支持举办首发、首秀、首展活动。</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4.支持开设首发专区、专场的展会。</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楷体_GB2312" w:cs="Times New Roman"/>
          <w:color w:val="auto"/>
          <w:sz w:val="36"/>
          <w:szCs w:val="36"/>
          <w:highlight w:val="none"/>
          <w:u w:val="none"/>
          <w:lang w:eastAsia="zh-CN"/>
        </w:rPr>
      </w:pPr>
      <w:r>
        <w:rPr>
          <w:rFonts w:ascii="Times New Roman" w:hAnsi="Times New Roman" w:eastAsia="楷体_GB2312" w:cs="Times New Roman"/>
          <w:color w:val="auto"/>
          <w:sz w:val="36"/>
          <w:szCs w:val="36"/>
          <w:highlight w:val="none"/>
          <w:u w:val="none"/>
          <w:lang w:eastAsia="zh-CN"/>
        </w:rPr>
        <w:t>（三）加快推动优质消费资源与知名IP跨界联名品牌培育打造</w:t>
      </w:r>
      <w:r>
        <w:rPr>
          <w:rFonts w:hint="eastAsia" w:ascii="Times New Roman" w:hAnsi="Times New Roman" w:eastAsia="楷体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1.支持依托IP设计、孵化平台</w:t>
      </w:r>
      <w:r>
        <w:rPr>
          <w:rFonts w:hint="eastAsia" w:ascii="Times New Roman" w:hAnsi="Times New Roman" w:eastAsia="仿宋_GB2312" w:cs="Times New Roman"/>
          <w:color w:val="auto"/>
          <w:sz w:val="36"/>
          <w:szCs w:val="36"/>
          <w:highlight w:val="none"/>
          <w:u w:val="none"/>
          <w:lang w:eastAsia="zh-CN"/>
        </w:rPr>
        <w:t>联动开发系列周边产品，如文创手办、IP联名服饰、主题盲盒等，强化IP价值转化与消费转化</w:t>
      </w:r>
      <w:r>
        <w:rPr>
          <w:rFonts w:ascii="Times New Roman" w:hAnsi="Times New Roman" w:eastAsia="仿宋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2.支持IP品牌企业开设线下主题店、概念店，或与老字号、新消费品牌等优质消费资源合资合作开设跨界联名店。</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3.支持市场主体围绕本地特色文化，联动国潮动漫影视IP及文博场馆、非遗机构、历史文化名城等传统资源，推出综合性消费性场景。</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Times New Roman" w:hAnsi="Times New Roman" w:eastAsia="仿宋_GB2312" w:cs="Times New Roman"/>
          <w:color w:val="auto"/>
          <w:sz w:val="36"/>
          <w:szCs w:val="36"/>
          <w:highlight w:val="none"/>
          <w:u w:val="none"/>
          <w:lang w:val="en-US" w:eastAsia="zh-CN"/>
        </w:rPr>
      </w:pPr>
      <w:r>
        <w:rPr>
          <w:rFonts w:hint="eastAsia" w:ascii="Times New Roman" w:hAnsi="Times New Roman" w:eastAsia="仿宋_GB2312" w:cs="Times New Roman"/>
          <w:color w:val="auto"/>
          <w:sz w:val="36"/>
          <w:szCs w:val="36"/>
          <w:highlight w:val="none"/>
          <w:u w:val="none"/>
          <w:lang w:val="en-US" w:eastAsia="zh-CN"/>
        </w:rPr>
        <w:t>4.推动优质</w:t>
      </w:r>
      <w:r>
        <w:rPr>
          <w:rFonts w:hint="eastAsia" w:ascii="Times New Roman" w:hAnsi="Times New Roman" w:eastAsia="仿宋_GB2312" w:cs="Times New Roman"/>
          <w:color w:val="auto"/>
          <w:sz w:val="36"/>
          <w:szCs w:val="36"/>
          <w:highlight w:val="none"/>
          <w:u w:val="none"/>
          <w:lang w:eastAsia="zh-CN"/>
        </w:rPr>
        <w:t>消费资源与知名IP融合发展，</w:t>
      </w:r>
      <w:r>
        <w:rPr>
          <w:rFonts w:hint="eastAsia" w:ascii="Times New Roman" w:hAnsi="Times New Roman" w:eastAsia="仿宋_GB2312" w:cs="Times New Roman"/>
          <w:color w:val="auto"/>
          <w:sz w:val="36"/>
          <w:szCs w:val="36"/>
          <w:highlight w:val="none"/>
          <w:u w:val="none"/>
          <w:lang w:val="en-US" w:eastAsia="zh-CN"/>
        </w:rPr>
        <w:t>打造</w:t>
      </w:r>
      <w:r>
        <w:rPr>
          <w:rFonts w:hint="eastAsia" w:ascii="Times New Roman" w:hAnsi="Times New Roman" w:eastAsia="仿宋_GB2312" w:cs="Times New Roman"/>
          <w:color w:val="auto"/>
          <w:sz w:val="36"/>
          <w:szCs w:val="36"/>
          <w:highlight w:val="none"/>
          <w:u w:val="none"/>
          <w:lang w:eastAsia="zh-CN"/>
        </w:rPr>
        <w:t>“人工智能+消费”应用场景，将优质消费资源与全球、国潮、本地知名IP深度融合。</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b/>
          <w:bCs/>
          <w:color w:val="auto"/>
          <w:sz w:val="36"/>
          <w:szCs w:val="36"/>
          <w:highlight w:val="none"/>
          <w:u w:val="none"/>
          <w:lang w:eastAsia="zh-CN"/>
        </w:rPr>
      </w:pPr>
      <w:r>
        <w:rPr>
          <w:rFonts w:hint="eastAsia"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七</w:t>
      </w:r>
      <w:r>
        <w:rPr>
          <w:rFonts w:hint="eastAsia" w:ascii="Times New Roman" w:hAnsi="Times New Roman" w:eastAsia="仿宋_GB2312" w:cs="Times New Roman"/>
          <w:b/>
          <w:bCs/>
          <w:color w:val="auto"/>
          <w:sz w:val="36"/>
          <w:szCs w:val="36"/>
          <w:highlight w:val="none"/>
          <w:u w:val="none"/>
          <w:lang w:eastAsia="zh-CN"/>
        </w:rPr>
        <w:t>条</w:t>
      </w:r>
      <w:r>
        <w:rPr>
          <w:rFonts w:hint="eastAsia" w:ascii="Times New Roman" w:hAnsi="Times New Roman" w:eastAsia="仿宋_GB2312" w:cs="Times New Roman"/>
          <w:color w:val="auto"/>
          <w:sz w:val="36"/>
          <w:szCs w:val="36"/>
          <w:highlight w:val="none"/>
          <w:u w:val="none"/>
          <w:lang w:val="en-US" w:eastAsia="zh-CN"/>
        </w:rPr>
        <w:t xml:space="preserve">  </w:t>
      </w:r>
      <w:r>
        <w:rPr>
          <w:rFonts w:hint="eastAsia" w:ascii="Times New Roman" w:hAnsi="Times New Roman" w:eastAsia="仿宋_GB2312" w:cs="Times New Roman"/>
          <w:color w:val="auto"/>
          <w:sz w:val="36"/>
          <w:szCs w:val="36"/>
          <w:highlight w:val="none"/>
          <w:u w:val="none"/>
          <w:lang w:eastAsia="zh-CN"/>
        </w:rPr>
        <w:t>支持方式</w:t>
      </w:r>
      <w:r>
        <w:rPr>
          <w:rFonts w:hint="eastAsia" w:ascii="Times New Roman" w:hAnsi="Times New Roman" w:eastAsia="仿宋_GB2312" w:cs="Times New Roman"/>
          <w:color w:val="auto"/>
          <w:sz w:val="36"/>
          <w:szCs w:val="36"/>
          <w:highlight w:val="none"/>
          <w:u w:val="none"/>
          <w:lang w:val="en-US" w:eastAsia="zh-CN"/>
        </w:rPr>
        <w:t>及标准。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对符合支持方向的试点项目，根据项目在试点期间内有效投资（投入）额或项目规模，采用以奖代补或一次性定额奖励的</w:t>
      </w:r>
      <w:r>
        <w:rPr>
          <w:rFonts w:hint="eastAsia" w:ascii="Times New Roman" w:hAnsi="Times New Roman" w:eastAsia="仿宋_GB2312" w:cs="Times New Roman"/>
          <w:color w:val="auto"/>
          <w:sz w:val="36"/>
          <w:szCs w:val="36"/>
          <w:highlight w:val="none"/>
          <w:u w:val="none"/>
          <w:lang w:val="en-US" w:eastAsia="zh-CN"/>
        </w:rPr>
        <w:t>两种支持</w:t>
      </w:r>
      <w:r>
        <w:rPr>
          <w:rFonts w:hint="eastAsia" w:ascii="Times New Roman" w:hAnsi="Times New Roman" w:eastAsia="仿宋_GB2312" w:cs="Times New Roman"/>
          <w:color w:val="auto"/>
          <w:sz w:val="36"/>
          <w:szCs w:val="36"/>
          <w:highlight w:val="none"/>
          <w:u w:val="none"/>
          <w:lang w:eastAsia="zh-CN"/>
        </w:rPr>
        <w:t>方式予以支持；</w:t>
      </w:r>
      <w:r>
        <w:rPr>
          <w:rFonts w:hint="eastAsia" w:ascii="Times New Roman" w:hAnsi="Times New Roman" w:eastAsia="仿宋_GB2312" w:cs="Times New Roman"/>
          <w:color w:val="auto"/>
          <w:sz w:val="36"/>
          <w:szCs w:val="36"/>
          <w:highlight w:val="none"/>
          <w:u w:val="none"/>
          <w:lang w:val="en-US" w:eastAsia="zh-CN"/>
        </w:rPr>
        <w:t>以奖代补是指根据项目有效投资额按比例给予支持；一次性定额奖励是指达到支持条件后给予定额资金奖励。</w:t>
      </w:r>
      <w:r>
        <w:rPr>
          <w:rFonts w:hint="eastAsia" w:ascii="Times New Roman" w:hAnsi="Times New Roman" w:eastAsia="仿宋_GB2312" w:cs="Times New Roman"/>
          <w:color w:val="auto"/>
          <w:sz w:val="36"/>
          <w:szCs w:val="36"/>
          <w:highlight w:val="none"/>
          <w:u w:val="none"/>
          <w:lang w:eastAsia="zh-CN"/>
        </w:rPr>
        <w:t>对具有公共属性的项目，专项资金可予以适度倾斜。采用即审即结、预拨付等办法加快专项资金拨付。</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有效投资（投入）额为申报企业在2025年10月1日至2027年6月30日内，项目建设期间发生的符合支持方向、内容、财务票据齐全合规等全部支持条件的投资额。</w:t>
      </w:r>
    </w:p>
    <w:p>
      <w:pPr>
        <w:keepNext w:val="0"/>
        <w:keepLines w:val="0"/>
        <w:pageBreakBefore w:val="0"/>
        <w:widowControl w:val="0"/>
        <w:kinsoku/>
        <w:wordWrap/>
        <w:overflowPunct/>
        <w:topLinePunct w:val="0"/>
        <w:autoSpaceDE/>
        <w:autoSpaceDN/>
        <w:bidi w:val="0"/>
        <w:spacing w:line="600" w:lineRule="exact"/>
        <w:ind w:firstLine="720" w:firstLineChars="200"/>
        <w:jc w:val="both"/>
        <w:outlineLvl w:val="2"/>
        <w:rPr>
          <w:rFonts w:hint="eastAsia" w:ascii="楷体" w:hAnsi="楷体" w:eastAsia="楷体" w:cs="楷体"/>
          <w:b w:val="0"/>
          <w:bCs/>
          <w:color w:val="auto"/>
          <w:kern w:val="0"/>
          <w:sz w:val="36"/>
          <w:szCs w:val="36"/>
          <w:u w:val="none"/>
          <w:shd w:val="clear" w:color="auto" w:fill="FFFFFF"/>
          <w:lang w:val="en-US" w:eastAsia="zh-CN" w:bidi="ar-SA"/>
        </w:rPr>
      </w:pPr>
      <w:bookmarkStart w:id="0" w:name="_Toc5525"/>
      <w:r>
        <w:rPr>
          <w:rFonts w:hint="eastAsia" w:ascii="楷体" w:hAnsi="楷体" w:eastAsia="楷体" w:cs="楷体"/>
          <w:b w:val="0"/>
          <w:bCs/>
          <w:color w:val="auto"/>
          <w:kern w:val="0"/>
          <w:sz w:val="36"/>
          <w:szCs w:val="36"/>
          <w:u w:val="none"/>
          <w:shd w:val="clear" w:color="auto" w:fill="FFFFFF"/>
          <w:lang w:val="en-US" w:eastAsia="zh-CN" w:bidi="ar-SA"/>
        </w:rPr>
        <w:t>（一）</w:t>
      </w:r>
      <w:bookmarkEnd w:id="0"/>
      <w:r>
        <w:rPr>
          <w:rFonts w:hint="eastAsia" w:ascii="楷体" w:hAnsi="楷体" w:eastAsia="楷体" w:cs="楷体"/>
          <w:b w:val="0"/>
          <w:bCs/>
          <w:color w:val="auto"/>
          <w:kern w:val="0"/>
          <w:sz w:val="36"/>
          <w:szCs w:val="36"/>
          <w:u w:val="none"/>
          <w:shd w:val="clear" w:color="auto" w:fill="FFFFFF"/>
          <w:lang w:val="en-US" w:eastAsia="zh-CN" w:bidi="ar-SA"/>
        </w:rPr>
        <w:t>投资类项目</w:t>
      </w:r>
    </w:p>
    <w:tbl>
      <w:tblPr>
        <w:tblStyle w:val="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2134"/>
        <w:gridCol w:w="5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b/>
                <w:bCs/>
                <w:color w:val="auto"/>
                <w:sz w:val="21"/>
                <w:szCs w:val="21"/>
                <w:u w:val="none"/>
                <w:shd w:val="clear" w:color="auto" w:fill="FFFFFF"/>
              </w:rPr>
            </w:pPr>
            <w:r>
              <w:rPr>
                <w:rFonts w:hint="eastAsia" w:asciiTheme="minorEastAsia" w:hAnsiTheme="minorEastAsia" w:eastAsiaTheme="minorEastAsia" w:cstheme="minorEastAsia"/>
                <w:b/>
                <w:bCs/>
                <w:color w:val="auto"/>
                <w:kern w:val="0"/>
                <w:sz w:val="21"/>
                <w:szCs w:val="21"/>
                <w:u w:val="none"/>
                <w:shd w:val="clear" w:color="auto" w:fill="FFFFFF"/>
                <w:lang w:bidi="ar"/>
              </w:rPr>
              <w:t>类别</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b/>
                <w:bCs/>
                <w:color w:val="auto"/>
                <w:sz w:val="21"/>
                <w:szCs w:val="21"/>
                <w:u w:val="none"/>
                <w:shd w:val="clear" w:color="auto" w:fill="FFFFFF"/>
                <w:lang w:eastAsia="zh-CN"/>
              </w:rPr>
            </w:pPr>
            <w:r>
              <w:rPr>
                <w:rFonts w:hint="eastAsia" w:asciiTheme="minorEastAsia" w:hAnsiTheme="minorEastAsia" w:eastAsiaTheme="minorEastAsia" w:cstheme="minorEastAsia"/>
                <w:b/>
                <w:bCs/>
                <w:color w:val="auto"/>
                <w:kern w:val="0"/>
                <w:sz w:val="21"/>
                <w:szCs w:val="21"/>
                <w:u w:val="none"/>
                <w:shd w:val="clear" w:color="auto" w:fill="FFFFFF"/>
                <w:lang w:bidi="ar"/>
              </w:rPr>
              <w:t>支持</w:t>
            </w:r>
            <w:r>
              <w:rPr>
                <w:rFonts w:hint="eastAsia" w:asciiTheme="minorEastAsia" w:hAnsiTheme="minorEastAsia" w:eastAsiaTheme="minorEastAsia" w:cstheme="minorEastAsia"/>
                <w:b/>
                <w:bCs/>
                <w:color w:val="auto"/>
                <w:kern w:val="0"/>
                <w:sz w:val="21"/>
                <w:szCs w:val="21"/>
                <w:u w:val="none"/>
                <w:shd w:val="clear" w:color="auto" w:fill="FFFFFF"/>
                <w:lang w:eastAsia="zh-CN" w:bidi="ar"/>
              </w:rPr>
              <w:t>方向</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1" w:firstLineChars="200"/>
              <w:jc w:val="center"/>
              <w:textAlignment w:val="center"/>
              <w:rPr>
                <w:rFonts w:hint="default" w:asciiTheme="minorEastAsia" w:hAnsiTheme="minorEastAsia" w:eastAsiaTheme="minorEastAsia" w:cstheme="minorEastAsia"/>
                <w:b/>
                <w:bCs/>
                <w:color w:val="auto"/>
                <w:sz w:val="21"/>
                <w:szCs w:val="21"/>
                <w:u w:val="none"/>
                <w:shd w:val="clear" w:color="auto" w:fill="FFFFFF"/>
                <w:lang w:val="en-US" w:eastAsia="zh-CN"/>
              </w:rPr>
            </w:pPr>
            <w:r>
              <w:rPr>
                <w:rFonts w:hint="eastAsia" w:asciiTheme="minorEastAsia" w:hAnsiTheme="minorEastAsia" w:eastAsiaTheme="minorEastAsia" w:cstheme="minorEastAsia"/>
                <w:b/>
                <w:bCs/>
                <w:color w:val="auto"/>
                <w:kern w:val="0"/>
                <w:sz w:val="21"/>
                <w:szCs w:val="21"/>
                <w:u w:val="none"/>
                <w:shd w:val="clear" w:color="auto" w:fill="FFFFFF"/>
                <w:lang w:eastAsia="zh-CN" w:bidi="ar"/>
              </w:rPr>
              <w:t>支持内容</w:t>
            </w:r>
            <w:r>
              <w:rPr>
                <w:rFonts w:hint="eastAsia" w:asciiTheme="minorEastAsia" w:hAnsiTheme="minorEastAsia" w:eastAsiaTheme="minorEastAsia" w:cstheme="minorEastAsia"/>
                <w:b/>
                <w:bCs/>
                <w:color w:val="auto"/>
                <w:kern w:val="0"/>
                <w:sz w:val="21"/>
                <w:szCs w:val="21"/>
                <w:u w:val="none"/>
                <w:shd w:val="clear" w:color="auto" w:fill="FFFFFF"/>
                <w:lang w:val="en-US" w:eastAsia="zh-CN" w:bidi="ar"/>
              </w:rPr>
              <w:t>及条件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14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center"/>
              <w:rPr>
                <w:rFonts w:hint="eastAsia" w:asciiTheme="minorEastAsia" w:hAnsiTheme="minorEastAsia" w:eastAsiaTheme="minorEastAsia" w:cstheme="minorEastAsia"/>
                <w:color w:val="auto"/>
                <w:sz w:val="21"/>
                <w:szCs w:val="21"/>
                <w:u w:val="none"/>
                <w:shd w:val="clear" w:color="auto" w:fill="FFFFFF"/>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一、创新多元化服务消费场景</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1.打造</w:t>
            </w:r>
            <w:r>
              <w:rPr>
                <w:rFonts w:hint="eastAsia" w:asciiTheme="minorEastAsia" w:hAnsiTheme="minorEastAsia" w:eastAsiaTheme="minorEastAsia" w:cstheme="minorEastAsia"/>
                <w:color w:val="auto"/>
                <w:kern w:val="0"/>
                <w:sz w:val="21"/>
                <w:szCs w:val="21"/>
                <w:u w:val="none"/>
                <w:shd w:val="clear" w:color="auto" w:fill="FFFFFF"/>
                <w:lang w:bidi="ar"/>
              </w:rPr>
              <w:t>商旅文体健融合</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的</w:t>
            </w:r>
            <w:r>
              <w:rPr>
                <w:rFonts w:hint="eastAsia" w:asciiTheme="minorEastAsia" w:hAnsiTheme="minorEastAsia" w:eastAsiaTheme="minorEastAsia" w:cstheme="minorEastAsia"/>
                <w:color w:val="auto"/>
                <w:kern w:val="0"/>
                <w:sz w:val="21"/>
                <w:szCs w:val="21"/>
                <w:u w:val="none"/>
                <w:shd w:val="clear" w:color="auto" w:fill="FFFFFF"/>
                <w:lang w:bidi="ar"/>
              </w:rPr>
              <w:t>消费新场景</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sz w:val="21"/>
                <w:szCs w:val="21"/>
                <w:u w:val="none"/>
                <w:shd w:val="clear" w:color="auto" w:fill="FFFFFF"/>
              </w:rPr>
            </w:pPr>
            <w:r>
              <w:rPr>
                <w:rFonts w:hint="eastAsia" w:asciiTheme="minorEastAsia" w:hAnsiTheme="minorEastAsia" w:eastAsiaTheme="minorEastAsia" w:cstheme="minorEastAsia"/>
                <w:color w:val="auto"/>
                <w:kern w:val="0"/>
                <w:sz w:val="21"/>
                <w:szCs w:val="21"/>
                <w:u w:val="none"/>
                <w:shd w:val="clear" w:color="auto" w:fill="FFFFFF"/>
                <w:lang w:bidi="ar"/>
              </w:rPr>
              <w:t>支持业态创新、模式创新，推动人工智能、元宇宙等数字技术在</w:t>
            </w:r>
            <w:r>
              <w:rPr>
                <w:rFonts w:hint="eastAsia" w:asciiTheme="minorEastAsia" w:hAnsiTheme="minorEastAsia" w:eastAsiaTheme="minorEastAsia" w:cstheme="minorEastAsia"/>
                <w:color w:val="auto"/>
                <w:kern w:val="0"/>
                <w:sz w:val="21"/>
                <w:szCs w:val="21"/>
                <w:u w:val="none"/>
                <w:shd w:val="clear" w:color="auto" w:fill="FFFFFF"/>
                <w:lang w:eastAsia="zh-CN" w:bidi="ar"/>
              </w:rPr>
              <w:t>商贸、</w:t>
            </w:r>
            <w:r>
              <w:rPr>
                <w:rFonts w:hint="eastAsia" w:asciiTheme="minorEastAsia" w:hAnsiTheme="minorEastAsia" w:eastAsiaTheme="minorEastAsia" w:cstheme="minorEastAsia"/>
                <w:color w:val="auto"/>
                <w:kern w:val="0"/>
                <w:sz w:val="21"/>
                <w:szCs w:val="21"/>
                <w:u w:val="none"/>
                <w:shd w:val="clear" w:color="auto" w:fill="FFFFFF"/>
                <w:lang w:bidi="ar"/>
              </w:rPr>
              <w:t>文娱、旅游、健康、体育等领域的深化应用</w:t>
            </w:r>
            <w:r>
              <w:rPr>
                <w:rStyle w:val="9"/>
                <w:rFonts w:hint="eastAsia" w:asciiTheme="minorEastAsia" w:hAnsiTheme="minorEastAsia" w:eastAsiaTheme="minorEastAsia" w:cstheme="minorEastAsia"/>
                <w:color w:val="auto"/>
                <w:sz w:val="21"/>
                <w:szCs w:val="21"/>
                <w:u w:val="none"/>
                <w:shd w:val="clear" w:color="auto" w:fill="FFFFFF"/>
                <w:lang w:bidi="ar"/>
              </w:rPr>
              <w:t>，</w:t>
            </w:r>
            <w:r>
              <w:rPr>
                <w:rStyle w:val="9"/>
                <w:rFonts w:hint="eastAsia" w:asciiTheme="minorEastAsia" w:hAnsiTheme="minorEastAsia" w:eastAsiaTheme="minorEastAsia" w:cstheme="minorEastAsia"/>
                <w:color w:val="auto"/>
                <w:sz w:val="21"/>
                <w:szCs w:val="21"/>
                <w:highlight w:val="none"/>
                <w:u w:val="none"/>
                <w:shd w:val="clear" w:color="auto" w:fill="FFFFFF"/>
                <w:lang w:eastAsia="zh-CN" w:bidi="ar"/>
              </w:rPr>
              <w:t>至少融合2种</w:t>
            </w:r>
            <w:r>
              <w:rPr>
                <w:rStyle w:val="9"/>
                <w:rFonts w:hint="eastAsia" w:asciiTheme="minorEastAsia" w:hAnsiTheme="minorEastAsia" w:eastAsiaTheme="minorEastAsia" w:cstheme="minorEastAsia"/>
                <w:color w:val="auto"/>
                <w:sz w:val="21"/>
                <w:szCs w:val="21"/>
                <w:highlight w:val="none"/>
                <w:u w:val="none"/>
                <w:shd w:val="clear" w:color="auto" w:fill="FFFFFF"/>
                <w:lang w:val="en-US" w:eastAsia="zh-CN" w:bidi="ar"/>
              </w:rPr>
              <w:t>业态</w:t>
            </w:r>
            <w:r>
              <w:rPr>
                <w:rStyle w:val="9"/>
                <w:rFonts w:hint="eastAsia" w:asciiTheme="minorEastAsia" w:hAnsiTheme="minorEastAsia" w:eastAsiaTheme="minorEastAsia" w:cstheme="minorEastAsia"/>
                <w:color w:val="auto"/>
                <w:sz w:val="21"/>
                <w:szCs w:val="21"/>
                <w:u w:val="none"/>
                <w:shd w:val="clear" w:color="auto" w:fill="FFFFFF"/>
                <w:lang w:val="en-US" w:eastAsia="zh-CN" w:bidi="ar"/>
              </w:rPr>
              <w:t>，</w:t>
            </w:r>
            <w:r>
              <w:rPr>
                <w:rStyle w:val="9"/>
                <w:rFonts w:hint="eastAsia" w:asciiTheme="minorEastAsia" w:hAnsiTheme="minorEastAsia" w:eastAsiaTheme="minorEastAsia" w:cstheme="minorEastAsia"/>
                <w:color w:val="auto"/>
                <w:sz w:val="21"/>
                <w:szCs w:val="21"/>
                <w:u w:val="none"/>
                <w:shd w:val="clear" w:color="auto" w:fill="FFFFFF"/>
                <w:lang w:bidi="ar"/>
              </w:rPr>
              <w:t>打造商旅文体健融合的消费新场景，构建“</w:t>
            </w:r>
            <w:r>
              <w:rPr>
                <w:rStyle w:val="9"/>
                <w:rFonts w:hint="eastAsia" w:asciiTheme="minorEastAsia" w:hAnsiTheme="minorEastAsia" w:eastAsiaTheme="minorEastAsia" w:cstheme="minorEastAsia"/>
                <w:color w:val="auto"/>
                <w:sz w:val="21"/>
                <w:szCs w:val="21"/>
                <w:u w:val="none"/>
                <w:shd w:val="clear" w:color="auto" w:fill="FFFFFF"/>
                <w:lang w:val="en-US" w:eastAsia="zh-CN" w:bidi="ar"/>
              </w:rPr>
              <w:t>商业</w:t>
            </w:r>
            <w:r>
              <w:rPr>
                <w:rStyle w:val="9"/>
                <w:rFonts w:hint="eastAsia" w:asciiTheme="minorEastAsia" w:hAnsiTheme="minorEastAsia" w:eastAsiaTheme="minorEastAsia" w:cstheme="minorEastAsia"/>
                <w:color w:val="auto"/>
                <w:sz w:val="21"/>
                <w:szCs w:val="21"/>
                <w:u w:val="none"/>
                <w:shd w:val="clear" w:color="auto" w:fill="FFFFFF"/>
                <w:lang w:bidi="ar"/>
              </w:rPr>
              <w:t>+</w:t>
            </w:r>
            <w:r>
              <w:rPr>
                <w:rStyle w:val="9"/>
                <w:rFonts w:hint="eastAsia" w:asciiTheme="minorEastAsia" w:hAnsiTheme="minorEastAsia" w:eastAsiaTheme="minorEastAsia" w:cstheme="minorEastAsia"/>
                <w:color w:val="auto"/>
                <w:sz w:val="21"/>
                <w:szCs w:val="21"/>
                <w:u w:val="none"/>
                <w:shd w:val="clear" w:color="auto" w:fill="FFFFFF"/>
                <w:lang w:val="en-US" w:eastAsia="zh-CN" w:bidi="ar"/>
              </w:rPr>
              <w:t>文旅</w:t>
            </w:r>
            <w:r>
              <w:rPr>
                <w:rStyle w:val="9"/>
                <w:rFonts w:hint="eastAsia" w:asciiTheme="minorEastAsia" w:hAnsiTheme="minorEastAsia" w:eastAsiaTheme="minorEastAsia" w:cstheme="minorEastAsia"/>
                <w:color w:val="auto"/>
                <w:sz w:val="21"/>
                <w:szCs w:val="21"/>
                <w:u w:val="none"/>
                <w:shd w:val="clear" w:color="auto" w:fill="FFFFFF"/>
                <w:lang w:bidi="ar"/>
              </w:rPr>
              <w:t>、</w:t>
            </w:r>
            <w:r>
              <w:rPr>
                <w:rStyle w:val="9"/>
                <w:rFonts w:hint="eastAsia" w:asciiTheme="minorEastAsia" w:hAnsiTheme="minorEastAsia" w:eastAsiaTheme="minorEastAsia" w:cstheme="minorEastAsia"/>
                <w:color w:val="auto"/>
                <w:sz w:val="21"/>
                <w:szCs w:val="21"/>
                <w:u w:val="none"/>
                <w:shd w:val="clear" w:color="auto" w:fill="FFFFFF"/>
                <w:lang w:val="en-US" w:eastAsia="zh-CN" w:bidi="ar"/>
              </w:rPr>
              <w:t>人工智能</w:t>
            </w:r>
            <w:r>
              <w:rPr>
                <w:rStyle w:val="9"/>
                <w:rFonts w:hint="eastAsia" w:asciiTheme="minorEastAsia" w:hAnsiTheme="minorEastAsia" w:eastAsiaTheme="minorEastAsia" w:cstheme="minorEastAsia"/>
                <w:color w:val="auto"/>
                <w:sz w:val="21"/>
                <w:szCs w:val="21"/>
                <w:u w:val="none"/>
                <w:shd w:val="clear" w:color="auto" w:fill="FFFFFF"/>
                <w:lang w:bidi="ar"/>
              </w:rPr>
              <w:t>+</w:t>
            </w:r>
            <w:r>
              <w:rPr>
                <w:rStyle w:val="9"/>
                <w:rFonts w:hint="eastAsia" w:asciiTheme="minorEastAsia" w:hAnsiTheme="minorEastAsia" w:eastAsiaTheme="minorEastAsia" w:cstheme="minorEastAsia"/>
                <w:color w:val="auto"/>
                <w:sz w:val="21"/>
                <w:szCs w:val="21"/>
                <w:u w:val="none"/>
                <w:shd w:val="clear" w:color="auto" w:fill="FFFFFF"/>
                <w:lang w:val="en-US" w:eastAsia="zh-CN" w:bidi="ar"/>
              </w:rPr>
              <w:t>文旅</w:t>
            </w:r>
            <w:r>
              <w:rPr>
                <w:rStyle w:val="9"/>
                <w:rFonts w:hint="eastAsia" w:asciiTheme="minorEastAsia" w:hAnsiTheme="minorEastAsia" w:eastAsiaTheme="minorEastAsia" w:cstheme="minorEastAsia"/>
                <w:color w:val="auto"/>
                <w:sz w:val="21"/>
                <w:szCs w:val="21"/>
                <w:u w:val="none"/>
                <w:shd w:val="clear" w:color="auto" w:fill="FFFFFF"/>
                <w:lang w:bidi="ar"/>
              </w:rPr>
              <w:t>”</w:t>
            </w:r>
            <w:r>
              <w:rPr>
                <w:rStyle w:val="9"/>
                <w:rFonts w:hint="eastAsia" w:asciiTheme="minorEastAsia" w:hAnsiTheme="minorEastAsia" w:eastAsiaTheme="minorEastAsia" w:cstheme="minorEastAsia"/>
                <w:color w:val="auto"/>
                <w:sz w:val="21"/>
                <w:szCs w:val="21"/>
                <w:u w:val="none"/>
                <w:shd w:val="clear" w:color="auto" w:fill="FFFFFF"/>
                <w:lang w:val="en-US" w:eastAsia="zh-CN" w:bidi="ar"/>
              </w:rPr>
              <w:t>等</w:t>
            </w:r>
            <w:r>
              <w:rPr>
                <w:rStyle w:val="9"/>
                <w:rFonts w:hint="eastAsia" w:asciiTheme="minorEastAsia" w:hAnsiTheme="minorEastAsia" w:eastAsiaTheme="minorEastAsia" w:cstheme="minorEastAsia"/>
                <w:color w:val="auto"/>
                <w:sz w:val="21"/>
                <w:szCs w:val="21"/>
                <w:u w:val="none"/>
                <w:shd w:val="clear" w:color="auto" w:fill="FFFFFF"/>
                <w:lang w:bidi="ar"/>
              </w:rPr>
              <w:t>多元融合场景矩阵</w:t>
            </w:r>
            <w:r>
              <w:rPr>
                <w:rStyle w:val="9"/>
                <w:rFonts w:hint="eastAsia" w:asciiTheme="minorEastAsia" w:hAnsiTheme="minorEastAsia" w:eastAsiaTheme="minorEastAsia" w:cstheme="minorEastAsia"/>
                <w:color w:val="auto"/>
                <w:sz w:val="21"/>
                <w:szCs w:val="21"/>
                <w:u w:val="none"/>
                <w:shd w:val="clear" w:color="auto" w:fill="FFFFFF"/>
                <w:lang w:eastAsia="zh-CN" w:bidi="ar"/>
              </w:rPr>
              <w:t>，</w:t>
            </w:r>
            <w:r>
              <w:rPr>
                <w:rStyle w:val="9"/>
                <w:rFonts w:hint="eastAsia" w:asciiTheme="minorEastAsia" w:hAnsiTheme="minorEastAsia" w:eastAsiaTheme="minorEastAsia" w:cstheme="minorEastAsia"/>
                <w:color w:val="auto"/>
                <w:sz w:val="21"/>
                <w:szCs w:val="21"/>
                <w:u w:val="none"/>
                <w:shd w:val="clear" w:color="auto" w:fill="FFFFFF"/>
                <w:lang w:bidi="ar"/>
              </w:rPr>
              <w:t>以及融合</w:t>
            </w:r>
            <w:r>
              <w:rPr>
                <w:rStyle w:val="9"/>
                <w:rFonts w:hint="eastAsia" w:asciiTheme="minorEastAsia" w:hAnsiTheme="minorEastAsia" w:eastAsiaTheme="minorEastAsia" w:cstheme="minorEastAsia"/>
                <w:color w:val="auto"/>
                <w:sz w:val="21"/>
                <w:szCs w:val="21"/>
                <w:u w:val="none"/>
                <w:shd w:val="clear" w:color="auto" w:fill="FFFFFF"/>
                <w:lang w:eastAsia="zh-CN" w:bidi="ar"/>
              </w:rPr>
              <w:t>线上线下、</w:t>
            </w:r>
            <w:r>
              <w:rPr>
                <w:rStyle w:val="9"/>
                <w:rFonts w:hint="eastAsia" w:asciiTheme="minorEastAsia" w:hAnsiTheme="minorEastAsia" w:eastAsiaTheme="minorEastAsia" w:cstheme="minorEastAsia"/>
                <w:color w:val="auto"/>
                <w:sz w:val="21"/>
                <w:szCs w:val="21"/>
                <w:u w:val="none"/>
                <w:shd w:val="clear" w:color="auto" w:fill="FFFFFF"/>
                <w:lang w:bidi="ar"/>
              </w:rPr>
              <w:t>文化体验、健康养生的复合型消费空间。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rPr>
                <w:rFonts w:hint="eastAsia" w:asciiTheme="minorEastAsia" w:hAnsiTheme="minorEastAsia" w:eastAsiaTheme="minorEastAsia" w:cstheme="minorEastAsia"/>
                <w:color w:val="auto"/>
                <w:sz w:val="21"/>
                <w:szCs w:val="21"/>
                <w:u w:val="none"/>
                <w:shd w:val="clear" w:color="auto" w:fill="FFFFFF"/>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2.推动服务消费集聚区建设</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重点商圈、特色商业街区、文旅集聚区、会展场馆、传统购物型商超、废旧工业厂等区域进行多元消费场景升级、空间重构，拓展文化时尚、健康体育、艺术展览、主题社交、休闲娱乐等服务消费功能。集聚市场主体8家以上,具备文化时尚（如文化体验、国潮品牌店等）、健康、体育、艺术展览、主题社交、休闲娱乐等服务消费业态不少于</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3</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rPr>
                <w:rFonts w:hint="eastAsia" w:asciiTheme="minorEastAsia" w:hAnsiTheme="minorEastAsia" w:eastAsiaTheme="minorEastAsia" w:cstheme="minorEastAsia"/>
                <w:color w:val="auto"/>
                <w:sz w:val="21"/>
                <w:szCs w:val="21"/>
                <w:u w:val="none"/>
                <w:shd w:val="clear" w:color="auto" w:fill="FFFFFF"/>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3.发展夜间文化</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新建夜间商圈、夜间文旅、夜间餐饮、夜间娱乐、夜间便民店等业态，集聚经营主体8家以上，其中营业至晚24:00的商户5家以上,优化夜间消费环境，或对商圈商街、文旅体育项目进行升级改造，打造具有示范性、代表性、地域性的夜间消费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rPr>
                <w:rFonts w:hint="eastAsia" w:asciiTheme="minorEastAsia" w:hAnsiTheme="minorEastAsia" w:eastAsiaTheme="minorEastAsia" w:cstheme="minorEastAsia"/>
                <w:color w:val="auto"/>
                <w:sz w:val="21"/>
                <w:szCs w:val="21"/>
                <w:u w:val="none"/>
                <w:shd w:val="clear" w:color="auto" w:fill="FFFFFF"/>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4.培育服务消费新增长点</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培育汽车后市场服务（二手车交易、无人驾驶车体验、共享汽车等）、旅居服务（如房车露营地、城市民宿）、康养服务、演出服务、冰雪经济（如室内滑雪场、冰雪主题乐园）、体育赛事、旅游列车等服务消费新增长点领域，发展宠物经济、艺术展览、沉浸体验（含各类主题体验场馆）、数字艺术、房车露营、产学研基地等项目建设。项目有统一的运营主体，具备创新特色；项目服务客户不低于1000人次，实现消费收入不低于</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200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rPr>
                <w:rFonts w:hint="eastAsia" w:asciiTheme="minorEastAsia" w:hAnsiTheme="minorEastAsia" w:eastAsiaTheme="minorEastAsia" w:cstheme="minorEastAsia"/>
                <w:color w:val="auto"/>
                <w:sz w:val="21"/>
                <w:szCs w:val="21"/>
                <w:u w:val="none"/>
                <w:shd w:val="clear" w:color="auto" w:fill="FFFFFF"/>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5.外贸优品展销中心与购物集聚区</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建设外贸优品展销中心或集聚区，重点引进服装、家居、食品、电子消费等行业的外贸优品企业，为企业提供产品展示、线上线下销售及供应链对接服务、内外贸产品行业标准的认证及推广。其中，新开、升级外贸优品展销中心，有效投资额经营面积不低于</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100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㎡，集聚外贸优品10种以上，正常运营满3个月，累计实现销售额不低于</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100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万元；外贸优品特色商业街需明确运营主体，从事外贸优品销售的门店数量占比不低于总门店数</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rPr>
                <w:rFonts w:hint="eastAsia" w:asciiTheme="minorEastAsia" w:hAnsiTheme="minorEastAsia" w:eastAsiaTheme="minorEastAsia" w:cstheme="minorEastAsia"/>
                <w:color w:val="auto"/>
                <w:sz w:val="21"/>
                <w:szCs w:val="21"/>
                <w:u w:val="none"/>
                <w:shd w:val="clear" w:color="auto" w:fill="FFFFFF"/>
              </w:rPr>
            </w:pPr>
            <w:bookmarkStart w:id="1" w:name="_Toc14511"/>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default"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6.支持“一老一小”服务场景建设</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eastAsia="仿宋_GB2312" w:asciiTheme="minorEastAsia" w:hAnsi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壮大银发经济，建设适老化商业设施，打造“银发金街”，推动银发服务精准化。发展儿童体验教育、亲子娱乐等消费场景，建设亲子友好空间，加强场景改造、设施采购与服务升级。项目设施与服务内容须精准对标老年或亲子群体的特定消费需求；须配备与服务质量相匹配的专业服务团队,申报周期内项目服务消费者数量100人次以上，形成一定规模的消费带动效应,实现营业收入100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center"/>
              <w:rPr>
                <w:rFonts w:hint="eastAsia" w:asciiTheme="minorEastAsia" w:hAnsiTheme="minorEastAsia" w:eastAsiaTheme="minorEastAsia" w:cstheme="minorEastAsia"/>
                <w:color w:val="auto"/>
                <w:sz w:val="21"/>
                <w:szCs w:val="21"/>
                <w:u w:val="none"/>
                <w:shd w:val="clear" w:color="auto" w:fill="FFFFFF"/>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default"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7.创新家政业态发展模式</w:t>
            </w: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
              </w:rPr>
              <w:t>支持行业协会、家政服务企业搭建智慧家政服务线上平台，推动家政服务标准化；支持家政服务企业创新服务模式，打造“社区+”家政服务新场景，推动家政服务进社区。家政服务线上平台需运营两年以上，入驻家政服务企业不少于30家，服务品类应包含母婴护理、居家养老、家庭清洁、家务服务、整理收纳、家电清洗等项目类别中至少三类，运营管理体系完善，具有在线咨询、在线下单（签约）、服务评价、信用查询等功能。“社区+”家政服务新场景，项目需打造15个以上“社区+”家政服务网点或家政服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44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r>
              <w:rPr>
                <w:rFonts w:hint="eastAsia" w:asciiTheme="minorEastAsia" w:hAnsiTheme="minorEastAsia" w:eastAsiaTheme="minorEastAsia" w:cstheme="minorEastAsia"/>
                <w:color w:val="auto"/>
                <w:kern w:val="0"/>
                <w:sz w:val="21"/>
                <w:szCs w:val="21"/>
                <w:u w:val="none"/>
                <w:shd w:val="clear" w:color="auto" w:fill="FFFFFF"/>
                <w:lang w:eastAsia="zh-CN" w:bidi="ar"/>
              </w:rPr>
              <w:t>二、优质消费资源与知名IP跨界联名</w:t>
            </w: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 xml:space="preserve">1.联动国潮动漫影视 </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等传统资源打造综合性消费场景</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default" w:asciiTheme="minorEastAsia" w:hAnsiTheme="minorEastAsia" w:eastAsiaTheme="minorEastAsia" w:cstheme="minorEastAsia"/>
                <w:color w:val="auto"/>
                <w:kern w:val="0"/>
                <w:sz w:val="21"/>
                <w:szCs w:val="21"/>
                <w:u w:val="none"/>
                <w:shd w:val="clear" w:color="auto" w:fill="FFFFFF"/>
                <w:lang w:val="en-US" w:eastAsia="zh-CN" w:bidi="ar"/>
              </w:rPr>
            </w:pP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联动国潮、动漫、影视、游戏知识产权（</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）及文博场馆、非遗机构、历史文化名城等传统资源，通过实施</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元素植入、主题装置、软硬件设备购置升级等，推出一批影响范围广、社交属性强、创意新颖的综合性消费场景，如</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动漫</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非遗</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主题街区、</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 xml:space="preserve">影视 </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博物馆</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等，申报周期内项目实现营业收入200万元以上。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144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p>
        </w:tc>
        <w:tc>
          <w:tcPr>
            <w:tcW w:w="213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2.推动优质消费资源与知名</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融合发展</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人工智能+消费</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应用场景</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default" w:asciiTheme="minorEastAsia" w:hAnsiTheme="minorEastAsia" w:eastAsiaTheme="minorEastAsia" w:cstheme="minorEastAsia"/>
                <w:color w:val="auto"/>
                <w:kern w:val="0"/>
                <w:sz w:val="21"/>
                <w:szCs w:val="21"/>
                <w:u w:val="none"/>
                <w:shd w:val="clear" w:color="auto" w:fill="FFFFFF"/>
                <w:lang w:val="en-US" w:eastAsia="zh-CN" w:bidi="ar"/>
              </w:rPr>
            </w:pPr>
          </w:p>
        </w:tc>
        <w:tc>
          <w:tcPr>
            <w:tcW w:w="518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推动优质消费资源与知名</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融合发展，鼓励企业建设</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人工智能</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消费</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 xml:space="preserve">应用场景。引入知名 </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官方授权（须提供合作协议）；项目须具备明确的</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AI</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技术落地场景与消费转化模式，直接面向终端消费者提供服务，且</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AI</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相关软硬件及服务投入占比不低于总投资的</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60%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；项目已稳定运营2个月以上，累计服务消费者达500人次以上，带动消费收入不低于1</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00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万元；数据安全符合国家相关规定，建立用户信息保护机制。</w:t>
            </w:r>
          </w:p>
        </w:tc>
      </w:tr>
    </w:tbl>
    <w:p>
      <w:pPr>
        <w:keepNext w:val="0"/>
        <w:keepLines w:val="0"/>
        <w:pageBreakBefore w:val="0"/>
        <w:widowControl w:val="0"/>
        <w:kinsoku/>
        <w:wordWrap/>
        <w:overflowPunct/>
        <w:topLinePunct w:val="0"/>
        <w:autoSpaceDE/>
        <w:autoSpaceDN/>
        <w:bidi w:val="0"/>
        <w:spacing w:line="600" w:lineRule="exact"/>
        <w:ind w:firstLine="720" w:firstLineChars="200"/>
        <w:jc w:val="both"/>
        <w:outlineLvl w:val="2"/>
        <w:rPr>
          <w:rFonts w:hint="eastAsia" w:ascii="楷体" w:hAnsi="楷体" w:eastAsia="楷体" w:cs="楷体"/>
          <w:b w:val="0"/>
          <w:bCs/>
          <w:color w:val="auto"/>
          <w:kern w:val="0"/>
          <w:sz w:val="36"/>
          <w:szCs w:val="36"/>
          <w:u w:val="none"/>
          <w:shd w:val="clear" w:color="auto" w:fill="FFFFFF"/>
          <w:lang w:val="en-US" w:eastAsia="zh-CN" w:bidi="ar-SA"/>
        </w:rPr>
      </w:pPr>
      <w:r>
        <w:rPr>
          <w:rFonts w:hint="eastAsia" w:ascii="楷体" w:hAnsi="楷体" w:eastAsia="楷体" w:cs="楷体"/>
          <w:b w:val="0"/>
          <w:bCs/>
          <w:color w:val="auto"/>
          <w:kern w:val="0"/>
          <w:sz w:val="36"/>
          <w:szCs w:val="36"/>
          <w:u w:val="none"/>
          <w:shd w:val="clear" w:color="auto" w:fill="FFFFFF"/>
          <w:lang w:val="en-US" w:eastAsia="zh-CN" w:bidi="ar-SA"/>
        </w:rPr>
        <w:t>（二）一次性奖励类</w:t>
      </w:r>
      <w:bookmarkEnd w:id="1"/>
      <w:r>
        <w:rPr>
          <w:rFonts w:hint="eastAsia" w:ascii="楷体" w:hAnsi="楷体" w:eastAsia="楷体" w:cs="楷体"/>
          <w:b w:val="0"/>
          <w:bCs/>
          <w:color w:val="auto"/>
          <w:kern w:val="0"/>
          <w:sz w:val="36"/>
          <w:szCs w:val="36"/>
          <w:u w:val="none"/>
          <w:shd w:val="clear" w:color="auto" w:fill="FFFFFF"/>
          <w:lang w:val="en-US" w:eastAsia="zh-CN" w:bidi="ar-SA"/>
        </w:rPr>
        <w:t>项目</w:t>
      </w:r>
    </w:p>
    <w:tbl>
      <w:tblPr>
        <w:tblStyle w:val="6"/>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375"/>
        <w:gridCol w:w="462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color w:val="auto"/>
                <w:kern w:val="0"/>
                <w:sz w:val="21"/>
                <w:szCs w:val="21"/>
                <w:u w:val="none"/>
                <w:shd w:val="clear" w:color="auto" w:fill="FFFFFF"/>
                <w:lang w:eastAsia="zh-CN" w:bidi="ar"/>
              </w:rPr>
            </w:pPr>
            <w:r>
              <w:rPr>
                <w:rFonts w:hint="eastAsia" w:asciiTheme="minorEastAsia" w:hAnsiTheme="minorEastAsia" w:eastAsiaTheme="minorEastAsia" w:cstheme="minorEastAsia"/>
                <w:b/>
                <w:bCs/>
                <w:color w:val="auto"/>
                <w:kern w:val="0"/>
                <w:sz w:val="21"/>
                <w:szCs w:val="21"/>
                <w:u w:val="none"/>
                <w:shd w:val="clear" w:color="auto" w:fill="FFFFFF"/>
                <w:lang w:eastAsia="zh-CN" w:bidi="ar"/>
              </w:rPr>
              <w:t>类别</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jc w:val="both"/>
              <w:textAlignment w:val="center"/>
              <w:rPr>
                <w:rFonts w:hint="eastAsia" w:asciiTheme="minorEastAsia" w:hAnsiTheme="minorEastAsia" w:eastAsiaTheme="minorEastAsia" w:cstheme="minorEastAsia"/>
                <w:b/>
                <w:bCs/>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u w:val="none"/>
                <w:shd w:val="clear" w:color="auto" w:fill="FFFFFF"/>
                <w:lang w:eastAsia="zh-CN" w:bidi="ar"/>
              </w:rPr>
              <w:t>支持方向</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843" w:firstLineChars="400"/>
              <w:jc w:val="both"/>
              <w:textAlignment w:val="center"/>
              <w:rPr>
                <w:rFonts w:hint="default" w:asciiTheme="minorEastAsia" w:hAnsiTheme="minorEastAsia" w:eastAsiaTheme="minorEastAsia" w:cstheme="minorEastAsia"/>
                <w:b/>
                <w:bCs/>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b/>
                <w:bCs/>
                <w:color w:val="auto"/>
                <w:kern w:val="0"/>
                <w:sz w:val="21"/>
                <w:szCs w:val="21"/>
                <w:u w:val="none"/>
                <w:shd w:val="clear" w:color="auto" w:fill="FFFFFF"/>
                <w:lang w:eastAsia="zh-CN" w:bidi="ar"/>
              </w:rPr>
              <w:t>支持内容</w:t>
            </w:r>
            <w:r>
              <w:rPr>
                <w:rFonts w:hint="eastAsia" w:asciiTheme="minorEastAsia" w:hAnsiTheme="minorEastAsia" w:eastAsiaTheme="minorEastAsia" w:cstheme="minorEastAsia"/>
                <w:b/>
                <w:bCs/>
                <w:color w:val="auto"/>
                <w:kern w:val="0"/>
                <w:sz w:val="21"/>
                <w:szCs w:val="21"/>
                <w:u w:val="none"/>
                <w:shd w:val="clear" w:color="auto" w:fill="FFFFFF"/>
                <w:lang w:val="en-US" w:eastAsia="zh-CN" w:bidi="ar"/>
              </w:rPr>
              <w:t>及条件</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center"/>
              <w:rPr>
                <w:rFonts w:hint="eastAsia" w:asciiTheme="minorEastAsia" w:hAnsiTheme="minorEastAsia" w:eastAsiaTheme="minorEastAsia" w:cstheme="minorEastAsia"/>
                <w:b/>
                <w:bCs/>
                <w:color w:val="auto"/>
                <w:kern w:val="0"/>
                <w:sz w:val="21"/>
                <w:szCs w:val="21"/>
                <w:u w:val="none"/>
                <w:shd w:val="clear" w:color="auto" w:fill="FFFFFF"/>
                <w:lang w:eastAsia="zh-CN" w:bidi="ar"/>
              </w:rPr>
            </w:pPr>
            <w:r>
              <w:rPr>
                <w:rFonts w:hint="eastAsia" w:asciiTheme="minorEastAsia" w:hAnsiTheme="minorEastAsia" w:eastAsiaTheme="minorEastAsia" w:cstheme="minorEastAsia"/>
                <w:b/>
                <w:bCs/>
                <w:color w:val="auto"/>
                <w:kern w:val="0"/>
                <w:sz w:val="21"/>
                <w:szCs w:val="21"/>
                <w:u w:val="none"/>
                <w:shd w:val="clear" w:color="auto" w:fill="FFFFFF"/>
                <w:lang w:eastAsia="zh-CN" w:bidi="ar"/>
              </w:rPr>
              <w:t>支持标准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2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r>
              <w:rPr>
                <w:rFonts w:hint="eastAsia" w:asciiTheme="minorEastAsia" w:hAnsiTheme="minorEastAsia" w:eastAsiaTheme="minorEastAsia" w:cstheme="minorEastAsia"/>
                <w:color w:val="auto"/>
                <w:kern w:val="0"/>
                <w:sz w:val="21"/>
                <w:szCs w:val="21"/>
                <w:u w:val="none"/>
                <w:shd w:val="clear" w:color="auto" w:fill="FFFFFF"/>
                <w:lang w:eastAsia="zh-CN" w:bidi="ar"/>
              </w:rPr>
              <w:t>一、</w:t>
            </w:r>
            <w:r>
              <w:rPr>
                <w:rFonts w:hint="eastAsia" w:asciiTheme="minorEastAsia" w:hAnsiTheme="minorEastAsia" w:eastAsiaTheme="minorEastAsia" w:cstheme="minorEastAsia"/>
                <w:color w:val="auto"/>
                <w:kern w:val="0"/>
                <w:sz w:val="21"/>
                <w:szCs w:val="21"/>
                <w:u w:val="none"/>
                <w:shd w:val="clear" w:color="auto" w:fill="FFFFFF"/>
                <w:lang w:bidi="ar"/>
              </w:rPr>
              <w:t>健全首发经济服务体系</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1.首发中心、首发经济集聚区</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
              </w:rPr>
              <w:t>支持商业综合体、商业街区等市场主体在试点期间开展新产品、新技术、新展示、新演艺等首发首秀活动，满足传播、传媒、广告、策划等首发服务能力；引导商业综合体、商业街、创意园区、文体场所等招引、集聚一批市级以上品牌开设首店，形成首发集聚商业载体。首发中心，试点期内举办全国性首发活动不少于8场；首发经济集聚区，试点期内引入并开业的首店不少于8家。</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default"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对项目有效投资额，按不超过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给予补助，原则上单个项目补助金额不超过200万元。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2.开设首店、旗舰店、概念店</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
              </w:rPr>
              <w:t>支持国际知名品牌、国内知名品牌、本土特色知名品牌试点期间在贵阳核心商圈开设首店，打造旗舰店、概念店，积极培育打造具有前沿理念、颠覆性模式、高技术含量或独特文化价值的品牌首店。对试点期间在贵阳开设的中国首店、西南首店、贵州首店、贵阳首店分别给予不超过100万元、80万元、60万元、40万元一次性支持；对试点期间开设的符合相关条件的旗舰店、概念店按照面积大小分别给予相应奖励，即:对面积在50㎡以上、100㎡以上、200㎡以上的旗舰店、概念店分别给予不超过40万元、60万元、80万元奖励。</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default"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对项目有效投资额，按不超过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给予补助，原则上单个项目补助金额不超过100万元。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jc w:val="center"/>
        </w:trPr>
        <w:tc>
          <w:tcPr>
            <w:tcW w:w="12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3.首发、首秀、首演及首展活动</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时尚服饰、消费电子、美妆、潮玩、家居、汽车、智能终端、运动潮品以及服务消费等领域具有创新性、引领性的产品与服务在试点期间举办全国性首发、首秀、首展、首演活动，加强“贵阳首发”品牌推广，定期开展“贵阳首发”系列活动，推出城市“首发MAP”打卡地图，策划多条主题打卡线路，实现首发资源与城市地标的深度融合。首发首秀活动须有5家市级及以上媒体宣传报道；在贵阳专业场馆首次举办的全国性首演及首展活动面积不低于1万㎡。</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首发首秀活动对项目有效投资额，按不超过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给予补助，原则上单个项目补助金额不超过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200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万元；首演及首展活动给予每万平方米30万元，单个项目最高200万元奖励。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12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4.展会开设首发专区、专场</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支持有关展会在试点期间开设首发专区、专场，集中展示新产品新服务新技术。展会面积不低于</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1</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万㎡，首发专区、专场面积不低于</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500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平方米（不累计），首发新品数量不少于10个或者单个商品首发配套首发仪式，同时参展商数量不少于30家，市级及以上媒体宣传报道不少于5篇。</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对项目有效投资额，按不超过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给予补助，原则上单个项目补助金额不超过200万元。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6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r>
              <w:rPr>
                <w:rFonts w:hint="eastAsia" w:asciiTheme="minorEastAsia" w:hAnsiTheme="minorEastAsia" w:eastAsiaTheme="minorEastAsia" w:cstheme="minorEastAsia"/>
                <w:color w:val="auto"/>
                <w:kern w:val="0"/>
                <w:sz w:val="21"/>
                <w:szCs w:val="21"/>
                <w:u w:val="none"/>
                <w:shd w:val="clear" w:color="auto" w:fill="FFFFFF"/>
                <w:lang w:eastAsia="zh-CN" w:bidi="ar"/>
              </w:rPr>
              <w:t>二、</w:t>
            </w:r>
            <w:r>
              <w:rPr>
                <w:rFonts w:hint="eastAsia" w:asciiTheme="minorEastAsia" w:hAnsiTheme="minorEastAsia" w:eastAsiaTheme="minorEastAsia" w:cstheme="minorEastAsia"/>
                <w:color w:val="auto"/>
                <w:kern w:val="0"/>
                <w:sz w:val="21"/>
                <w:szCs w:val="21"/>
                <w:u w:val="none"/>
                <w:shd w:val="clear" w:color="auto" w:fill="FFFFFF"/>
                <w:lang w:bidi="ar"/>
              </w:rPr>
              <w:t>创新多元化服务消费场景</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推动重点赛事活动及演出“进商圈、进街区、进景区”</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支持试点期间有持续的年度赛事或演出计划，起始时间1个月以上或一年内整体不少于6场，能带来相关消费额的增长或吸引一定客流，有配合赛事、演出主题展览展示促消费等活动。</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对于每个主题赛事或演出有效投资额，按不超过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给予补助，原则上单个项目补助金额不超过100万元。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2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eastAsia="zh-CN" w:bidi="ar"/>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r>
              <w:rPr>
                <w:rFonts w:hint="eastAsia" w:asciiTheme="minorEastAsia" w:hAnsiTheme="minorEastAsia" w:eastAsiaTheme="minorEastAsia" w:cstheme="minorEastAsia"/>
                <w:color w:val="auto"/>
                <w:kern w:val="0"/>
                <w:sz w:val="21"/>
                <w:szCs w:val="21"/>
                <w:u w:val="none"/>
                <w:shd w:val="clear" w:color="auto" w:fill="FFFFFF"/>
                <w:lang w:eastAsia="zh-CN" w:bidi="ar"/>
              </w:rPr>
              <w:t>三、</w:t>
            </w:r>
            <w:r>
              <w:rPr>
                <w:rFonts w:hint="eastAsia" w:asciiTheme="minorEastAsia" w:hAnsiTheme="minorEastAsia" w:eastAsiaTheme="minorEastAsia" w:cstheme="minorEastAsia"/>
                <w:color w:val="auto"/>
                <w:kern w:val="0"/>
                <w:sz w:val="21"/>
                <w:szCs w:val="21"/>
                <w:u w:val="none"/>
                <w:shd w:val="clear" w:color="auto" w:fill="FFFFFF"/>
                <w:lang w:bidi="ar"/>
              </w:rPr>
              <w:t>优质消费资源与知名IP跨界联名</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1.联动知名IP，开发城市周边产品</w:t>
            </w: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支持联动全球知名IP、国潮IP、历史文化IP、本地知名IP、本地特色IP联动开发系列周边产品。IP由官方授权、周边产品具备独创性、无侵权盗版问题。单个IP联名产品系列推出后3个月内，全渠道销售额200万元以上。</w:t>
            </w: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对企业试点期内新开发的</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联名产品的有效投资额不超过40%给予补助；同时，根据绩效目标最高按照销售额的</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2%</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给予补贴，以上补贴叠加最高不超过200万元。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2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center"/>
              <w:rPr>
                <w:rFonts w:hint="eastAsia" w:asciiTheme="minorEastAsia" w:hAnsiTheme="minorEastAsia" w:eastAsiaTheme="minorEastAsia" w:cstheme="minorEastAsia"/>
                <w:color w:val="auto"/>
                <w:kern w:val="0"/>
                <w:sz w:val="21"/>
                <w:szCs w:val="21"/>
                <w:u w:val="none"/>
                <w:shd w:val="clear" w:color="auto" w:fill="FFFFFF"/>
                <w:lang w:bidi="ar"/>
              </w:rPr>
            </w:pP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2.联动老字号（</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IP</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）开发推出</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老牌新品</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国货潮品</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p>
        </w:tc>
        <w:tc>
          <w:tcPr>
            <w:tcW w:w="462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支持中华老字号、省、市老字号企业、新消费品牌企业依托贵阳优质消费资源，开设新店、旗舰店，引导老字号企业挖掘品牌历史与文化底蕴，结合现代消费需求开发“老牌新品”；推动新消费品牌聚焦“贵品黔货”特色，打造“国货潮品”；项目具有良好的经济效益，申报周期内实现营业收入100万元以上。</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p>
        </w:tc>
        <w:tc>
          <w:tcPr>
            <w:tcW w:w="160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center"/>
              <w:rPr>
                <w:rFonts w:hint="eastAsia" w:asciiTheme="minorEastAsia" w:hAnsiTheme="minorEastAsia" w:eastAsiaTheme="minorEastAsia" w:cstheme="minorEastAsia"/>
                <w:color w:val="auto"/>
                <w:kern w:val="0"/>
                <w:sz w:val="21"/>
                <w:szCs w:val="21"/>
                <w:u w:val="none"/>
                <w:shd w:val="clear" w:color="auto" w:fill="FFFFFF"/>
                <w:lang w:val="en-US" w:eastAsia="zh-CN" w:bidi="ar"/>
              </w:rPr>
            </w:pPr>
            <w:r>
              <w:rPr>
                <w:rFonts w:hint="eastAsia" w:asciiTheme="minorEastAsia" w:hAnsiTheme="minorEastAsia" w:eastAsiaTheme="minorEastAsia" w:cstheme="minorEastAsia"/>
                <w:color w:val="auto"/>
                <w:kern w:val="0"/>
                <w:sz w:val="21"/>
                <w:szCs w:val="21"/>
                <w:u w:val="none"/>
                <w:shd w:val="clear" w:color="auto" w:fill="FFFFFF"/>
                <w:lang w:val="en-US" w:eastAsia="zh-CN" w:bidi="ar"/>
              </w:rPr>
              <w:t>对项目有效投资额，按不超过</w:t>
            </w:r>
            <w:r>
              <w:rPr>
                <w:rFonts w:hint="default" w:asciiTheme="minorEastAsia" w:hAnsiTheme="minorEastAsia" w:eastAsiaTheme="minorEastAsia" w:cstheme="minorEastAsia"/>
                <w:color w:val="auto"/>
                <w:kern w:val="0"/>
                <w:sz w:val="21"/>
                <w:szCs w:val="21"/>
                <w:u w:val="none"/>
                <w:shd w:val="clear" w:color="auto" w:fill="FFFFFF"/>
                <w:lang w:val="en-US" w:eastAsia="zh-CN" w:bidi="ar"/>
              </w:rPr>
              <w:t>40%</w:t>
            </w:r>
            <w:r>
              <w:rPr>
                <w:rFonts w:hint="eastAsia" w:asciiTheme="minorEastAsia" w:hAnsiTheme="minorEastAsia" w:eastAsiaTheme="minorEastAsia" w:cstheme="minorEastAsia"/>
                <w:color w:val="auto"/>
                <w:kern w:val="0"/>
                <w:sz w:val="21"/>
                <w:szCs w:val="21"/>
                <w:u w:val="none"/>
                <w:shd w:val="clear" w:color="auto" w:fill="FFFFFF"/>
                <w:lang w:val="en-US" w:eastAsia="zh-CN" w:bidi="ar"/>
              </w:rPr>
              <w:t>给予补助，原则上单个项目补助金额不超过200万元。</w:t>
            </w:r>
          </w:p>
        </w:tc>
      </w:tr>
    </w:tbl>
    <w:p>
      <w:pPr>
        <w:keepNext w:val="0"/>
        <w:keepLines w:val="0"/>
        <w:pageBreakBefore w:val="0"/>
        <w:widowControl w:val="0"/>
        <w:kinsoku/>
        <w:wordWrap/>
        <w:overflowPunct/>
        <w:topLinePunct w:val="0"/>
        <w:autoSpaceDE/>
        <w:autoSpaceDN/>
        <w:bidi w:val="0"/>
        <w:adjustRightInd/>
        <w:snapToGrid/>
        <w:spacing w:line="560" w:lineRule="exact"/>
        <w:ind w:firstLine="722" w:firstLineChars="200"/>
        <w:jc w:val="both"/>
        <w:textAlignment w:val="auto"/>
        <w:rPr>
          <w:rFonts w:hint="eastAsia" w:ascii="仿宋" w:hAnsi="仿宋" w:eastAsia="仿宋" w:cs="仿宋"/>
          <w:color w:val="auto"/>
          <w:sz w:val="36"/>
          <w:szCs w:val="36"/>
          <w:u w:val="none"/>
          <w:lang w:val="en-US" w:eastAsia="zh-CN"/>
        </w:rPr>
      </w:pPr>
      <w:r>
        <w:rPr>
          <w:rFonts w:hint="eastAsia" w:ascii="仿宋" w:hAnsi="仿宋" w:eastAsia="仿宋" w:cs="仿宋"/>
          <w:b/>
          <w:bCs/>
          <w:color w:val="auto"/>
          <w:sz w:val="36"/>
          <w:szCs w:val="36"/>
          <w:u w:val="none"/>
          <w:lang w:val="en-US" w:eastAsia="zh-CN"/>
        </w:rPr>
        <w:t>第八条</w:t>
      </w:r>
      <w:r>
        <w:rPr>
          <w:rFonts w:hint="eastAsia" w:ascii="仿宋" w:hAnsi="仿宋" w:eastAsia="仿宋" w:cs="仿宋"/>
          <w:color w:val="auto"/>
          <w:sz w:val="36"/>
          <w:szCs w:val="36"/>
          <w:u w:val="none"/>
          <w:lang w:val="en-US" w:eastAsia="zh-CN"/>
        </w:rPr>
        <w:t xml:space="preserve"> 支持标准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仿宋_GB2312" w:cs="Times New Roman"/>
          <w:b/>
          <w:bCs/>
          <w:color w:val="auto"/>
          <w:sz w:val="21"/>
          <w:szCs w:val="21"/>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outlineLvl w:val="2"/>
        <w:rPr>
          <w:rFonts w:hint="eastAsia" w:ascii="楷体" w:hAnsi="楷体" w:eastAsia="楷体" w:cs="楷体"/>
          <w:b w:val="0"/>
          <w:bCs/>
          <w:color w:val="auto"/>
          <w:kern w:val="0"/>
          <w:sz w:val="36"/>
          <w:szCs w:val="36"/>
          <w:u w:val="none"/>
          <w:shd w:val="clear" w:color="auto" w:fill="FFFFFF"/>
          <w:lang w:val="en-US" w:eastAsia="zh-CN" w:bidi="ar-SA"/>
        </w:rPr>
      </w:pPr>
      <w:bookmarkStart w:id="2" w:name="_Toc7289"/>
      <w:r>
        <w:rPr>
          <w:rFonts w:hint="eastAsia" w:ascii="楷体" w:hAnsi="楷体" w:eastAsia="楷体" w:cs="楷体"/>
          <w:b w:val="0"/>
          <w:bCs/>
          <w:color w:val="auto"/>
          <w:kern w:val="0"/>
          <w:sz w:val="36"/>
          <w:szCs w:val="36"/>
          <w:u w:val="none"/>
          <w:shd w:val="clear" w:color="auto" w:fill="FFFFFF"/>
          <w:lang w:val="en-US" w:eastAsia="zh-CN" w:bidi="ar-SA"/>
        </w:rPr>
        <w:t>（一）投资类</w:t>
      </w:r>
      <w:bookmarkEnd w:id="2"/>
      <w:r>
        <w:rPr>
          <w:rFonts w:hint="eastAsia" w:ascii="楷体" w:hAnsi="楷体" w:eastAsia="楷体" w:cs="楷体"/>
          <w:b w:val="0"/>
          <w:bCs/>
          <w:color w:val="auto"/>
          <w:kern w:val="0"/>
          <w:sz w:val="36"/>
          <w:szCs w:val="36"/>
          <w:u w:val="none"/>
          <w:shd w:val="clear" w:color="auto" w:fill="FFFFFF"/>
          <w:lang w:val="en-US" w:eastAsia="zh-CN" w:bidi="ar-SA"/>
        </w:rPr>
        <w:t>项目</w:t>
      </w:r>
    </w:p>
    <w:p>
      <w:pPr>
        <w:keepNext w:val="0"/>
        <w:keepLines w:val="0"/>
        <w:pageBreakBefore w:val="0"/>
        <w:widowControl w:val="0"/>
        <w:shd w:val="clear"/>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color w:val="auto"/>
          <w:sz w:val="36"/>
          <w:szCs w:val="36"/>
          <w:u w:val="none"/>
          <w:shd w:val="clear" w:color="auto" w:fill="FFFFFF"/>
        </w:rPr>
      </w:pPr>
      <w:r>
        <w:rPr>
          <w:rFonts w:hint="eastAsia" w:ascii="仿宋" w:hAnsi="仿宋" w:eastAsia="仿宋" w:cs="仿宋"/>
          <w:color w:val="auto"/>
          <w:sz w:val="36"/>
          <w:szCs w:val="36"/>
          <w:u w:val="none"/>
          <w:shd w:val="clear" w:color="auto"/>
        </w:rPr>
        <w:t>根据</w:t>
      </w:r>
      <w:r>
        <w:rPr>
          <w:rFonts w:hint="eastAsia" w:ascii="仿宋" w:hAnsi="仿宋" w:eastAsia="仿宋" w:cs="仿宋"/>
          <w:color w:val="auto"/>
          <w:sz w:val="36"/>
          <w:szCs w:val="36"/>
          <w:u w:val="none"/>
          <w:shd w:val="clear" w:color="auto"/>
          <w:lang w:eastAsia="zh-CN"/>
        </w:rPr>
        <w:t>实施主体在试点建设期内</w:t>
      </w:r>
      <w:r>
        <w:rPr>
          <w:rFonts w:hint="eastAsia" w:ascii="仿宋" w:hAnsi="仿宋" w:eastAsia="仿宋" w:cs="仿宋"/>
          <w:color w:val="auto"/>
          <w:sz w:val="36"/>
          <w:szCs w:val="36"/>
          <w:u w:val="none"/>
          <w:shd w:val="clear" w:color="auto"/>
        </w:rPr>
        <w:t>项目建设内容和实际有效投资</w:t>
      </w:r>
      <w:r>
        <w:rPr>
          <w:rFonts w:hint="eastAsia" w:ascii="仿宋" w:hAnsi="仿宋" w:eastAsia="仿宋" w:cs="仿宋"/>
          <w:color w:val="auto"/>
          <w:sz w:val="36"/>
          <w:szCs w:val="36"/>
          <w:u w:val="none"/>
          <w:shd w:val="clear" w:color="auto"/>
          <w:lang w:eastAsia="zh-CN"/>
        </w:rPr>
        <w:t>（投入）</w:t>
      </w:r>
      <w:r>
        <w:rPr>
          <w:rFonts w:hint="eastAsia" w:ascii="仿宋" w:hAnsi="仿宋" w:eastAsia="仿宋" w:cs="仿宋"/>
          <w:color w:val="auto"/>
          <w:sz w:val="36"/>
          <w:szCs w:val="36"/>
          <w:u w:val="none"/>
          <w:shd w:val="clear" w:color="auto"/>
        </w:rPr>
        <w:t>额进行</w:t>
      </w:r>
      <w:r>
        <w:rPr>
          <w:rFonts w:hint="eastAsia" w:ascii="仿宋" w:hAnsi="仿宋" w:eastAsia="仿宋" w:cs="仿宋"/>
          <w:color w:val="auto"/>
          <w:sz w:val="36"/>
          <w:szCs w:val="36"/>
          <w:u w:val="none"/>
          <w:shd w:val="clear" w:color="auto"/>
          <w:lang w:eastAsia="zh-CN"/>
        </w:rPr>
        <w:t>补助</w:t>
      </w:r>
      <w:r>
        <w:rPr>
          <w:rFonts w:hint="eastAsia" w:ascii="仿宋" w:hAnsi="仿宋" w:eastAsia="仿宋" w:cs="仿宋"/>
          <w:color w:val="auto"/>
          <w:sz w:val="36"/>
          <w:szCs w:val="36"/>
          <w:u w:val="none"/>
          <w:shd w:val="clear" w:color="auto"/>
        </w:rPr>
        <w:t>。</w:t>
      </w:r>
      <w:r>
        <w:rPr>
          <w:rFonts w:hint="eastAsia" w:ascii="仿宋" w:hAnsi="仿宋" w:eastAsia="仿宋" w:cs="仿宋"/>
          <w:color w:val="auto"/>
          <w:sz w:val="36"/>
          <w:szCs w:val="36"/>
          <w:u w:val="none"/>
          <w:shd w:val="clear"/>
          <w:lang w:val="en-US" w:eastAsia="zh-CN"/>
        </w:rPr>
        <w:t>原则上单个项目的有效投资</w:t>
      </w:r>
      <w:r>
        <w:rPr>
          <w:rFonts w:hint="eastAsia" w:ascii="仿宋" w:hAnsi="仿宋" w:eastAsia="仿宋" w:cs="仿宋"/>
          <w:color w:val="auto"/>
          <w:sz w:val="36"/>
          <w:szCs w:val="36"/>
          <w:highlight w:val="none"/>
          <w:u w:val="none"/>
          <w:shd w:val="clear"/>
          <w:lang w:val="en-US" w:eastAsia="zh-CN"/>
        </w:rPr>
        <w:t>额不低于100万元，支持比例按实际有效投资额的40%（具有公共属性的促进消费项目不超过40%）进行</w:t>
      </w:r>
      <w:r>
        <w:rPr>
          <w:rFonts w:hint="eastAsia" w:ascii="仿宋" w:hAnsi="仿宋" w:eastAsia="仿宋" w:cs="仿宋"/>
          <w:color w:val="auto"/>
          <w:sz w:val="36"/>
          <w:szCs w:val="36"/>
          <w:u w:val="none"/>
          <w:shd w:val="clear" w:color="auto"/>
          <w:lang w:eastAsia="zh-CN"/>
        </w:rPr>
        <w:t>补助</w:t>
      </w:r>
      <w:r>
        <w:rPr>
          <w:rFonts w:hint="eastAsia" w:ascii="仿宋" w:hAnsi="仿宋" w:eastAsia="仿宋" w:cs="仿宋"/>
          <w:color w:val="auto"/>
          <w:sz w:val="36"/>
          <w:szCs w:val="36"/>
          <w:highlight w:val="none"/>
          <w:u w:val="none"/>
          <w:shd w:val="clear"/>
          <w:lang w:val="en-US" w:eastAsia="zh-CN"/>
        </w:rPr>
        <w:t>，单个项目支持金额最高不超过2000万元。</w:t>
      </w:r>
      <w:r>
        <w:rPr>
          <w:rFonts w:hint="eastAsia" w:ascii="仿宋" w:hAnsi="仿宋" w:eastAsia="仿宋" w:cs="仿宋"/>
          <w:color w:val="auto"/>
          <w:sz w:val="36"/>
          <w:szCs w:val="36"/>
          <w:u w:val="none"/>
          <w:shd w:val="clear" w:color="auto"/>
        </w:rPr>
        <w:t>若项目分期建设，</w:t>
      </w:r>
      <w:r>
        <w:rPr>
          <w:rFonts w:hint="eastAsia" w:ascii="仿宋" w:hAnsi="仿宋" w:eastAsia="仿宋" w:cs="仿宋"/>
          <w:color w:val="auto"/>
          <w:sz w:val="36"/>
          <w:szCs w:val="36"/>
          <w:u w:val="none"/>
          <w:shd w:val="clear" w:color="auto"/>
          <w:lang w:eastAsia="zh-CN"/>
        </w:rPr>
        <w:t>项目单位</w:t>
      </w:r>
      <w:r>
        <w:rPr>
          <w:rFonts w:hint="eastAsia" w:ascii="仿宋" w:hAnsi="仿宋" w:eastAsia="仿宋" w:cs="仿宋"/>
          <w:color w:val="auto"/>
          <w:sz w:val="36"/>
          <w:szCs w:val="36"/>
          <w:highlight w:val="none"/>
          <w:u w:val="none"/>
          <w:shd w:val="clear" w:color="auto"/>
          <w:lang w:val="en-US" w:eastAsia="zh-CN"/>
        </w:rPr>
        <w:t>需分期备案</w:t>
      </w:r>
      <w:r>
        <w:rPr>
          <w:rFonts w:hint="eastAsia" w:ascii="仿宋" w:hAnsi="仿宋" w:eastAsia="仿宋" w:cs="仿宋"/>
          <w:color w:val="auto"/>
          <w:sz w:val="36"/>
          <w:szCs w:val="36"/>
          <w:u w:val="none"/>
          <w:shd w:val="clear" w:color="auto"/>
        </w:rPr>
        <w:t>、分期实施、分</w:t>
      </w:r>
      <w:r>
        <w:rPr>
          <w:rFonts w:hint="eastAsia" w:ascii="仿宋" w:hAnsi="仿宋" w:eastAsia="仿宋" w:cs="仿宋"/>
          <w:color w:val="auto"/>
          <w:sz w:val="36"/>
          <w:szCs w:val="36"/>
          <w:u w:val="none"/>
          <w:shd w:val="clear" w:color="auto"/>
          <w:lang w:val="en-US" w:eastAsia="zh-CN"/>
        </w:rPr>
        <w:t>期</w:t>
      </w:r>
      <w:r>
        <w:rPr>
          <w:rFonts w:hint="eastAsia" w:ascii="仿宋" w:hAnsi="仿宋" w:eastAsia="仿宋" w:cs="仿宋"/>
          <w:color w:val="auto"/>
          <w:sz w:val="36"/>
          <w:szCs w:val="36"/>
          <w:u w:val="none"/>
          <w:shd w:val="clear" w:color="auto"/>
          <w:lang w:eastAsia="zh-CN"/>
        </w:rPr>
        <w:t>申请</w:t>
      </w:r>
      <w:r>
        <w:rPr>
          <w:rFonts w:hint="eastAsia" w:ascii="仿宋" w:hAnsi="仿宋" w:eastAsia="仿宋" w:cs="仿宋"/>
          <w:color w:val="auto"/>
          <w:sz w:val="36"/>
          <w:szCs w:val="36"/>
          <w:u w:val="none"/>
          <w:shd w:val="clear" w:color="auto"/>
        </w:rPr>
        <w:t>验收。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outlineLvl w:val="2"/>
        <w:rPr>
          <w:rFonts w:hint="eastAsia" w:ascii="楷体" w:hAnsi="楷体" w:eastAsia="楷体" w:cs="楷体"/>
          <w:b w:val="0"/>
          <w:bCs/>
          <w:color w:val="auto"/>
          <w:kern w:val="0"/>
          <w:sz w:val="36"/>
          <w:szCs w:val="36"/>
          <w:u w:val="none"/>
          <w:shd w:val="clear" w:color="auto" w:fill="FFFFFF"/>
          <w:lang w:val="en-US" w:eastAsia="zh-CN" w:bidi="ar-SA"/>
        </w:rPr>
      </w:pPr>
      <w:bookmarkStart w:id="3" w:name="_Toc4475"/>
      <w:r>
        <w:rPr>
          <w:rFonts w:hint="eastAsia" w:ascii="楷体" w:hAnsi="楷体" w:eastAsia="楷体" w:cs="楷体"/>
          <w:b w:val="0"/>
          <w:bCs/>
          <w:color w:val="auto"/>
          <w:kern w:val="0"/>
          <w:sz w:val="36"/>
          <w:szCs w:val="36"/>
          <w:u w:val="none"/>
          <w:shd w:val="clear" w:color="auto" w:fill="FFFFFF"/>
          <w:lang w:val="en-US" w:eastAsia="zh-CN" w:bidi="ar-SA"/>
        </w:rPr>
        <w:t>（二）一次性奖励类</w:t>
      </w:r>
      <w:bookmarkEnd w:id="3"/>
      <w:r>
        <w:rPr>
          <w:rFonts w:hint="eastAsia" w:ascii="楷体" w:hAnsi="楷体" w:eastAsia="楷体" w:cs="楷体"/>
          <w:b w:val="0"/>
          <w:bCs/>
          <w:color w:val="auto"/>
          <w:kern w:val="0"/>
          <w:sz w:val="36"/>
          <w:szCs w:val="36"/>
          <w:u w:val="none"/>
          <w:shd w:val="clear" w:color="auto" w:fill="FFFFFF"/>
          <w:lang w:val="en-US" w:eastAsia="zh-CN" w:bidi="ar-SA"/>
        </w:rPr>
        <w:t>项目</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color w:val="auto"/>
          <w:sz w:val="36"/>
          <w:szCs w:val="36"/>
          <w:u w:val="none"/>
          <w:lang w:val="en-US" w:eastAsia="zh-CN"/>
        </w:rPr>
      </w:pPr>
      <w:r>
        <w:rPr>
          <w:rFonts w:hint="eastAsia" w:ascii="仿宋" w:hAnsi="仿宋" w:eastAsia="仿宋" w:cs="仿宋"/>
          <w:color w:val="auto"/>
          <w:sz w:val="36"/>
          <w:szCs w:val="36"/>
          <w:u w:val="none"/>
          <w:shd w:val="clear" w:color="auto" w:fill="FFFFFF"/>
        </w:rPr>
        <w:t>一次性奖励类项目</w:t>
      </w:r>
      <w:r>
        <w:rPr>
          <w:rFonts w:hint="eastAsia" w:ascii="仿宋" w:hAnsi="仿宋" w:eastAsia="仿宋" w:cs="仿宋"/>
          <w:color w:val="auto"/>
          <w:sz w:val="36"/>
          <w:szCs w:val="36"/>
          <w:u w:val="none"/>
          <w:shd w:val="clear" w:color="auto" w:fill="FFFFFF"/>
          <w:lang w:eastAsia="zh-CN"/>
        </w:rPr>
        <w:t>，</w:t>
      </w:r>
      <w:r>
        <w:rPr>
          <w:rFonts w:hint="eastAsia" w:ascii="仿宋" w:hAnsi="仿宋" w:eastAsia="仿宋" w:cs="仿宋"/>
          <w:color w:val="auto"/>
          <w:sz w:val="36"/>
          <w:szCs w:val="36"/>
          <w:u w:val="none"/>
          <w:lang w:val="en-US" w:eastAsia="zh-CN"/>
        </w:rPr>
        <w:t>根据不同支持内容、支持条件，单个项目不超过其项目总投入的40%、最高不超过200万元进行分类奖励（支持标准详见表格）。</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outlineLvl w:val="2"/>
        <w:rPr>
          <w:rFonts w:hint="eastAsia" w:ascii="楷体" w:hAnsi="楷体" w:eastAsia="楷体" w:cs="楷体"/>
          <w:b w:val="0"/>
          <w:bCs/>
          <w:color w:val="auto"/>
          <w:kern w:val="0"/>
          <w:sz w:val="36"/>
          <w:szCs w:val="36"/>
          <w:u w:val="none"/>
          <w:shd w:val="clear" w:color="auto" w:fill="FFFFFF"/>
          <w:lang w:val="en-US" w:eastAsia="zh-CN" w:bidi="ar-SA"/>
        </w:rPr>
      </w:pPr>
      <w:bookmarkStart w:id="4" w:name="_Toc11800"/>
      <w:r>
        <w:rPr>
          <w:rFonts w:hint="eastAsia" w:ascii="楷体" w:hAnsi="楷体" w:eastAsia="楷体" w:cs="楷体"/>
          <w:b w:val="0"/>
          <w:bCs/>
          <w:color w:val="auto"/>
          <w:kern w:val="0"/>
          <w:sz w:val="36"/>
          <w:szCs w:val="36"/>
          <w:u w:val="none"/>
          <w:shd w:val="clear" w:color="auto" w:fill="FFFFFF"/>
          <w:lang w:val="en-US" w:eastAsia="zh-CN" w:bidi="ar-SA"/>
        </w:rPr>
        <w:t>（三）单方向和多方向申报</w:t>
      </w:r>
      <w:bookmarkEnd w:id="4"/>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eastAsia" w:ascii="仿宋" w:hAnsi="仿宋" w:eastAsia="仿宋" w:cs="仿宋"/>
          <w:color w:val="auto"/>
          <w:sz w:val="36"/>
          <w:szCs w:val="36"/>
          <w:u w:val="none"/>
          <w:lang w:val="en-US" w:eastAsia="zh-CN"/>
        </w:rPr>
      </w:pPr>
      <w:r>
        <w:rPr>
          <w:rFonts w:hint="eastAsia" w:ascii="仿宋" w:hAnsi="仿宋" w:eastAsia="仿宋" w:cs="仿宋"/>
          <w:color w:val="auto"/>
          <w:sz w:val="36"/>
          <w:szCs w:val="36"/>
          <w:u w:val="none"/>
          <w:shd w:val="clear" w:color="auto" w:fill="FFFFFF"/>
        </w:rPr>
        <w:t>申报</w:t>
      </w:r>
      <w:r>
        <w:rPr>
          <w:rFonts w:hint="eastAsia" w:ascii="仿宋" w:hAnsi="仿宋" w:eastAsia="仿宋" w:cs="仿宋"/>
          <w:color w:val="auto"/>
          <w:sz w:val="36"/>
          <w:szCs w:val="36"/>
          <w:u w:val="none"/>
          <w:shd w:val="clear" w:color="auto" w:fill="FFFFFF"/>
          <w:lang w:eastAsia="zh-CN"/>
        </w:rPr>
        <w:t>项目</w:t>
      </w:r>
      <w:r>
        <w:rPr>
          <w:rFonts w:hint="eastAsia" w:ascii="仿宋" w:hAnsi="仿宋" w:eastAsia="仿宋" w:cs="仿宋"/>
          <w:color w:val="auto"/>
          <w:sz w:val="36"/>
          <w:szCs w:val="36"/>
          <w:u w:val="none"/>
          <w:shd w:val="clear" w:color="auto" w:fill="FFFFFF"/>
        </w:rPr>
        <w:t>涉及多</w:t>
      </w:r>
      <w:r>
        <w:rPr>
          <w:rFonts w:hint="eastAsia" w:ascii="仿宋" w:hAnsi="仿宋" w:eastAsia="仿宋" w:cs="仿宋"/>
          <w:color w:val="auto"/>
          <w:sz w:val="36"/>
          <w:szCs w:val="36"/>
          <w:u w:val="none"/>
          <w:shd w:val="clear" w:color="auto" w:fill="FFFFFF"/>
          <w:lang w:eastAsia="zh-CN"/>
        </w:rPr>
        <w:t>个</w:t>
      </w:r>
      <w:r>
        <w:rPr>
          <w:rFonts w:hint="eastAsia" w:ascii="仿宋" w:hAnsi="仿宋" w:eastAsia="仿宋" w:cs="仿宋"/>
          <w:color w:val="auto"/>
          <w:sz w:val="36"/>
          <w:szCs w:val="36"/>
          <w:u w:val="none"/>
          <w:shd w:val="clear" w:color="auto" w:fill="FFFFFF"/>
        </w:rPr>
        <w:t>建设</w:t>
      </w:r>
      <w:r>
        <w:rPr>
          <w:rFonts w:hint="eastAsia" w:ascii="仿宋" w:hAnsi="仿宋" w:eastAsia="仿宋" w:cs="仿宋"/>
          <w:color w:val="auto"/>
          <w:sz w:val="36"/>
          <w:szCs w:val="36"/>
          <w:u w:val="none"/>
          <w:shd w:val="clear" w:color="auto" w:fill="FFFFFF"/>
          <w:lang w:eastAsia="zh-CN"/>
        </w:rPr>
        <w:t>方向及内容</w:t>
      </w:r>
      <w:r>
        <w:rPr>
          <w:rFonts w:hint="eastAsia" w:ascii="仿宋" w:hAnsi="仿宋" w:eastAsia="仿宋" w:cs="仿宋"/>
          <w:color w:val="auto"/>
          <w:sz w:val="36"/>
          <w:szCs w:val="36"/>
          <w:u w:val="none"/>
          <w:shd w:val="clear" w:color="auto" w:fill="FFFFFF"/>
        </w:rPr>
        <w:t>的，可按</w:t>
      </w:r>
      <w:r>
        <w:rPr>
          <w:rFonts w:hint="eastAsia" w:ascii="仿宋" w:hAnsi="仿宋" w:eastAsia="仿宋" w:cs="仿宋"/>
          <w:color w:val="auto"/>
          <w:sz w:val="36"/>
          <w:szCs w:val="36"/>
          <w:u w:val="none"/>
          <w:shd w:val="clear" w:color="auto" w:fill="FFFFFF"/>
          <w:lang w:eastAsia="zh-CN"/>
        </w:rPr>
        <w:t>支持标准最高</w:t>
      </w:r>
      <w:r>
        <w:rPr>
          <w:rFonts w:hint="eastAsia" w:ascii="仿宋" w:hAnsi="仿宋" w:eastAsia="仿宋" w:cs="仿宋"/>
          <w:color w:val="auto"/>
          <w:sz w:val="36"/>
          <w:szCs w:val="36"/>
          <w:u w:val="none"/>
          <w:shd w:val="clear" w:color="auto" w:fill="FFFFFF"/>
        </w:rPr>
        <w:t>为主方向申报，</w:t>
      </w:r>
      <w:r>
        <w:rPr>
          <w:rFonts w:hint="eastAsia" w:ascii="仿宋" w:hAnsi="仿宋" w:eastAsia="仿宋" w:cs="仿宋"/>
          <w:color w:val="auto"/>
          <w:sz w:val="36"/>
          <w:szCs w:val="36"/>
          <w:highlight w:val="none"/>
          <w:u w:val="none"/>
          <w:shd w:val="clear" w:color="auto" w:fill="FFFFFF"/>
          <w:lang w:eastAsia="zh-CN"/>
        </w:rPr>
        <w:t>并以主申报</w:t>
      </w:r>
      <w:r>
        <w:rPr>
          <w:rFonts w:hint="eastAsia" w:ascii="仿宋" w:hAnsi="仿宋" w:eastAsia="仿宋" w:cs="仿宋"/>
          <w:color w:val="auto"/>
          <w:sz w:val="36"/>
          <w:szCs w:val="36"/>
          <w:highlight w:val="none"/>
          <w:u w:val="none"/>
          <w:shd w:val="clear" w:color="auto" w:fill="FFFFFF"/>
        </w:rPr>
        <w:t>方向</w:t>
      </w:r>
      <w:r>
        <w:rPr>
          <w:rFonts w:hint="eastAsia" w:ascii="仿宋" w:hAnsi="仿宋" w:eastAsia="仿宋" w:cs="仿宋"/>
          <w:color w:val="auto"/>
          <w:sz w:val="36"/>
          <w:szCs w:val="36"/>
          <w:highlight w:val="none"/>
          <w:u w:val="none"/>
          <w:shd w:val="clear" w:color="auto" w:fill="FFFFFF"/>
          <w:lang w:eastAsia="zh-CN"/>
        </w:rPr>
        <w:t>进</w:t>
      </w:r>
      <w:r>
        <w:rPr>
          <w:rFonts w:hint="eastAsia" w:ascii="仿宋" w:hAnsi="仿宋" w:eastAsia="仿宋" w:cs="仿宋"/>
          <w:color w:val="auto"/>
          <w:sz w:val="36"/>
          <w:szCs w:val="36"/>
          <w:u w:val="none"/>
          <w:shd w:val="clear" w:color="auto" w:fill="FFFFFF"/>
          <w:lang w:eastAsia="zh-CN"/>
        </w:rPr>
        <w:t>行绩效考核</w:t>
      </w:r>
      <w:r>
        <w:rPr>
          <w:rFonts w:hint="eastAsia" w:ascii="仿宋" w:hAnsi="仿宋" w:eastAsia="仿宋" w:cs="仿宋"/>
          <w:color w:val="auto"/>
          <w:sz w:val="36"/>
          <w:szCs w:val="36"/>
          <w:u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九</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 不予支持内容。</w:t>
      </w:r>
      <w:r>
        <w:rPr>
          <w:rFonts w:hint="eastAsia" w:ascii="Times New Roman" w:hAnsi="Times New Roman" w:eastAsia="仿宋_GB2312" w:cs="Times New Roman"/>
          <w:color w:val="auto"/>
          <w:sz w:val="36"/>
          <w:szCs w:val="36"/>
          <w:highlight w:val="none"/>
          <w:u w:val="none"/>
          <w:lang w:val="en-US" w:eastAsia="zh-CN"/>
        </w:rPr>
        <w:t>专</w:t>
      </w:r>
      <w:r>
        <w:rPr>
          <w:rFonts w:hint="eastAsia" w:ascii="Times New Roman" w:hAnsi="Times New Roman" w:eastAsia="仿宋_GB2312" w:cs="Times New Roman"/>
          <w:color w:val="auto"/>
          <w:sz w:val="36"/>
          <w:szCs w:val="36"/>
          <w:highlight w:val="none"/>
          <w:u w:val="none"/>
          <w:lang w:eastAsia="zh-CN"/>
        </w:rPr>
        <w:t>项资金不得支持财政部、商务部有关《通知》明确的负面清单事项、项目和内容。</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（一）综合性要求</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1.</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不支持故意拆分的项目（将本属于同一建设方向及内容的项目拆分成多个项目申报的）。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2.</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不支持</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 xml:space="preserve"> </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2025</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年</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9</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月</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30</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日（含当日）前及</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2027</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年</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6</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月</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30</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日（不含当日）后投入营业使用的项目；</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2025</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年</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9</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月</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30</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日（含当日）前及</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2027</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年</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6</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月</w:t>
      </w:r>
      <w:r>
        <w:rPr>
          <w:rFonts w:hint="default" w:ascii="仿宋" w:hAnsi="仿宋" w:eastAsia="仿宋" w:cs="仿宋"/>
          <w:i w:val="0"/>
          <w:iCs w:val="0"/>
          <w:caps w:val="0"/>
          <w:color w:val="auto"/>
          <w:spacing w:val="-2"/>
          <w:kern w:val="0"/>
          <w:sz w:val="36"/>
          <w:szCs w:val="36"/>
          <w:highlight w:val="none"/>
          <w:u w:val="none"/>
          <w:shd w:val="clear" w:color="auto" w:fill="FFFFFF"/>
          <w:lang w:val="en-US" w:eastAsia="zh-CN" w:bidi="ar"/>
        </w:rPr>
        <w:t>30</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 xml:space="preserve">日（不含当日）后发生的投资额。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3.</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新建、扩建基础设施，不支持新建商业综合体以及各类古镇、纪念馆、博物馆等设施建设，不支持一般性装修（即非专门服务于申报项目效果体现、优化提升等的基础性装修）；不支持政府部门主办、承办的活动。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4.</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土建工程建设，包括土地开发、征地拆迁、土地购置等各项开支，建筑物相关勘测、设计、评估以及土方开挖、基础浇筑、墙体砌筑、扩建、新建办公楼、宿舍楼、政府性楼堂馆所等明令禁止的基础设施项目。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5.</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不支持事业单位信息系统建设维护、养老院和病房建设等与支持方向无关的领域。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6.</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不支持免费的纯公益项目。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7.</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不支持党政机关主办、承办或承担部分活动费用的展会、节庆、论坛活动；不支持支付罚款、赞助、偿还债务以及财政补助单位人员经费和工作经费等。</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8.</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近三年已获得中央财政资金（含超长期特别国债）、地方政府专项债支持或正在申报其他中央财政资金支持的项目（申请一次性奖励的项目除外）；近三年已获得省、市级财政资金支持的项目，可予以支持，但同一项目获得的各级财政奖补资金累计总额不得超过本办法规定的补助上限；同一项目地址确有建设内容独立、可明确区分的新投入营业项目，可视为新项目支持。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9.</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 xml:space="preserve">不支持在经营活动中存在重大违法违规、重大安全隐患、严重信用不良、财务风险巨大（经营资金链断裂、账户被冻结、拖欠政府应缴纳的税金、资产负债率过高等）的项目。 </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default"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i w:val="0"/>
          <w:iCs w:val="0"/>
          <w:caps w:val="0"/>
          <w:color w:val="auto"/>
          <w:spacing w:val="-2"/>
          <w:kern w:val="0"/>
          <w:sz w:val="36"/>
          <w:szCs w:val="36"/>
          <w:u w:val="none"/>
          <w:shd w:val="clear" w:color="auto" w:fill="FFFFFF"/>
          <w:lang w:val="en-US" w:eastAsia="zh-CN" w:bidi="ar"/>
        </w:rPr>
        <w:t>10.</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不支持不符合财政部、商务部后续文件等相关要求的项目。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创新多元化服务消费场景方面</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1.不支持单一传统业态的项目。</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2.不支持政府或企业发放消费券、优惠补贴、宣传推广等投入。</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3.不支持企业举办的促销推广活动。</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4.不支持无消费内容或免费开放的项目。</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5.不支持仅短期开展的活动或临时性搭建的消费场景。</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6.不支持单纯商品消费的项目，如传统购物型超市、汽车加油或充电站等。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健全首发经济服务体系方面</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1.拟支持项目应至少属于</w:t>
      </w:r>
      <w:r>
        <w:rPr>
          <w:rFonts w:hint="eastAsia" w:ascii="仿宋" w:hAnsi="仿宋" w:eastAsia="仿宋" w:cs="仿宋"/>
          <w:i w:val="0"/>
          <w:iCs w:val="0"/>
          <w:caps w:val="0"/>
          <w:color w:val="auto"/>
          <w:spacing w:val="-2"/>
          <w:kern w:val="0"/>
          <w:sz w:val="36"/>
          <w:szCs w:val="36"/>
          <w:highlight w:val="none"/>
          <w:u w:val="none"/>
          <w:shd w:val="clear" w:color="auto" w:fill="FFFFFF"/>
          <w:lang w:val="en-US" w:eastAsia="zh-CN" w:bidi="ar"/>
        </w:rPr>
        <w:t>贵阳市范围内的首</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发，各区县（市）、园区内辖区范围的首发项目不予支持。</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2.不支持侵犯知识产权或造成其他不良社会影响的首发项目。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优质消费资源与知名IP跨界联名方面</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1.不支持与社会主义核心价值观不符的IP消费场景。</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2.不支持渲染负面或不良情绪的IP消费场景。</w:t>
      </w:r>
    </w:p>
    <w:p>
      <w:pPr>
        <w:keepNext w:val="0"/>
        <w:keepLines w:val="0"/>
        <w:pageBreakBefore w:val="0"/>
        <w:widowControl w:val="0"/>
        <w:kinsoku/>
        <w:wordWrap/>
        <w:overflowPunct/>
        <w:topLinePunct w:val="0"/>
        <w:autoSpaceDE/>
        <w:autoSpaceDN/>
        <w:bidi w:val="0"/>
        <w:adjustRightInd/>
        <w:snapToGrid/>
        <w:spacing w:line="600" w:lineRule="exact"/>
        <w:ind w:firstLine="712" w:firstLineChars="200"/>
        <w:textAlignment w:val="auto"/>
        <w:rPr>
          <w:rFonts w:hint="eastAsia" w:ascii="仿宋" w:hAnsi="仿宋" w:eastAsia="仿宋" w:cs="仿宋"/>
          <w:i w:val="0"/>
          <w:iCs w:val="0"/>
          <w:caps w:val="0"/>
          <w:color w:val="auto"/>
          <w:spacing w:val="-2"/>
          <w:kern w:val="0"/>
          <w:sz w:val="36"/>
          <w:szCs w:val="36"/>
          <w:u w:val="none"/>
          <w:shd w:val="clear" w:color="auto" w:fill="FFFFFF"/>
          <w:lang w:val="en-US" w:eastAsia="zh-CN" w:bidi="ar"/>
        </w:rPr>
      </w:pPr>
      <w:r>
        <w:rPr>
          <w:rFonts w:hint="eastAsia" w:ascii="仿宋" w:hAnsi="仿宋" w:eastAsia="仿宋" w:cs="仿宋"/>
          <w:i w:val="0"/>
          <w:iCs w:val="0"/>
          <w:caps w:val="0"/>
          <w:color w:val="auto"/>
          <w:spacing w:val="-2"/>
          <w:kern w:val="0"/>
          <w:sz w:val="36"/>
          <w:szCs w:val="36"/>
          <w:u w:val="none"/>
          <w:shd w:val="clear" w:color="auto" w:fill="FFFFFF"/>
          <w:lang w:val="en-US" w:eastAsia="zh-CN" w:bidi="ar"/>
        </w:rPr>
        <w:t>3.不支持简单模仿、缺乏核心内涵等质量不高的IP消费场景。</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仿宋_GB2312" w:cs="Times New Roman"/>
          <w:color w:val="auto"/>
          <w:sz w:val="36"/>
          <w:szCs w:val="36"/>
          <w:highlight w:val="none"/>
          <w:u w:val="none"/>
          <w:lang w:eastAsia="zh-CN"/>
        </w:rPr>
      </w:pPr>
      <w:r>
        <w:rPr>
          <w:rFonts w:hint="eastAsia" w:ascii="Times New Roman" w:hAnsi="Times New Roman" w:eastAsia="仿宋_GB2312" w:cs="Times New Roman"/>
          <w:color w:val="auto"/>
          <w:sz w:val="36"/>
          <w:szCs w:val="36"/>
          <w:highlight w:val="none"/>
          <w:u w:val="none"/>
          <w:lang w:eastAsia="zh-CN"/>
        </w:rPr>
        <w:t>（</w:t>
      </w:r>
      <w:r>
        <w:rPr>
          <w:rFonts w:hint="eastAsia" w:ascii="Times New Roman" w:hAnsi="Times New Roman" w:eastAsia="仿宋_GB2312" w:cs="Times New Roman"/>
          <w:color w:val="auto"/>
          <w:sz w:val="36"/>
          <w:szCs w:val="36"/>
          <w:highlight w:val="none"/>
          <w:u w:val="none"/>
          <w:lang w:val="en-US" w:eastAsia="zh-CN"/>
        </w:rPr>
        <w:t>五</w:t>
      </w:r>
      <w:r>
        <w:rPr>
          <w:rFonts w:hint="eastAsia" w:ascii="Times New Roman" w:hAnsi="Times New Roman" w:eastAsia="仿宋_GB2312" w:cs="Times New Roman"/>
          <w:color w:val="auto"/>
          <w:sz w:val="36"/>
          <w:szCs w:val="36"/>
          <w:highlight w:val="none"/>
          <w:u w:val="none"/>
          <w:lang w:eastAsia="zh-CN"/>
        </w:rPr>
        <w:t>）其他不符合支持方向的项目。</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十</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贵阳市商务局组织第三方机构（专家）对申报项目内容和计划投资额进行评审，确定拟支持项目清单。按程序确定纳入支持范围的项目，由</w:t>
      </w:r>
      <w:r>
        <w:rPr>
          <w:rFonts w:hint="eastAsia" w:ascii="Times New Roman" w:hAnsi="Times New Roman" w:eastAsia="仿宋_GB2312" w:cs="Times New Roman"/>
          <w:color w:val="auto"/>
          <w:sz w:val="36"/>
          <w:szCs w:val="36"/>
          <w:highlight w:val="none"/>
          <w:u w:val="none"/>
          <w:lang w:eastAsia="zh-CN"/>
        </w:rPr>
        <w:t>贵阳市商务局、</w:t>
      </w:r>
      <w:r>
        <w:rPr>
          <w:rFonts w:ascii="Times New Roman" w:hAnsi="Times New Roman" w:eastAsia="仿宋_GB2312" w:cs="Times New Roman"/>
          <w:color w:val="auto"/>
          <w:sz w:val="36"/>
          <w:szCs w:val="36"/>
          <w:highlight w:val="none"/>
          <w:u w:val="none"/>
          <w:lang w:eastAsia="zh-CN"/>
        </w:rPr>
        <w:t>项目所在地的区（市、县）商务部门与项目建设主体签署奖补协议或项目任务书。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bCs/>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6"/>
          <w:szCs w:val="36"/>
          <w:highlight w:val="none"/>
          <w:u w:val="none"/>
          <w:lang w:eastAsia="zh-CN"/>
        </w:rPr>
      </w:pPr>
      <w:r>
        <w:rPr>
          <w:rFonts w:hint="eastAsia" w:ascii="黑体" w:hAnsi="黑体" w:eastAsia="黑体" w:cs="黑体"/>
          <w:b w:val="0"/>
          <w:bCs w:val="0"/>
          <w:color w:val="auto"/>
          <w:sz w:val="36"/>
          <w:szCs w:val="36"/>
          <w:highlight w:val="none"/>
          <w:u w:val="none"/>
          <w:lang w:eastAsia="zh-CN"/>
        </w:rPr>
        <w:t>第四章  资金拨付与清算</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hint="eastAsia" w:ascii="Times New Roman" w:hAnsi="Times New Roman" w:eastAsia="仿宋_GB2312" w:cs="Times New Roman"/>
          <w:color w:val="auto"/>
          <w:sz w:val="36"/>
          <w:szCs w:val="36"/>
          <w:highlight w:val="none"/>
          <w:u w:val="none"/>
          <w:lang w:val="en-US"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十一</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项目公示结束、奖补协议或项目任务书签订后。</w:t>
      </w:r>
      <w:r>
        <w:rPr>
          <w:rFonts w:hint="eastAsia" w:ascii="Times New Roman" w:hAnsi="Times New Roman" w:eastAsia="仿宋_GB2312" w:cs="Times New Roman"/>
          <w:color w:val="auto"/>
          <w:sz w:val="36"/>
          <w:szCs w:val="36"/>
          <w:highlight w:val="none"/>
          <w:u w:val="none"/>
          <w:lang w:eastAsia="zh-CN"/>
        </w:rPr>
        <w:t>项目</w:t>
      </w:r>
      <w:r>
        <w:rPr>
          <w:rFonts w:hint="eastAsia" w:ascii="Times New Roman" w:hAnsi="Times New Roman" w:eastAsia="仿宋_GB2312" w:cs="Times New Roman"/>
          <w:color w:val="auto"/>
          <w:sz w:val="36"/>
          <w:szCs w:val="36"/>
          <w:highlight w:val="none"/>
          <w:u w:val="none"/>
          <w:lang w:val="en-US" w:eastAsia="zh-CN"/>
        </w:rPr>
        <w:t>须在2025年10月1日至2027年6月30日内全面建成投入运行，</w:t>
      </w:r>
      <w:r>
        <w:rPr>
          <w:rFonts w:hint="eastAsia" w:ascii="Times New Roman" w:hAnsi="Times New Roman" w:eastAsia="仿宋_GB2312" w:cs="Times New Roman"/>
          <w:color w:val="auto"/>
          <w:sz w:val="36"/>
          <w:szCs w:val="36"/>
          <w:highlight w:val="none"/>
          <w:u w:val="none"/>
          <w:lang w:eastAsia="zh-CN"/>
        </w:rPr>
        <w:t>并通过验收</w:t>
      </w:r>
      <w:r>
        <w:rPr>
          <w:rFonts w:hint="eastAsia" w:ascii="Times New Roman" w:hAnsi="Times New Roman" w:eastAsia="仿宋_GB2312" w:cs="Times New Roman"/>
          <w:color w:val="auto"/>
          <w:sz w:val="36"/>
          <w:szCs w:val="36"/>
          <w:highlight w:val="none"/>
          <w:u w:val="none"/>
          <w:lang w:val="en-US" w:eastAsia="zh-CN"/>
        </w:rPr>
        <w:t>或达到绩效目标。投资类项目可按进度申请一次预拨款项，各关键节点的款项拨付标准为：项目进度达到50%，累计预拨款项最高可拨付经核定的投资有效总额的50%，剩余款项待项目最终验收合格后结算；项目进度达到75%，累计预拨款项最高可拨付经核定的投资有效总额的75%，剩余款项待项目最终验收合格后结算；项目进度达到100%，累计预拨款项最高可拨付经核定的投资有效总额的100%。如项目未验收通过，需要退回奖补资金，否则承诺承担一切法律后果。一次性奖励类项目需待最终验收合格后一次性拨付奖补资金。</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val="en-US" w:eastAsia="zh-CN"/>
        </w:rPr>
        <w:t>二</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补助资金采取</w:t>
      </w:r>
      <w:r>
        <w:rPr>
          <w:rFonts w:hint="eastAsia" w:ascii="Times New Roman" w:hAnsi="Times New Roman" w:eastAsia="仿宋_GB2312" w:cs="Times New Roman"/>
          <w:color w:val="auto"/>
          <w:sz w:val="36"/>
          <w:szCs w:val="36"/>
          <w:highlight w:val="none"/>
          <w:u w:val="none"/>
          <w:lang w:val="en-US" w:eastAsia="zh-CN"/>
        </w:rPr>
        <w:t>按关键节点预拨款项，剩余款项待项目最终验收合格后结算的付款机制</w:t>
      </w:r>
      <w:r>
        <w:rPr>
          <w:rFonts w:ascii="Times New Roman" w:hAnsi="Times New Roman" w:eastAsia="仿宋_GB2312" w:cs="Times New Roman"/>
          <w:color w:val="auto"/>
          <w:sz w:val="36"/>
          <w:szCs w:val="36"/>
          <w:highlight w:val="none"/>
          <w:u w:val="none"/>
          <w:lang w:eastAsia="zh-CN"/>
        </w:rPr>
        <w:t>。项目申报主体根据项目实际进度情况向区（市、县</w:t>
      </w:r>
      <w:r>
        <w:rPr>
          <w:rFonts w:hint="eastAsia" w:ascii="Times New Roman" w:hAnsi="Times New Roman" w:eastAsia="仿宋_GB2312" w:cs="Times New Roman"/>
          <w:color w:val="auto"/>
          <w:sz w:val="36"/>
          <w:szCs w:val="36"/>
          <w:highlight w:val="none"/>
          <w:u w:val="none"/>
          <w:lang w:eastAsia="zh-CN"/>
        </w:rPr>
        <w:t>、开发区含贵安新区</w:t>
      </w:r>
      <w:r>
        <w:rPr>
          <w:rFonts w:ascii="Times New Roman" w:hAnsi="Times New Roman" w:eastAsia="仿宋_GB2312" w:cs="Times New Roman"/>
          <w:color w:val="auto"/>
          <w:sz w:val="36"/>
          <w:szCs w:val="36"/>
          <w:highlight w:val="none"/>
          <w:u w:val="none"/>
          <w:lang w:eastAsia="zh-CN"/>
        </w:rPr>
        <w:t>）商务主管部门提出项目验收申请及相关投资完成、绩效目标完成印证材料，区（市、县</w:t>
      </w:r>
      <w:r>
        <w:rPr>
          <w:rFonts w:hint="eastAsia" w:ascii="Times New Roman" w:hAnsi="Times New Roman" w:eastAsia="仿宋_GB2312" w:cs="Times New Roman"/>
          <w:color w:val="auto"/>
          <w:sz w:val="36"/>
          <w:szCs w:val="36"/>
          <w:highlight w:val="none"/>
          <w:u w:val="none"/>
          <w:lang w:eastAsia="zh-CN"/>
        </w:rPr>
        <w:t>、开发区含贵安新区</w:t>
      </w:r>
      <w:r>
        <w:rPr>
          <w:rFonts w:ascii="Times New Roman" w:hAnsi="Times New Roman" w:eastAsia="仿宋_GB2312" w:cs="Times New Roman"/>
          <w:color w:val="auto"/>
          <w:sz w:val="36"/>
          <w:szCs w:val="36"/>
          <w:highlight w:val="none"/>
          <w:u w:val="none"/>
          <w:lang w:eastAsia="zh-CN"/>
        </w:rPr>
        <w:t>）商务主管部门应组织</w:t>
      </w:r>
      <w:r>
        <w:rPr>
          <w:rFonts w:hint="eastAsia" w:ascii="Times New Roman" w:hAnsi="Times New Roman" w:eastAsia="仿宋_GB2312" w:cs="Times New Roman"/>
          <w:color w:val="auto"/>
          <w:sz w:val="36"/>
          <w:szCs w:val="36"/>
          <w:highlight w:val="none"/>
          <w:u w:val="none"/>
          <w:lang w:eastAsia="zh-CN"/>
        </w:rPr>
        <w:t>相关</w:t>
      </w:r>
      <w:r>
        <w:rPr>
          <w:rFonts w:ascii="Times New Roman" w:hAnsi="Times New Roman" w:eastAsia="仿宋_GB2312" w:cs="Times New Roman"/>
          <w:color w:val="auto"/>
          <w:sz w:val="36"/>
          <w:szCs w:val="36"/>
          <w:highlight w:val="none"/>
          <w:u w:val="none"/>
          <w:lang w:eastAsia="zh-CN"/>
        </w:rPr>
        <w:t>人员赴实地严格按照项目经审核批准的建设内容、建设标准和相关验收要求进行逐项验收，并出具验收意见</w:t>
      </w:r>
      <w:r>
        <w:rPr>
          <w:rFonts w:hint="eastAsia" w:ascii="Times New Roman" w:hAnsi="Times New Roman" w:eastAsia="仿宋_GB2312" w:cs="Times New Roman"/>
          <w:color w:val="auto"/>
          <w:sz w:val="36"/>
          <w:szCs w:val="36"/>
          <w:highlight w:val="none"/>
          <w:u w:val="none"/>
          <w:lang w:eastAsia="zh-CN"/>
        </w:rPr>
        <w:t>。</w:t>
      </w:r>
      <w:r>
        <w:rPr>
          <w:rFonts w:ascii="Times New Roman" w:hAnsi="Times New Roman" w:eastAsia="仿宋_GB2312" w:cs="Times New Roman"/>
          <w:color w:val="auto"/>
          <w:sz w:val="36"/>
          <w:szCs w:val="36"/>
          <w:highlight w:val="none"/>
          <w:u w:val="none"/>
          <w:lang w:eastAsia="zh-CN"/>
        </w:rPr>
        <w:t>对通过验收确认的项目，由区（市、县</w:t>
      </w:r>
      <w:r>
        <w:rPr>
          <w:rFonts w:hint="eastAsia" w:ascii="Times New Roman" w:hAnsi="Times New Roman" w:eastAsia="仿宋_GB2312" w:cs="Times New Roman"/>
          <w:color w:val="auto"/>
          <w:sz w:val="36"/>
          <w:szCs w:val="36"/>
          <w:highlight w:val="none"/>
          <w:u w:val="none"/>
          <w:lang w:eastAsia="zh-CN"/>
        </w:rPr>
        <w:t>、开发区含贵安新区</w:t>
      </w:r>
      <w:r>
        <w:rPr>
          <w:rFonts w:ascii="Times New Roman" w:hAnsi="Times New Roman" w:eastAsia="仿宋_GB2312" w:cs="Times New Roman"/>
          <w:color w:val="auto"/>
          <w:sz w:val="36"/>
          <w:szCs w:val="36"/>
          <w:highlight w:val="none"/>
          <w:u w:val="none"/>
          <w:lang w:eastAsia="zh-CN"/>
        </w:rPr>
        <w:t>）商务主管部门</w:t>
      </w:r>
      <w:r>
        <w:rPr>
          <w:rFonts w:hint="eastAsia" w:ascii="Times New Roman" w:hAnsi="Times New Roman" w:eastAsia="仿宋_GB2312" w:cs="Times New Roman"/>
          <w:color w:val="auto"/>
          <w:sz w:val="36"/>
          <w:szCs w:val="36"/>
          <w:highlight w:val="none"/>
          <w:u w:val="none"/>
          <w:lang w:eastAsia="zh-CN"/>
        </w:rPr>
        <w:t>提出资金拨付申请报市商务局</w:t>
      </w:r>
      <w:r>
        <w:rPr>
          <w:rFonts w:ascii="Times New Roman" w:hAnsi="Times New Roman" w:eastAsia="仿宋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color w:val="auto"/>
          <w:sz w:val="36"/>
          <w:szCs w:val="36"/>
          <w:highlight w:val="none"/>
          <w:u w:val="none"/>
          <w:lang w:eastAsia="zh-CN"/>
        </w:rPr>
        <w:t>项目完工达到验收条件后，由项目单位提出验收申请，区（市、县</w:t>
      </w:r>
      <w:r>
        <w:rPr>
          <w:rFonts w:hint="eastAsia" w:ascii="Times New Roman" w:hAnsi="Times New Roman" w:eastAsia="仿宋_GB2312" w:cs="Times New Roman"/>
          <w:color w:val="auto"/>
          <w:sz w:val="36"/>
          <w:szCs w:val="36"/>
          <w:highlight w:val="none"/>
          <w:u w:val="none"/>
          <w:lang w:eastAsia="zh-CN"/>
        </w:rPr>
        <w:t>、开发区含贵安新区</w:t>
      </w:r>
      <w:r>
        <w:rPr>
          <w:rFonts w:ascii="Times New Roman" w:hAnsi="Times New Roman" w:eastAsia="仿宋_GB2312" w:cs="Times New Roman"/>
          <w:color w:val="auto"/>
          <w:sz w:val="36"/>
          <w:szCs w:val="36"/>
          <w:highlight w:val="none"/>
          <w:u w:val="none"/>
          <w:lang w:eastAsia="zh-CN"/>
        </w:rPr>
        <w:t>）商务主管部门应组织</w:t>
      </w:r>
      <w:r>
        <w:rPr>
          <w:rFonts w:hint="eastAsia" w:ascii="Times New Roman" w:hAnsi="Times New Roman" w:eastAsia="仿宋_GB2312" w:cs="Times New Roman"/>
          <w:color w:val="auto"/>
          <w:sz w:val="36"/>
          <w:szCs w:val="36"/>
          <w:highlight w:val="none"/>
          <w:u w:val="none"/>
          <w:lang w:eastAsia="zh-CN"/>
        </w:rPr>
        <w:t>相关</w:t>
      </w:r>
      <w:r>
        <w:rPr>
          <w:rFonts w:ascii="Times New Roman" w:hAnsi="Times New Roman" w:eastAsia="仿宋_GB2312" w:cs="Times New Roman"/>
          <w:color w:val="auto"/>
          <w:sz w:val="36"/>
          <w:szCs w:val="36"/>
          <w:highlight w:val="none"/>
          <w:u w:val="none"/>
          <w:lang w:eastAsia="zh-CN"/>
        </w:rPr>
        <w:t>人员赴实地严格按照项目经审核批准的建设内容、建设标准和相关验收要求进行逐项验收，出具项目竣工验收报告，报贵阳市商务局组织验收复核。对通过验收复核的项目，由区（市、县</w:t>
      </w:r>
      <w:r>
        <w:rPr>
          <w:rFonts w:hint="eastAsia" w:ascii="Times New Roman" w:hAnsi="Times New Roman" w:eastAsia="仿宋_GB2312" w:cs="Times New Roman"/>
          <w:color w:val="auto"/>
          <w:sz w:val="36"/>
          <w:szCs w:val="36"/>
          <w:highlight w:val="none"/>
          <w:u w:val="none"/>
          <w:lang w:eastAsia="zh-CN"/>
        </w:rPr>
        <w:t>、开发区含贵安新区</w:t>
      </w:r>
      <w:r>
        <w:rPr>
          <w:rFonts w:ascii="Times New Roman" w:hAnsi="Times New Roman" w:eastAsia="仿宋_GB2312" w:cs="Times New Roman"/>
          <w:color w:val="auto"/>
          <w:sz w:val="36"/>
          <w:szCs w:val="36"/>
          <w:highlight w:val="none"/>
          <w:u w:val="none"/>
          <w:lang w:eastAsia="zh-CN"/>
        </w:rPr>
        <w:t>）商务主管部门</w:t>
      </w:r>
      <w:r>
        <w:rPr>
          <w:rFonts w:hint="eastAsia" w:ascii="Times New Roman" w:hAnsi="Times New Roman" w:eastAsia="仿宋_GB2312" w:cs="Times New Roman"/>
          <w:color w:val="auto"/>
          <w:sz w:val="36"/>
          <w:szCs w:val="36"/>
          <w:highlight w:val="none"/>
          <w:u w:val="none"/>
          <w:lang w:eastAsia="zh-CN"/>
        </w:rPr>
        <w:t>提出资金拨付申请报市商务局</w:t>
      </w:r>
      <w:r>
        <w:rPr>
          <w:rFonts w:ascii="Times New Roman" w:hAnsi="Times New Roman" w:eastAsia="仿宋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b w:val="0"/>
          <w:bCs w:val="0"/>
          <w:color w:val="auto"/>
          <w:sz w:val="36"/>
          <w:szCs w:val="36"/>
          <w:highlight w:val="none"/>
          <w:u w:val="none"/>
          <w:lang w:eastAsia="zh-CN"/>
        </w:rPr>
      </w:pPr>
      <w:r>
        <w:rPr>
          <w:rFonts w:hint="eastAsia"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val="en-US" w:eastAsia="zh-CN"/>
        </w:rPr>
        <w:t>三</w:t>
      </w:r>
      <w:r>
        <w:rPr>
          <w:rFonts w:hint="eastAsia" w:ascii="Times New Roman" w:hAnsi="Times New Roman" w:eastAsia="仿宋_GB2312" w:cs="Times New Roman"/>
          <w:b/>
          <w:bCs/>
          <w:color w:val="auto"/>
          <w:sz w:val="36"/>
          <w:szCs w:val="36"/>
          <w:highlight w:val="none"/>
          <w:u w:val="none"/>
          <w:lang w:eastAsia="zh-CN"/>
        </w:rPr>
        <w:t>条</w:t>
      </w:r>
      <w:r>
        <w:rPr>
          <w:rFonts w:hint="eastAsia" w:ascii="Times New Roman" w:hAnsi="Times New Roman" w:eastAsia="仿宋_GB2312" w:cs="Times New Roman"/>
          <w:b w:val="0"/>
          <w:bCs w:val="0"/>
          <w:color w:val="auto"/>
          <w:sz w:val="36"/>
          <w:szCs w:val="36"/>
          <w:highlight w:val="none"/>
          <w:u w:val="none"/>
          <w:lang w:eastAsia="zh-CN"/>
        </w:rPr>
        <w:t xml:space="preserve"> </w:t>
      </w:r>
      <w:r>
        <w:rPr>
          <w:rFonts w:hint="eastAsia" w:ascii="Times New Roman" w:hAnsi="Times New Roman" w:eastAsia="仿宋_GB2312" w:cs="Times New Roman"/>
          <w:b w:val="0"/>
          <w:bCs w:val="0"/>
          <w:color w:val="auto"/>
          <w:sz w:val="36"/>
          <w:szCs w:val="36"/>
          <w:highlight w:val="none"/>
          <w:u w:val="none"/>
          <w:lang w:val="en-US" w:eastAsia="zh-CN"/>
        </w:rPr>
        <w:t>资金清算。</w:t>
      </w:r>
      <w:r>
        <w:rPr>
          <w:rFonts w:hint="eastAsia" w:ascii="Times New Roman" w:hAnsi="Times New Roman" w:eastAsia="仿宋_GB2312" w:cs="Times New Roman"/>
          <w:b w:val="0"/>
          <w:bCs w:val="0"/>
          <w:color w:val="auto"/>
          <w:sz w:val="36"/>
          <w:szCs w:val="36"/>
          <w:highlight w:val="none"/>
          <w:u w:val="none"/>
          <w:lang w:eastAsia="zh-CN"/>
        </w:rPr>
        <w:t>验收结束后，对于验收通过的项目，由市商务局报经市政府批准后，按照国库集中支付制度等有关规定办理资金拨付手续。对于中途变更、中止实施、未达预期目标等验收未通过的项目（除不可抗力因素造成的影响外），由市商务局提出整体资金清算意见，按程序报市政府审批，市财政局根据市政府批复文件精神，配合市商务局清算收回前期预拨资金。</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ascii="Times New Roman" w:hAnsi="Times New Roman" w:eastAsia="仿宋_GB2312" w:cs="Times New Roman"/>
          <w:color w:val="auto"/>
          <w:sz w:val="36"/>
          <w:szCs w:val="36"/>
          <w:highlight w:val="none"/>
          <w:u w:val="none"/>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第五章 绩效</w:t>
      </w:r>
      <w:r>
        <w:rPr>
          <w:rFonts w:hint="eastAsia" w:ascii="Times New Roman" w:hAnsi="Times New Roman" w:eastAsia="黑体" w:cs="Times New Roman"/>
          <w:color w:val="auto"/>
          <w:sz w:val="36"/>
          <w:szCs w:val="36"/>
          <w:highlight w:val="none"/>
          <w:u w:val="none"/>
          <w:lang w:val="en-US" w:eastAsia="zh-CN"/>
        </w:rPr>
        <w:t>评价</w:t>
      </w:r>
      <w:r>
        <w:rPr>
          <w:rFonts w:ascii="Times New Roman" w:hAnsi="Times New Roman" w:eastAsia="黑体" w:cs="Times New Roman"/>
          <w:color w:val="auto"/>
          <w:sz w:val="36"/>
          <w:szCs w:val="36"/>
          <w:highlight w:val="none"/>
          <w:u w:val="none"/>
          <w:lang w:eastAsia="zh-CN"/>
        </w:rPr>
        <w:t>和监督管理</w:t>
      </w:r>
    </w:p>
    <w:p>
      <w:pPr>
        <w:keepNext w:val="0"/>
        <w:keepLines w:val="0"/>
        <w:pageBreakBefore w:val="0"/>
        <w:widowControl w:val="0"/>
        <w:kinsoku/>
        <w:wordWrap/>
        <w:overflowPunct/>
        <w:topLinePunct w:val="0"/>
        <w:autoSpaceDE/>
        <w:autoSpaceDN/>
        <w:bidi w:val="0"/>
        <w:adjustRightInd/>
        <w:snapToGrid/>
        <w:spacing w:line="600" w:lineRule="exact"/>
        <w:ind w:firstLine="714" w:firstLineChars="200"/>
        <w:textAlignment w:val="auto"/>
        <w:rPr>
          <w:rFonts w:hint="default" w:ascii="仿宋" w:hAnsi="仿宋" w:eastAsia="仿宋" w:cs="仿宋"/>
          <w:i w:val="0"/>
          <w:iCs w:val="0"/>
          <w:caps w:val="0"/>
          <w:color w:val="auto"/>
          <w:spacing w:val="-2"/>
          <w:kern w:val="0"/>
          <w:sz w:val="36"/>
          <w:szCs w:val="36"/>
          <w:u w:val="none"/>
          <w:shd w:val="clear" w:color="auto" w:fill="FFFFFF"/>
          <w:lang w:val="en-US" w:eastAsia="zh-CN" w:bidi="ar"/>
        </w:rPr>
      </w:pPr>
      <w:r>
        <w:rPr>
          <w:rFonts w:hint="default" w:ascii="仿宋" w:hAnsi="仿宋" w:eastAsia="仿宋" w:cs="仿宋"/>
          <w:b/>
          <w:bCs/>
          <w:i w:val="0"/>
          <w:iCs w:val="0"/>
          <w:caps w:val="0"/>
          <w:color w:val="auto"/>
          <w:spacing w:val="-2"/>
          <w:kern w:val="0"/>
          <w:sz w:val="36"/>
          <w:szCs w:val="36"/>
          <w:u w:val="none"/>
          <w:shd w:val="clear" w:color="auto" w:fill="FFFFFF"/>
          <w:lang w:val="en-US" w:eastAsia="zh-CN" w:bidi="ar"/>
        </w:rPr>
        <w:t>第十</w:t>
      </w:r>
      <w:r>
        <w:rPr>
          <w:rFonts w:hint="eastAsia" w:ascii="仿宋" w:hAnsi="仿宋" w:eastAsia="仿宋" w:cs="仿宋"/>
          <w:b/>
          <w:bCs/>
          <w:i w:val="0"/>
          <w:iCs w:val="0"/>
          <w:caps w:val="0"/>
          <w:color w:val="auto"/>
          <w:spacing w:val="-2"/>
          <w:kern w:val="0"/>
          <w:sz w:val="36"/>
          <w:szCs w:val="36"/>
          <w:u w:val="none"/>
          <w:shd w:val="clear" w:color="auto" w:fill="FFFFFF"/>
          <w:lang w:val="en-US" w:eastAsia="zh-CN" w:bidi="ar"/>
        </w:rPr>
        <w:t>四</w:t>
      </w:r>
      <w:r>
        <w:rPr>
          <w:rFonts w:hint="default" w:ascii="仿宋" w:hAnsi="仿宋" w:eastAsia="仿宋" w:cs="仿宋"/>
          <w:b/>
          <w:bCs/>
          <w:i w:val="0"/>
          <w:iCs w:val="0"/>
          <w:caps w:val="0"/>
          <w:color w:val="auto"/>
          <w:spacing w:val="-2"/>
          <w:kern w:val="0"/>
          <w:sz w:val="36"/>
          <w:szCs w:val="36"/>
          <w:u w:val="none"/>
          <w:shd w:val="clear" w:color="auto" w:fill="FFFFFF"/>
          <w:lang w:val="en-US" w:eastAsia="zh-CN" w:bidi="ar"/>
        </w:rPr>
        <w:t>条</w:t>
      </w:r>
      <w:r>
        <w:rPr>
          <w:rFonts w:hint="default" w:ascii="仿宋" w:hAnsi="仿宋" w:eastAsia="仿宋" w:cs="仿宋"/>
          <w:i w:val="0"/>
          <w:iCs w:val="0"/>
          <w:caps w:val="0"/>
          <w:color w:val="auto"/>
          <w:spacing w:val="-2"/>
          <w:kern w:val="0"/>
          <w:sz w:val="36"/>
          <w:szCs w:val="36"/>
          <w:u w:val="none"/>
          <w:shd w:val="clear" w:color="auto" w:fill="FFFFFF"/>
          <w:lang w:val="en-US" w:eastAsia="zh-CN" w:bidi="ar"/>
        </w:rPr>
        <w:t xml:space="preserve"> </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绩效评价。项目单位须在申报时设定清晰、量化、可考核的绩效目标，并向各县（市）区、开发区商务部门提交《项目绩效目标表》。未按时提交或报告内容严重失实的，可追回已拨付资金。市商务局会同市财政局按照绩效目标，委托第三方机构实施绩效评价工作，对绩效评价过程中发现严重问题的项目，采取约谈、限期整改、收回资金等措施。</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val="en-US" w:eastAsia="zh-CN"/>
        </w:rPr>
        <w:t>五</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日常监督。</w:t>
      </w:r>
      <w:r>
        <w:rPr>
          <w:rFonts w:hint="eastAsia" w:ascii="Times New Roman" w:hAnsi="Times New Roman" w:eastAsia="仿宋_GB2312" w:cs="Times New Roman"/>
          <w:color w:val="auto"/>
          <w:sz w:val="36"/>
          <w:szCs w:val="36"/>
          <w:highlight w:val="none"/>
          <w:u w:val="none"/>
          <w:lang w:eastAsia="zh-CN"/>
        </w:rPr>
        <w:t>市区两级商务、财政部门要加强对项目进度和资金使用的监督管理。若发现申报单位违反规定使用专项资金、绩效目标发生偏离、项目发生重大调整或无法继续实施等情形，应立即停止专项资金拨付，并采取整改、变更、撤项、中止、收回已拨付资金等处理措施，及时防范和化解风险</w:t>
      </w:r>
      <w:r>
        <w:rPr>
          <w:rFonts w:ascii="Times New Roman" w:hAnsi="Times New Roman" w:eastAsia="仿宋_GB2312" w:cs="Times New Roman"/>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val="en-US" w:eastAsia="zh-CN"/>
        </w:rPr>
        <w:t>六</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资金监督。</w:t>
      </w:r>
      <w:r>
        <w:rPr>
          <w:rFonts w:ascii="Times New Roman" w:hAnsi="Times New Roman" w:eastAsia="仿宋_GB2312" w:cs="Times New Roman"/>
          <w:color w:val="auto"/>
          <w:sz w:val="36"/>
          <w:szCs w:val="36"/>
          <w:highlight w:val="none"/>
          <w:u w:val="none"/>
          <w:lang w:eastAsia="zh-CN"/>
        </w:rPr>
        <w:t>项目建设主体承诺资金真实申报、合规使用。应对申报材料的真实性、合法性、完整性负责，应如实提供本单位信用状况，承担违约责任并作出承诺，不得弄虚作假、套取、骗取财政资金。应当按照国家统一的会计制度进行会计核算，妥善保管项目相关材料，专账管理并自觉接受财政、审计、商务等部门的监督检查。</w:t>
      </w:r>
    </w:p>
    <w:p>
      <w:pPr>
        <w:keepNext w:val="0"/>
        <w:keepLines w:val="0"/>
        <w:pageBreakBefore w:val="0"/>
        <w:widowControl w:val="0"/>
        <w:kinsoku/>
        <w:wordWrap/>
        <w:overflowPunct/>
        <w:topLinePunct w:val="0"/>
        <w:autoSpaceDE/>
        <w:autoSpaceDN/>
        <w:bidi w:val="0"/>
        <w:adjustRightInd/>
        <w:snapToGrid/>
        <w:spacing w:line="600" w:lineRule="exact"/>
        <w:ind w:firstLine="722" w:firstLineChars="200"/>
        <w:textAlignment w:val="auto"/>
        <w:rPr>
          <w:rFonts w:ascii="Times New Roman" w:hAnsi="Times New Roman" w:eastAsia="仿宋_GB2312" w:cs="Times New Roman"/>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第十</w:t>
      </w:r>
      <w:r>
        <w:rPr>
          <w:rFonts w:hint="eastAsia" w:ascii="Times New Roman" w:hAnsi="Times New Roman" w:eastAsia="仿宋_GB2312" w:cs="Times New Roman"/>
          <w:b/>
          <w:bCs/>
          <w:color w:val="auto"/>
          <w:sz w:val="36"/>
          <w:szCs w:val="36"/>
          <w:highlight w:val="none"/>
          <w:u w:val="none"/>
          <w:lang w:val="en-US" w:eastAsia="zh-CN"/>
        </w:rPr>
        <w:t>七</w:t>
      </w:r>
      <w:r>
        <w:rPr>
          <w:rFonts w:ascii="Times New Roman" w:hAnsi="Times New Roman" w:eastAsia="仿宋_GB2312" w:cs="Times New Roman"/>
          <w:b/>
          <w:bCs/>
          <w:color w:val="auto"/>
          <w:sz w:val="36"/>
          <w:szCs w:val="36"/>
          <w:highlight w:val="none"/>
          <w:u w:val="none"/>
          <w:lang w:eastAsia="zh-CN"/>
        </w:rPr>
        <w:t xml:space="preserve">条 </w:t>
      </w:r>
      <w:r>
        <w:rPr>
          <w:rFonts w:hint="eastAsia" w:ascii="仿宋" w:hAnsi="仿宋" w:eastAsia="仿宋" w:cs="仿宋"/>
          <w:i w:val="0"/>
          <w:iCs w:val="0"/>
          <w:caps w:val="0"/>
          <w:color w:val="auto"/>
          <w:spacing w:val="-2"/>
          <w:kern w:val="0"/>
          <w:sz w:val="36"/>
          <w:szCs w:val="36"/>
          <w:u w:val="none"/>
          <w:shd w:val="clear" w:color="auto" w:fill="FFFFFF"/>
          <w:lang w:val="en-US" w:eastAsia="zh-CN" w:bidi="ar"/>
        </w:rPr>
        <w:t>工作纪律。</w:t>
      </w:r>
      <w:r>
        <w:rPr>
          <w:rFonts w:ascii="Times New Roman" w:hAnsi="Times New Roman" w:eastAsia="仿宋_GB2312" w:cs="Times New Roman"/>
          <w:color w:val="auto"/>
          <w:sz w:val="36"/>
          <w:szCs w:val="36"/>
          <w:highlight w:val="none"/>
          <w:u w:val="none"/>
          <w:lang w:eastAsia="zh-CN"/>
        </w:rPr>
        <w:t>各级商务部门、财政部门、相关单位、项目建设主体及其工作人员在专项资金的申请、审核、分配及下达等工作中，存在利用不正当手段骗取资金、违反规定分配资金等行为的，以及其他滥用职权、玩忽职守、徇私舞弊等其他违法违纪行为的，按照《中华人民共和国预算法》《中华人民共和国公务员法》《财政违法行为处罚处分条例》等国家有关规定追究相应责任；涉嫌犯罪的，依法移送司法机关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黑体" w:cs="Times New Roman"/>
          <w:color w:val="auto"/>
          <w:sz w:val="36"/>
          <w:szCs w:val="36"/>
          <w:highlight w:val="none"/>
          <w:u w:val="none"/>
          <w:lang w:eastAsia="zh-CN"/>
        </w:rPr>
      </w:pPr>
      <w:r>
        <w:rPr>
          <w:rFonts w:ascii="Times New Roman" w:hAnsi="Times New Roman" w:eastAsia="黑体" w:cs="Times New Roman"/>
          <w:color w:val="auto"/>
          <w:sz w:val="36"/>
          <w:szCs w:val="36"/>
          <w:highlight w:val="none"/>
          <w:u w:val="none"/>
          <w:lang w:eastAsia="zh-CN"/>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rFonts w:ascii="Times New Roman" w:hAnsi="Times New Roman" w:eastAsia="仿宋_GB2312" w:cs="Times New Roman"/>
          <w:b w:val="0"/>
          <w:bCs w:val="0"/>
          <w:color w:val="auto"/>
          <w:sz w:val="36"/>
          <w:szCs w:val="36"/>
          <w:highlight w:val="none"/>
          <w:u w:val="none"/>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十八</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b w:val="0"/>
          <w:bCs w:val="0"/>
          <w:color w:val="auto"/>
          <w:sz w:val="36"/>
          <w:szCs w:val="36"/>
          <w:highlight w:val="none"/>
          <w:u w:val="none"/>
          <w:lang w:eastAsia="zh-CN"/>
        </w:rPr>
        <w:t xml:space="preserve">  </w:t>
      </w:r>
      <w:r>
        <w:rPr>
          <w:rFonts w:hint="eastAsia" w:ascii="Times New Roman" w:hAnsi="Times New Roman" w:eastAsia="仿宋_GB2312" w:cs="Times New Roman"/>
          <w:b w:val="0"/>
          <w:bCs w:val="0"/>
          <w:color w:val="auto"/>
          <w:sz w:val="36"/>
          <w:szCs w:val="36"/>
          <w:highlight w:val="none"/>
          <w:u w:val="none"/>
          <w:lang w:eastAsia="zh-CN"/>
        </w:rPr>
        <w:t>本办法由贵阳市商务局、贵阳市财政局按职责分工负责解释</w:t>
      </w:r>
      <w:r>
        <w:rPr>
          <w:rFonts w:ascii="Times New Roman" w:hAnsi="Times New Roman" w:eastAsia="仿宋_GB2312" w:cs="Times New Roman"/>
          <w:b w:val="0"/>
          <w:bCs w:val="0"/>
          <w:color w:val="auto"/>
          <w:sz w:val="36"/>
          <w:szCs w:val="36"/>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722" w:firstLineChars="200"/>
        <w:textAlignment w:val="auto"/>
        <w:rPr>
          <w:lang w:eastAsia="zh-CN"/>
        </w:rPr>
      </w:pPr>
      <w:r>
        <w:rPr>
          <w:rFonts w:ascii="Times New Roman" w:hAnsi="Times New Roman" w:eastAsia="仿宋_GB2312" w:cs="Times New Roman"/>
          <w:b/>
          <w:bCs/>
          <w:color w:val="auto"/>
          <w:sz w:val="36"/>
          <w:szCs w:val="36"/>
          <w:highlight w:val="none"/>
          <w:u w:val="none"/>
          <w:lang w:eastAsia="zh-CN"/>
        </w:rPr>
        <w:t>第</w:t>
      </w:r>
      <w:r>
        <w:rPr>
          <w:rFonts w:hint="eastAsia" w:ascii="Times New Roman" w:hAnsi="Times New Roman" w:eastAsia="仿宋_GB2312" w:cs="Times New Roman"/>
          <w:b/>
          <w:bCs/>
          <w:color w:val="auto"/>
          <w:sz w:val="36"/>
          <w:szCs w:val="36"/>
          <w:highlight w:val="none"/>
          <w:u w:val="none"/>
          <w:lang w:val="en-US" w:eastAsia="zh-CN"/>
        </w:rPr>
        <w:t>十九</w:t>
      </w:r>
      <w:r>
        <w:rPr>
          <w:rFonts w:ascii="Times New Roman" w:hAnsi="Times New Roman" w:eastAsia="仿宋_GB2312" w:cs="Times New Roman"/>
          <w:b/>
          <w:bCs/>
          <w:color w:val="auto"/>
          <w:sz w:val="36"/>
          <w:szCs w:val="36"/>
          <w:highlight w:val="none"/>
          <w:u w:val="none"/>
          <w:lang w:eastAsia="zh-CN"/>
        </w:rPr>
        <w:t>条</w:t>
      </w:r>
      <w:r>
        <w:rPr>
          <w:rFonts w:ascii="Times New Roman" w:hAnsi="Times New Roman" w:eastAsia="仿宋_GB2312" w:cs="Times New Roman"/>
          <w:color w:val="auto"/>
          <w:sz w:val="36"/>
          <w:szCs w:val="36"/>
          <w:highlight w:val="none"/>
          <w:u w:val="none"/>
          <w:lang w:eastAsia="zh-CN"/>
        </w:rPr>
        <w:t xml:space="preserve">  本办法自印发之日起实施，有效期至</w:t>
      </w:r>
      <w:r>
        <w:rPr>
          <w:rFonts w:hint="eastAsia" w:ascii="Times New Roman" w:hAnsi="Times New Roman" w:eastAsia="仿宋_GB2312" w:cs="Times New Roman"/>
          <w:color w:val="auto"/>
          <w:sz w:val="36"/>
          <w:szCs w:val="36"/>
          <w:highlight w:val="none"/>
          <w:u w:val="none"/>
          <w:lang w:eastAsia="zh-CN"/>
        </w:rPr>
        <w:t>“消费新业态新模式新场景”</w:t>
      </w:r>
      <w:r>
        <w:rPr>
          <w:rFonts w:ascii="Times New Roman" w:hAnsi="Times New Roman" w:eastAsia="仿宋_GB2312" w:cs="Times New Roman"/>
          <w:color w:val="auto"/>
          <w:sz w:val="36"/>
          <w:szCs w:val="36"/>
          <w:highlight w:val="none"/>
          <w:u w:val="none"/>
          <w:lang w:eastAsia="zh-CN"/>
        </w:rPr>
        <w:t>试点建设项目结束。如遇国家、省、市有关政策调整的，本办法相应调整。</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Tahoma">
    <w:altName w:val="DejaVu Sans"/>
    <w:panose1 w:val="020B0604030504040204"/>
    <w:charset w:val="00"/>
    <w:family w:val="auto"/>
    <w:pitch w:val="default"/>
    <w:sig w:usb0="00000000" w:usb1="00000000" w:usb2="00000029" w:usb3="00000000" w:csb0="200101FF" w:csb1="20280000"/>
  </w:font>
  <w:font w:name="小标宋">
    <w:altName w:val="方正小标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26D91"/>
    <w:multiLevelType w:val="singleLevel"/>
    <w:tmpl w:val="92826D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A6DDC"/>
    <w:rsid w:val="00005402"/>
    <w:rsid w:val="001F7F7E"/>
    <w:rsid w:val="00490B57"/>
    <w:rsid w:val="005B615D"/>
    <w:rsid w:val="0078768E"/>
    <w:rsid w:val="00B358DA"/>
    <w:rsid w:val="00B52173"/>
    <w:rsid w:val="00B93F2F"/>
    <w:rsid w:val="00C603FA"/>
    <w:rsid w:val="00C823C4"/>
    <w:rsid w:val="00C84172"/>
    <w:rsid w:val="00FC02BF"/>
    <w:rsid w:val="010351AA"/>
    <w:rsid w:val="01057174"/>
    <w:rsid w:val="013C246A"/>
    <w:rsid w:val="014A102B"/>
    <w:rsid w:val="014A2DD9"/>
    <w:rsid w:val="014F6641"/>
    <w:rsid w:val="01C0753F"/>
    <w:rsid w:val="01C20BC1"/>
    <w:rsid w:val="01D31020"/>
    <w:rsid w:val="01EC49E1"/>
    <w:rsid w:val="01FD42EF"/>
    <w:rsid w:val="027A76EE"/>
    <w:rsid w:val="0297204E"/>
    <w:rsid w:val="02AE07B4"/>
    <w:rsid w:val="02BC3862"/>
    <w:rsid w:val="02CF4B6A"/>
    <w:rsid w:val="02D768EE"/>
    <w:rsid w:val="02E903CF"/>
    <w:rsid w:val="02F254D6"/>
    <w:rsid w:val="02F76F90"/>
    <w:rsid w:val="03015719"/>
    <w:rsid w:val="031B2C7F"/>
    <w:rsid w:val="033E696D"/>
    <w:rsid w:val="034D4E02"/>
    <w:rsid w:val="03887BE8"/>
    <w:rsid w:val="03A569EC"/>
    <w:rsid w:val="03DF5619"/>
    <w:rsid w:val="03FD5B9C"/>
    <w:rsid w:val="04021749"/>
    <w:rsid w:val="04090D29"/>
    <w:rsid w:val="041651F4"/>
    <w:rsid w:val="042B5143"/>
    <w:rsid w:val="04463D2B"/>
    <w:rsid w:val="045019EF"/>
    <w:rsid w:val="04842AA6"/>
    <w:rsid w:val="04920328"/>
    <w:rsid w:val="04A42800"/>
    <w:rsid w:val="04B50EB1"/>
    <w:rsid w:val="04B8274F"/>
    <w:rsid w:val="04BF3ADE"/>
    <w:rsid w:val="04C9670A"/>
    <w:rsid w:val="04CE1F73"/>
    <w:rsid w:val="05171224"/>
    <w:rsid w:val="05257DE5"/>
    <w:rsid w:val="054A784B"/>
    <w:rsid w:val="056F2CF7"/>
    <w:rsid w:val="058D7738"/>
    <w:rsid w:val="05976809"/>
    <w:rsid w:val="059D24A8"/>
    <w:rsid w:val="05AF5900"/>
    <w:rsid w:val="05F23A3F"/>
    <w:rsid w:val="060C4B01"/>
    <w:rsid w:val="062C6F51"/>
    <w:rsid w:val="06693D01"/>
    <w:rsid w:val="06874187"/>
    <w:rsid w:val="069A210C"/>
    <w:rsid w:val="069A3EBB"/>
    <w:rsid w:val="06DC2725"/>
    <w:rsid w:val="06E415DA"/>
    <w:rsid w:val="06FF01C2"/>
    <w:rsid w:val="07100621"/>
    <w:rsid w:val="07180412"/>
    <w:rsid w:val="07195727"/>
    <w:rsid w:val="07445783"/>
    <w:rsid w:val="075C3866"/>
    <w:rsid w:val="07611BF6"/>
    <w:rsid w:val="0774295E"/>
    <w:rsid w:val="07886409"/>
    <w:rsid w:val="07B6165A"/>
    <w:rsid w:val="07C82CA9"/>
    <w:rsid w:val="07CD02C0"/>
    <w:rsid w:val="07D21D7A"/>
    <w:rsid w:val="07FE66CB"/>
    <w:rsid w:val="080B2B96"/>
    <w:rsid w:val="080D2DB2"/>
    <w:rsid w:val="085B03F1"/>
    <w:rsid w:val="08602EE2"/>
    <w:rsid w:val="086521EE"/>
    <w:rsid w:val="08856DEC"/>
    <w:rsid w:val="089808CE"/>
    <w:rsid w:val="08BB530A"/>
    <w:rsid w:val="08CC67C9"/>
    <w:rsid w:val="08D00067"/>
    <w:rsid w:val="08D86F1C"/>
    <w:rsid w:val="08E458C1"/>
    <w:rsid w:val="08E71C5C"/>
    <w:rsid w:val="08E7715F"/>
    <w:rsid w:val="090146C5"/>
    <w:rsid w:val="09076D68"/>
    <w:rsid w:val="090B34E3"/>
    <w:rsid w:val="091343F8"/>
    <w:rsid w:val="091A7535"/>
    <w:rsid w:val="094822F4"/>
    <w:rsid w:val="095C7B4D"/>
    <w:rsid w:val="09765380"/>
    <w:rsid w:val="098350DA"/>
    <w:rsid w:val="09B90AFC"/>
    <w:rsid w:val="09CF6571"/>
    <w:rsid w:val="09F064E7"/>
    <w:rsid w:val="0A2368BD"/>
    <w:rsid w:val="0A344626"/>
    <w:rsid w:val="0A8A693C"/>
    <w:rsid w:val="0ABB08A3"/>
    <w:rsid w:val="0AEB7501"/>
    <w:rsid w:val="0AF0679F"/>
    <w:rsid w:val="0AF85654"/>
    <w:rsid w:val="0B0264D2"/>
    <w:rsid w:val="0B0E4E77"/>
    <w:rsid w:val="0B912363"/>
    <w:rsid w:val="0BC916A9"/>
    <w:rsid w:val="0BDB744F"/>
    <w:rsid w:val="0BE52FF0"/>
    <w:rsid w:val="0C126BE9"/>
    <w:rsid w:val="0C17232E"/>
    <w:rsid w:val="0C243C97"/>
    <w:rsid w:val="0C344DB1"/>
    <w:rsid w:val="0C3E353A"/>
    <w:rsid w:val="0C692CAD"/>
    <w:rsid w:val="0C803B53"/>
    <w:rsid w:val="0CA37841"/>
    <w:rsid w:val="0CC53C5B"/>
    <w:rsid w:val="0CD62E58"/>
    <w:rsid w:val="0D3D5EE8"/>
    <w:rsid w:val="0D5F7C0C"/>
    <w:rsid w:val="0D7108EC"/>
    <w:rsid w:val="0D755681"/>
    <w:rsid w:val="0D7C256C"/>
    <w:rsid w:val="0D8D767F"/>
    <w:rsid w:val="0D923A97"/>
    <w:rsid w:val="0D961154"/>
    <w:rsid w:val="0D9755F8"/>
    <w:rsid w:val="0D994044"/>
    <w:rsid w:val="0DA46866"/>
    <w:rsid w:val="0DB937C0"/>
    <w:rsid w:val="0DC161D1"/>
    <w:rsid w:val="0DD00B0A"/>
    <w:rsid w:val="0DDA1988"/>
    <w:rsid w:val="0DE819AF"/>
    <w:rsid w:val="0E0662D9"/>
    <w:rsid w:val="0E083E00"/>
    <w:rsid w:val="0E15476E"/>
    <w:rsid w:val="0E213113"/>
    <w:rsid w:val="0E3E1F17"/>
    <w:rsid w:val="0E43308A"/>
    <w:rsid w:val="0E5E7EC3"/>
    <w:rsid w:val="0E6B438E"/>
    <w:rsid w:val="0E741495"/>
    <w:rsid w:val="0E7E40C2"/>
    <w:rsid w:val="0EAD2BF9"/>
    <w:rsid w:val="0EF645A0"/>
    <w:rsid w:val="0F022F45"/>
    <w:rsid w:val="0F040A6B"/>
    <w:rsid w:val="0F093AC0"/>
    <w:rsid w:val="0F0A004B"/>
    <w:rsid w:val="0F0A5C76"/>
    <w:rsid w:val="0F0F11BE"/>
    <w:rsid w:val="0F29227F"/>
    <w:rsid w:val="0F3D005A"/>
    <w:rsid w:val="0F671A32"/>
    <w:rsid w:val="0F8B2F3A"/>
    <w:rsid w:val="0F8F00FD"/>
    <w:rsid w:val="0F9F69E6"/>
    <w:rsid w:val="0FB83603"/>
    <w:rsid w:val="0FBC30F4"/>
    <w:rsid w:val="0FC71A98"/>
    <w:rsid w:val="0FE91A0F"/>
    <w:rsid w:val="102A7A65"/>
    <w:rsid w:val="105F7F23"/>
    <w:rsid w:val="10633BB0"/>
    <w:rsid w:val="106F0166"/>
    <w:rsid w:val="107C6D27"/>
    <w:rsid w:val="10844706"/>
    <w:rsid w:val="108F0808"/>
    <w:rsid w:val="10993885"/>
    <w:rsid w:val="109B53FF"/>
    <w:rsid w:val="10BD71E3"/>
    <w:rsid w:val="10EF12A7"/>
    <w:rsid w:val="1109680C"/>
    <w:rsid w:val="111331E7"/>
    <w:rsid w:val="112A0531"/>
    <w:rsid w:val="114A472F"/>
    <w:rsid w:val="11895257"/>
    <w:rsid w:val="11B00A36"/>
    <w:rsid w:val="11C73FD2"/>
    <w:rsid w:val="11CE710E"/>
    <w:rsid w:val="11DC612C"/>
    <w:rsid w:val="11E44B84"/>
    <w:rsid w:val="12174F59"/>
    <w:rsid w:val="12192A7F"/>
    <w:rsid w:val="122B4561"/>
    <w:rsid w:val="122E5DFF"/>
    <w:rsid w:val="123A47A4"/>
    <w:rsid w:val="123D3099"/>
    <w:rsid w:val="123F000C"/>
    <w:rsid w:val="126D4B79"/>
    <w:rsid w:val="12771554"/>
    <w:rsid w:val="128A0D9B"/>
    <w:rsid w:val="129C545E"/>
    <w:rsid w:val="12DB5F87"/>
    <w:rsid w:val="12E15E24"/>
    <w:rsid w:val="12EF558E"/>
    <w:rsid w:val="12FA0471"/>
    <w:rsid w:val="12FB6FCB"/>
    <w:rsid w:val="13201BEB"/>
    <w:rsid w:val="13207E3D"/>
    <w:rsid w:val="13223BB5"/>
    <w:rsid w:val="1324792E"/>
    <w:rsid w:val="135E0B9D"/>
    <w:rsid w:val="136917E4"/>
    <w:rsid w:val="13767A5D"/>
    <w:rsid w:val="138008DC"/>
    <w:rsid w:val="13A10F7E"/>
    <w:rsid w:val="13A66595"/>
    <w:rsid w:val="13B14F39"/>
    <w:rsid w:val="13CC3B21"/>
    <w:rsid w:val="13CC58CF"/>
    <w:rsid w:val="13CF5E5B"/>
    <w:rsid w:val="13F56BD4"/>
    <w:rsid w:val="13F75F72"/>
    <w:rsid w:val="13FD1F2D"/>
    <w:rsid w:val="14067033"/>
    <w:rsid w:val="142B6A9A"/>
    <w:rsid w:val="14397409"/>
    <w:rsid w:val="146020F5"/>
    <w:rsid w:val="146D0E60"/>
    <w:rsid w:val="14787805"/>
    <w:rsid w:val="14877354"/>
    <w:rsid w:val="14B545B5"/>
    <w:rsid w:val="14DE58BA"/>
    <w:rsid w:val="1509500B"/>
    <w:rsid w:val="151C4634"/>
    <w:rsid w:val="15420A13"/>
    <w:rsid w:val="154871D8"/>
    <w:rsid w:val="15610299"/>
    <w:rsid w:val="15695ACC"/>
    <w:rsid w:val="15724254"/>
    <w:rsid w:val="15787ABD"/>
    <w:rsid w:val="159348F7"/>
    <w:rsid w:val="1594241D"/>
    <w:rsid w:val="159B267A"/>
    <w:rsid w:val="15B64A89"/>
    <w:rsid w:val="15D078F9"/>
    <w:rsid w:val="15D849FF"/>
    <w:rsid w:val="15DB004C"/>
    <w:rsid w:val="16041350"/>
    <w:rsid w:val="16102AD1"/>
    <w:rsid w:val="16157A01"/>
    <w:rsid w:val="164B51D1"/>
    <w:rsid w:val="16571DC8"/>
    <w:rsid w:val="16921052"/>
    <w:rsid w:val="169F551D"/>
    <w:rsid w:val="16B17A67"/>
    <w:rsid w:val="16B34B25"/>
    <w:rsid w:val="16BC1C2B"/>
    <w:rsid w:val="16CF5E02"/>
    <w:rsid w:val="16F07B27"/>
    <w:rsid w:val="16F94BA0"/>
    <w:rsid w:val="17163A31"/>
    <w:rsid w:val="171B2DF6"/>
    <w:rsid w:val="174A36DB"/>
    <w:rsid w:val="178269DF"/>
    <w:rsid w:val="17B9260F"/>
    <w:rsid w:val="17C06A90"/>
    <w:rsid w:val="17C23271"/>
    <w:rsid w:val="17C75B24"/>
    <w:rsid w:val="17CF1E32"/>
    <w:rsid w:val="17D336D0"/>
    <w:rsid w:val="17D9680D"/>
    <w:rsid w:val="17F3167D"/>
    <w:rsid w:val="18023FB5"/>
    <w:rsid w:val="18047D2E"/>
    <w:rsid w:val="18291542"/>
    <w:rsid w:val="185D700F"/>
    <w:rsid w:val="18754787"/>
    <w:rsid w:val="18786807"/>
    <w:rsid w:val="189C5C61"/>
    <w:rsid w:val="18B057C0"/>
    <w:rsid w:val="18DA6CE0"/>
    <w:rsid w:val="18E67433"/>
    <w:rsid w:val="190855FC"/>
    <w:rsid w:val="193E2DCB"/>
    <w:rsid w:val="19467ED2"/>
    <w:rsid w:val="197902A7"/>
    <w:rsid w:val="1997072D"/>
    <w:rsid w:val="199724DC"/>
    <w:rsid w:val="19C31ED3"/>
    <w:rsid w:val="19C92FDD"/>
    <w:rsid w:val="19D76D7C"/>
    <w:rsid w:val="19F53DD2"/>
    <w:rsid w:val="1A1A7E43"/>
    <w:rsid w:val="1A2A15A2"/>
    <w:rsid w:val="1A2C77DE"/>
    <w:rsid w:val="1A3507AD"/>
    <w:rsid w:val="1A4C59BC"/>
    <w:rsid w:val="1A750A6F"/>
    <w:rsid w:val="1AA90718"/>
    <w:rsid w:val="1AAE21D3"/>
    <w:rsid w:val="1AB64BE3"/>
    <w:rsid w:val="1AC612CA"/>
    <w:rsid w:val="1ADC0AEE"/>
    <w:rsid w:val="1AE41750"/>
    <w:rsid w:val="1AF776D6"/>
    <w:rsid w:val="1B505038"/>
    <w:rsid w:val="1B5508A0"/>
    <w:rsid w:val="1B5C1C2F"/>
    <w:rsid w:val="1BA62EAA"/>
    <w:rsid w:val="1BB142DA"/>
    <w:rsid w:val="1BC31CAE"/>
    <w:rsid w:val="1BC670A8"/>
    <w:rsid w:val="1BC7354C"/>
    <w:rsid w:val="1BCD6688"/>
    <w:rsid w:val="1BD6378F"/>
    <w:rsid w:val="1BEB7963"/>
    <w:rsid w:val="1C026332"/>
    <w:rsid w:val="1C136791"/>
    <w:rsid w:val="1C27223D"/>
    <w:rsid w:val="1C29338A"/>
    <w:rsid w:val="1C2C33AF"/>
    <w:rsid w:val="1C5E5533"/>
    <w:rsid w:val="1C730FDE"/>
    <w:rsid w:val="1C8256C5"/>
    <w:rsid w:val="1C8C02F2"/>
    <w:rsid w:val="1C8F3C79"/>
    <w:rsid w:val="1CC01D49"/>
    <w:rsid w:val="1CC730D8"/>
    <w:rsid w:val="1CD656FC"/>
    <w:rsid w:val="1CE974F2"/>
    <w:rsid w:val="1CF00880"/>
    <w:rsid w:val="1D0936F0"/>
    <w:rsid w:val="1D0C4F8F"/>
    <w:rsid w:val="1D102CD1"/>
    <w:rsid w:val="1D2624F4"/>
    <w:rsid w:val="1D28626C"/>
    <w:rsid w:val="1D2D73DF"/>
    <w:rsid w:val="1D335598"/>
    <w:rsid w:val="1D3730F7"/>
    <w:rsid w:val="1D4A4435"/>
    <w:rsid w:val="1D59347E"/>
    <w:rsid w:val="1D5F1562"/>
    <w:rsid w:val="1D756FD8"/>
    <w:rsid w:val="1D882867"/>
    <w:rsid w:val="1DA33B45"/>
    <w:rsid w:val="1DDB5298"/>
    <w:rsid w:val="1DF63C75"/>
    <w:rsid w:val="1E0560BF"/>
    <w:rsid w:val="1E2D340E"/>
    <w:rsid w:val="1E4075E6"/>
    <w:rsid w:val="1E4470D6"/>
    <w:rsid w:val="1E452429"/>
    <w:rsid w:val="1E4569AA"/>
    <w:rsid w:val="1E6A6411"/>
    <w:rsid w:val="1EA2204E"/>
    <w:rsid w:val="1EED151B"/>
    <w:rsid w:val="1EF67CA4"/>
    <w:rsid w:val="1F7F5EEC"/>
    <w:rsid w:val="1F8F25D3"/>
    <w:rsid w:val="1FA15E62"/>
    <w:rsid w:val="1FB57B5F"/>
    <w:rsid w:val="1FC41B50"/>
    <w:rsid w:val="1FDC50EC"/>
    <w:rsid w:val="1FDD4046"/>
    <w:rsid w:val="1FF76BD5"/>
    <w:rsid w:val="2096271C"/>
    <w:rsid w:val="20A200E4"/>
    <w:rsid w:val="20A71578"/>
    <w:rsid w:val="20B35E4D"/>
    <w:rsid w:val="20BD0710"/>
    <w:rsid w:val="20C91B14"/>
    <w:rsid w:val="20DF4E94"/>
    <w:rsid w:val="20E93F65"/>
    <w:rsid w:val="20EC5803"/>
    <w:rsid w:val="20EE157B"/>
    <w:rsid w:val="210B3EDB"/>
    <w:rsid w:val="21500A96"/>
    <w:rsid w:val="21537630"/>
    <w:rsid w:val="215E4812"/>
    <w:rsid w:val="217750CC"/>
    <w:rsid w:val="219952B5"/>
    <w:rsid w:val="21EB1616"/>
    <w:rsid w:val="21EE732A"/>
    <w:rsid w:val="21FA7AAB"/>
    <w:rsid w:val="2205092A"/>
    <w:rsid w:val="22124DF5"/>
    <w:rsid w:val="223236E9"/>
    <w:rsid w:val="226A4C31"/>
    <w:rsid w:val="227C2F76"/>
    <w:rsid w:val="227D2BB6"/>
    <w:rsid w:val="22873A35"/>
    <w:rsid w:val="228F6446"/>
    <w:rsid w:val="22A74638"/>
    <w:rsid w:val="22C563F7"/>
    <w:rsid w:val="23166B67"/>
    <w:rsid w:val="23623B5A"/>
    <w:rsid w:val="236478D2"/>
    <w:rsid w:val="23757D31"/>
    <w:rsid w:val="237C4C1C"/>
    <w:rsid w:val="23841D23"/>
    <w:rsid w:val="23897339"/>
    <w:rsid w:val="238C3BD8"/>
    <w:rsid w:val="23AE4FF1"/>
    <w:rsid w:val="23CE2F9E"/>
    <w:rsid w:val="23D06D16"/>
    <w:rsid w:val="240864B0"/>
    <w:rsid w:val="241412F8"/>
    <w:rsid w:val="24397A54"/>
    <w:rsid w:val="246C2EE2"/>
    <w:rsid w:val="247B4ED4"/>
    <w:rsid w:val="249B5576"/>
    <w:rsid w:val="24BD373E"/>
    <w:rsid w:val="24C42EA1"/>
    <w:rsid w:val="24E72569"/>
    <w:rsid w:val="24EA3D79"/>
    <w:rsid w:val="24F25340"/>
    <w:rsid w:val="250824DF"/>
    <w:rsid w:val="251470D6"/>
    <w:rsid w:val="2551032A"/>
    <w:rsid w:val="25565941"/>
    <w:rsid w:val="257638ED"/>
    <w:rsid w:val="258424AE"/>
    <w:rsid w:val="258806F5"/>
    <w:rsid w:val="25AC595B"/>
    <w:rsid w:val="25BE4683"/>
    <w:rsid w:val="25CD42FA"/>
    <w:rsid w:val="25D32AED"/>
    <w:rsid w:val="25D36F91"/>
    <w:rsid w:val="25DC7BF4"/>
    <w:rsid w:val="26192BF6"/>
    <w:rsid w:val="26355556"/>
    <w:rsid w:val="2637307C"/>
    <w:rsid w:val="26431A21"/>
    <w:rsid w:val="26451C3D"/>
    <w:rsid w:val="268E133C"/>
    <w:rsid w:val="26C2212C"/>
    <w:rsid w:val="26CF7759"/>
    <w:rsid w:val="26D46B1D"/>
    <w:rsid w:val="26E055AF"/>
    <w:rsid w:val="270513CC"/>
    <w:rsid w:val="27291DCA"/>
    <w:rsid w:val="27383550"/>
    <w:rsid w:val="27421CD9"/>
    <w:rsid w:val="274C0DA9"/>
    <w:rsid w:val="27637EA1"/>
    <w:rsid w:val="27893DAB"/>
    <w:rsid w:val="278A18D2"/>
    <w:rsid w:val="27960276"/>
    <w:rsid w:val="27A75FE0"/>
    <w:rsid w:val="27B150B0"/>
    <w:rsid w:val="27C70430"/>
    <w:rsid w:val="27CB43C4"/>
    <w:rsid w:val="27D843EB"/>
    <w:rsid w:val="27F31225"/>
    <w:rsid w:val="28072F22"/>
    <w:rsid w:val="28487C0C"/>
    <w:rsid w:val="285C326E"/>
    <w:rsid w:val="28697739"/>
    <w:rsid w:val="28BB61E6"/>
    <w:rsid w:val="28C50E13"/>
    <w:rsid w:val="28C52BC1"/>
    <w:rsid w:val="28DD039D"/>
    <w:rsid w:val="28FB4835"/>
    <w:rsid w:val="29051210"/>
    <w:rsid w:val="291453F2"/>
    <w:rsid w:val="292F1CA2"/>
    <w:rsid w:val="295F6920"/>
    <w:rsid w:val="296879F1"/>
    <w:rsid w:val="29910CF5"/>
    <w:rsid w:val="29986528"/>
    <w:rsid w:val="29A44ECD"/>
    <w:rsid w:val="29B35F96"/>
    <w:rsid w:val="29CE5AA6"/>
    <w:rsid w:val="29D82DC8"/>
    <w:rsid w:val="29EC0622"/>
    <w:rsid w:val="29FB2613"/>
    <w:rsid w:val="2A5306A1"/>
    <w:rsid w:val="2A5E151F"/>
    <w:rsid w:val="2A614B6C"/>
    <w:rsid w:val="2A6E7289"/>
    <w:rsid w:val="2A752F2D"/>
    <w:rsid w:val="2A954815"/>
    <w:rsid w:val="2A9F5694"/>
    <w:rsid w:val="2AAC67DB"/>
    <w:rsid w:val="2AF07C9E"/>
    <w:rsid w:val="2AF459E0"/>
    <w:rsid w:val="2B45623B"/>
    <w:rsid w:val="2B5244B4"/>
    <w:rsid w:val="2B563FA5"/>
    <w:rsid w:val="2B940F71"/>
    <w:rsid w:val="2B9F3B9D"/>
    <w:rsid w:val="2BAA2542"/>
    <w:rsid w:val="2BB05DAB"/>
    <w:rsid w:val="2BB92785"/>
    <w:rsid w:val="2BBD04C8"/>
    <w:rsid w:val="2BD22C2A"/>
    <w:rsid w:val="2BDB13AB"/>
    <w:rsid w:val="2BFB1566"/>
    <w:rsid w:val="2BFD6B16"/>
    <w:rsid w:val="2C0E2AD1"/>
    <w:rsid w:val="2C0F23A5"/>
    <w:rsid w:val="2C365B84"/>
    <w:rsid w:val="2C5030EA"/>
    <w:rsid w:val="2C673F8F"/>
    <w:rsid w:val="2C6A7295"/>
    <w:rsid w:val="2C752B50"/>
    <w:rsid w:val="2C801F12"/>
    <w:rsid w:val="2C8C39F6"/>
    <w:rsid w:val="2C9F3729"/>
    <w:rsid w:val="2CB31912"/>
    <w:rsid w:val="2CC17B44"/>
    <w:rsid w:val="2CC47634"/>
    <w:rsid w:val="2CCE2260"/>
    <w:rsid w:val="2CD930DF"/>
    <w:rsid w:val="2CF9108B"/>
    <w:rsid w:val="2D2B35F9"/>
    <w:rsid w:val="2D2E0394"/>
    <w:rsid w:val="2D406CBA"/>
    <w:rsid w:val="2D452523"/>
    <w:rsid w:val="2D4F3FFF"/>
    <w:rsid w:val="2D686211"/>
    <w:rsid w:val="2D8F2087"/>
    <w:rsid w:val="2D960A79"/>
    <w:rsid w:val="2DA51213"/>
    <w:rsid w:val="2DBB4593"/>
    <w:rsid w:val="2DCF6290"/>
    <w:rsid w:val="2DD41AF8"/>
    <w:rsid w:val="2E497DF1"/>
    <w:rsid w:val="2E5C5D76"/>
    <w:rsid w:val="2E61338C"/>
    <w:rsid w:val="2E717347"/>
    <w:rsid w:val="2E7A26A0"/>
    <w:rsid w:val="2EA9088F"/>
    <w:rsid w:val="2EAC3E1A"/>
    <w:rsid w:val="2EB60132"/>
    <w:rsid w:val="2EC1207D"/>
    <w:rsid w:val="2EC21951"/>
    <w:rsid w:val="2EC21CC7"/>
    <w:rsid w:val="2ED00512"/>
    <w:rsid w:val="2F1E74CF"/>
    <w:rsid w:val="2F4D56BE"/>
    <w:rsid w:val="2F6F3887"/>
    <w:rsid w:val="2F77098D"/>
    <w:rsid w:val="2F776BDF"/>
    <w:rsid w:val="2F8F005C"/>
    <w:rsid w:val="2F9C6646"/>
    <w:rsid w:val="2FC31E25"/>
    <w:rsid w:val="2FCC0796"/>
    <w:rsid w:val="2FCD67FF"/>
    <w:rsid w:val="2FE9188B"/>
    <w:rsid w:val="2FEA73B1"/>
    <w:rsid w:val="300F506A"/>
    <w:rsid w:val="30161F54"/>
    <w:rsid w:val="304E5B92"/>
    <w:rsid w:val="30556F21"/>
    <w:rsid w:val="3062519A"/>
    <w:rsid w:val="306561A6"/>
    <w:rsid w:val="30823A8E"/>
    <w:rsid w:val="30A734F4"/>
    <w:rsid w:val="30BA4FD6"/>
    <w:rsid w:val="30C419B0"/>
    <w:rsid w:val="30D77936"/>
    <w:rsid w:val="30D81900"/>
    <w:rsid w:val="30E12562"/>
    <w:rsid w:val="30E450F8"/>
    <w:rsid w:val="30EB518F"/>
    <w:rsid w:val="30FD3669"/>
    <w:rsid w:val="30FF50DE"/>
    <w:rsid w:val="31085D41"/>
    <w:rsid w:val="311A5A74"/>
    <w:rsid w:val="31244B45"/>
    <w:rsid w:val="31293F09"/>
    <w:rsid w:val="313A3321"/>
    <w:rsid w:val="314059F4"/>
    <w:rsid w:val="3148564D"/>
    <w:rsid w:val="31610A7F"/>
    <w:rsid w:val="3163417D"/>
    <w:rsid w:val="316513E5"/>
    <w:rsid w:val="316867E0"/>
    <w:rsid w:val="318D26EA"/>
    <w:rsid w:val="31A87524"/>
    <w:rsid w:val="31B45EC9"/>
    <w:rsid w:val="31C5592A"/>
    <w:rsid w:val="31C70619"/>
    <w:rsid w:val="32056724"/>
    <w:rsid w:val="321B7CF6"/>
    <w:rsid w:val="323B0398"/>
    <w:rsid w:val="3273494D"/>
    <w:rsid w:val="32744563"/>
    <w:rsid w:val="32805DAB"/>
    <w:rsid w:val="32A253B4"/>
    <w:rsid w:val="32AA2E28"/>
    <w:rsid w:val="32BD6FFF"/>
    <w:rsid w:val="32C01C0D"/>
    <w:rsid w:val="32DA370D"/>
    <w:rsid w:val="32DF0D23"/>
    <w:rsid w:val="33466FF4"/>
    <w:rsid w:val="33853F4A"/>
    <w:rsid w:val="33EA5BD2"/>
    <w:rsid w:val="34264730"/>
    <w:rsid w:val="343230D5"/>
    <w:rsid w:val="34381F52"/>
    <w:rsid w:val="344057F2"/>
    <w:rsid w:val="346E05B1"/>
    <w:rsid w:val="34D36666"/>
    <w:rsid w:val="34E42621"/>
    <w:rsid w:val="35134CB4"/>
    <w:rsid w:val="354E7ADC"/>
    <w:rsid w:val="35571045"/>
    <w:rsid w:val="355A28E3"/>
    <w:rsid w:val="355F7EFA"/>
    <w:rsid w:val="3575771D"/>
    <w:rsid w:val="3599165E"/>
    <w:rsid w:val="36127662"/>
    <w:rsid w:val="361A2073"/>
    <w:rsid w:val="36407D2B"/>
    <w:rsid w:val="36603F29"/>
    <w:rsid w:val="36987B67"/>
    <w:rsid w:val="369D517D"/>
    <w:rsid w:val="36BB5BB8"/>
    <w:rsid w:val="36C546D4"/>
    <w:rsid w:val="36CC7811"/>
    <w:rsid w:val="36DE12F2"/>
    <w:rsid w:val="36FC6348"/>
    <w:rsid w:val="36FE3D40"/>
    <w:rsid w:val="372413FB"/>
    <w:rsid w:val="376E629F"/>
    <w:rsid w:val="377063EE"/>
    <w:rsid w:val="37A427F7"/>
    <w:rsid w:val="37C7012B"/>
    <w:rsid w:val="37CD13CC"/>
    <w:rsid w:val="37E33064"/>
    <w:rsid w:val="381C20D2"/>
    <w:rsid w:val="38481119"/>
    <w:rsid w:val="3862042D"/>
    <w:rsid w:val="389E6F8B"/>
    <w:rsid w:val="38AC78FA"/>
    <w:rsid w:val="38C764E2"/>
    <w:rsid w:val="38D806EF"/>
    <w:rsid w:val="3938118D"/>
    <w:rsid w:val="394E6C03"/>
    <w:rsid w:val="39567866"/>
    <w:rsid w:val="39581830"/>
    <w:rsid w:val="39D2513E"/>
    <w:rsid w:val="39D31AAB"/>
    <w:rsid w:val="3A127C30"/>
    <w:rsid w:val="3A1439A9"/>
    <w:rsid w:val="3A1A0893"/>
    <w:rsid w:val="3A2D4A6A"/>
    <w:rsid w:val="3A56642C"/>
    <w:rsid w:val="3A63048C"/>
    <w:rsid w:val="3A6A35C8"/>
    <w:rsid w:val="3A6B5BE2"/>
    <w:rsid w:val="3A6D4E67"/>
    <w:rsid w:val="3A9643BE"/>
    <w:rsid w:val="3AB46F3A"/>
    <w:rsid w:val="3ABC194A"/>
    <w:rsid w:val="3ACF5B21"/>
    <w:rsid w:val="3B057795"/>
    <w:rsid w:val="3B1B0D67"/>
    <w:rsid w:val="3B2A6027"/>
    <w:rsid w:val="3B5F0C53"/>
    <w:rsid w:val="3B9052B1"/>
    <w:rsid w:val="3B9823B7"/>
    <w:rsid w:val="3B9C1EA7"/>
    <w:rsid w:val="3BD827B4"/>
    <w:rsid w:val="3C090BBF"/>
    <w:rsid w:val="3C0E61D6"/>
    <w:rsid w:val="3C221C81"/>
    <w:rsid w:val="3C2B322B"/>
    <w:rsid w:val="3C385050"/>
    <w:rsid w:val="3C5067EE"/>
    <w:rsid w:val="3C736028"/>
    <w:rsid w:val="3C7624CD"/>
    <w:rsid w:val="3C88242C"/>
    <w:rsid w:val="3C8F5568"/>
    <w:rsid w:val="3CF7310E"/>
    <w:rsid w:val="3D475E43"/>
    <w:rsid w:val="3D4C5207"/>
    <w:rsid w:val="3D70539A"/>
    <w:rsid w:val="3D9B1CEB"/>
    <w:rsid w:val="3D9B618F"/>
    <w:rsid w:val="3D9F5C7F"/>
    <w:rsid w:val="3DDA2813"/>
    <w:rsid w:val="3DF8713D"/>
    <w:rsid w:val="3E3D0FF4"/>
    <w:rsid w:val="3E412892"/>
    <w:rsid w:val="3E611186"/>
    <w:rsid w:val="3E686071"/>
    <w:rsid w:val="3E7D4F59"/>
    <w:rsid w:val="3E7E7642"/>
    <w:rsid w:val="3E9F580B"/>
    <w:rsid w:val="3EA01CAF"/>
    <w:rsid w:val="3EBC016B"/>
    <w:rsid w:val="3EBF1A09"/>
    <w:rsid w:val="3ECF7E9E"/>
    <w:rsid w:val="3ED736D0"/>
    <w:rsid w:val="3EE6343A"/>
    <w:rsid w:val="3F1E4982"/>
    <w:rsid w:val="3F2006FA"/>
    <w:rsid w:val="3F261E83"/>
    <w:rsid w:val="3F3917BB"/>
    <w:rsid w:val="3F450160"/>
    <w:rsid w:val="3F536D21"/>
    <w:rsid w:val="3F6A7BC7"/>
    <w:rsid w:val="3F6E52FA"/>
    <w:rsid w:val="3FA05CDE"/>
    <w:rsid w:val="3FE11DD0"/>
    <w:rsid w:val="3FF51DEC"/>
    <w:rsid w:val="400718BA"/>
    <w:rsid w:val="401C5365"/>
    <w:rsid w:val="40316936"/>
    <w:rsid w:val="4051706B"/>
    <w:rsid w:val="40B27A77"/>
    <w:rsid w:val="40C913D4"/>
    <w:rsid w:val="40D43E92"/>
    <w:rsid w:val="41160006"/>
    <w:rsid w:val="412D35A2"/>
    <w:rsid w:val="415B010F"/>
    <w:rsid w:val="4177481D"/>
    <w:rsid w:val="418F295E"/>
    <w:rsid w:val="419929E5"/>
    <w:rsid w:val="41C13E3A"/>
    <w:rsid w:val="41C77584"/>
    <w:rsid w:val="41CF2AA3"/>
    <w:rsid w:val="41D349E5"/>
    <w:rsid w:val="41D852BC"/>
    <w:rsid w:val="42075BA1"/>
    <w:rsid w:val="423931A7"/>
    <w:rsid w:val="42426BD9"/>
    <w:rsid w:val="424E557E"/>
    <w:rsid w:val="42816DCC"/>
    <w:rsid w:val="42A861B0"/>
    <w:rsid w:val="42B8554C"/>
    <w:rsid w:val="42BA2C13"/>
    <w:rsid w:val="430664B8"/>
    <w:rsid w:val="430B16C1"/>
    <w:rsid w:val="4320516C"/>
    <w:rsid w:val="435C5DA6"/>
    <w:rsid w:val="43655275"/>
    <w:rsid w:val="43811983"/>
    <w:rsid w:val="438A6A89"/>
    <w:rsid w:val="4391606A"/>
    <w:rsid w:val="43AE7F82"/>
    <w:rsid w:val="43B371D1"/>
    <w:rsid w:val="43C875B2"/>
    <w:rsid w:val="43CC0E50"/>
    <w:rsid w:val="44103433"/>
    <w:rsid w:val="44114AB5"/>
    <w:rsid w:val="443A04B0"/>
    <w:rsid w:val="444B446B"/>
    <w:rsid w:val="446B551E"/>
    <w:rsid w:val="44901E7E"/>
    <w:rsid w:val="44BC7116"/>
    <w:rsid w:val="44D73F50"/>
    <w:rsid w:val="44EB79FC"/>
    <w:rsid w:val="44F3240C"/>
    <w:rsid w:val="455C26A8"/>
    <w:rsid w:val="455C4456"/>
    <w:rsid w:val="4597723C"/>
    <w:rsid w:val="45992FB4"/>
    <w:rsid w:val="45AA3413"/>
    <w:rsid w:val="45AD4CB1"/>
    <w:rsid w:val="45D466E2"/>
    <w:rsid w:val="45E561F9"/>
    <w:rsid w:val="45F026AD"/>
    <w:rsid w:val="460A5C60"/>
    <w:rsid w:val="464B69A4"/>
    <w:rsid w:val="464C0026"/>
    <w:rsid w:val="46701E69"/>
    <w:rsid w:val="468E063F"/>
    <w:rsid w:val="46A75BA4"/>
    <w:rsid w:val="46DA3884"/>
    <w:rsid w:val="46E97F6B"/>
    <w:rsid w:val="46FA3EAB"/>
    <w:rsid w:val="471A0124"/>
    <w:rsid w:val="472471F5"/>
    <w:rsid w:val="474F4272"/>
    <w:rsid w:val="4751780D"/>
    <w:rsid w:val="475573AE"/>
    <w:rsid w:val="475D4196"/>
    <w:rsid w:val="4799373F"/>
    <w:rsid w:val="47B73271"/>
    <w:rsid w:val="47D97FDF"/>
    <w:rsid w:val="47F92430"/>
    <w:rsid w:val="47FB7F56"/>
    <w:rsid w:val="48074B4D"/>
    <w:rsid w:val="48147269"/>
    <w:rsid w:val="482254E2"/>
    <w:rsid w:val="48253225"/>
    <w:rsid w:val="482C0A84"/>
    <w:rsid w:val="48627FD5"/>
    <w:rsid w:val="48847F4B"/>
    <w:rsid w:val="488E0DCA"/>
    <w:rsid w:val="48943F06"/>
    <w:rsid w:val="48BB6D6F"/>
    <w:rsid w:val="48BD3FBF"/>
    <w:rsid w:val="48FD385A"/>
    <w:rsid w:val="48FD6070"/>
    <w:rsid w:val="49413F52"/>
    <w:rsid w:val="49431BB4"/>
    <w:rsid w:val="49437E06"/>
    <w:rsid w:val="495751DE"/>
    <w:rsid w:val="49697141"/>
    <w:rsid w:val="497955D6"/>
    <w:rsid w:val="49843F7B"/>
    <w:rsid w:val="49A26661"/>
    <w:rsid w:val="49A34401"/>
    <w:rsid w:val="49DB003F"/>
    <w:rsid w:val="4A1D0657"/>
    <w:rsid w:val="4A1E7F2C"/>
    <w:rsid w:val="4A3239D7"/>
    <w:rsid w:val="4A520FD4"/>
    <w:rsid w:val="4A753DD6"/>
    <w:rsid w:val="4A9B77CE"/>
    <w:rsid w:val="4AA03036"/>
    <w:rsid w:val="4AF33166"/>
    <w:rsid w:val="4B176F3A"/>
    <w:rsid w:val="4B247E30"/>
    <w:rsid w:val="4B307803"/>
    <w:rsid w:val="4B4340EE"/>
    <w:rsid w:val="4BBC79FC"/>
    <w:rsid w:val="4BC82845"/>
    <w:rsid w:val="4BE3142D"/>
    <w:rsid w:val="4BE60A4F"/>
    <w:rsid w:val="4BF947AC"/>
    <w:rsid w:val="4BFC0B30"/>
    <w:rsid w:val="4C0E1EFB"/>
    <w:rsid w:val="4C35155C"/>
    <w:rsid w:val="4C4B273B"/>
    <w:rsid w:val="4C5365B2"/>
    <w:rsid w:val="4C7958ED"/>
    <w:rsid w:val="4C8E75EA"/>
    <w:rsid w:val="4CAF130F"/>
    <w:rsid w:val="4CE4720A"/>
    <w:rsid w:val="4CE90CC5"/>
    <w:rsid w:val="4CF0341D"/>
    <w:rsid w:val="4D106251"/>
    <w:rsid w:val="4D1C174E"/>
    <w:rsid w:val="4D2C0BB1"/>
    <w:rsid w:val="4D44414D"/>
    <w:rsid w:val="4D510618"/>
    <w:rsid w:val="4D553F3D"/>
    <w:rsid w:val="4D5F0F87"/>
    <w:rsid w:val="4D6D60D4"/>
    <w:rsid w:val="4D722A68"/>
    <w:rsid w:val="4D8D78A2"/>
    <w:rsid w:val="4DAB41CC"/>
    <w:rsid w:val="4DB7491F"/>
    <w:rsid w:val="4DE33966"/>
    <w:rsid w:val="4E3441C2"/>
    <w:rsid w:val="4E41068C"/>
    <w:rsid w:val="4E43575C"/>
    <w:rsid w:val="4E9D1D67"/>
    <w:rsid w:val="4EDF237F"/>
    <w:rsid w:val="4F1B712F"/>
    <w:rsid w:val="4F42290E"/>
    <w:rsid w:val="4F930E3F"/>
    <w:rsid w:val="4F9C201E"/>
    <w:rsid w:val="4FA17635"/>
    <w:rsid w:val="4FA62E9D"/>
    <w:rsid w:val="4FC74BC1"/>
    <w:rsid w:val="4FC7696F"/>
    <w:rsid w:val="4FD80B7D"/>
    <w:rsid w:val="500D481B"/>
    <w:rsid w:val="50125E3D"/>
    <w:rsid w:val="502913D8"/>
    <w:rsid w:val="503B2279"/>
    <w:rsid w:val="504D3319"/>
    <w:rsid w:val="506863A4"/>
    <w:rsid w:val="507C1E50"/>
    <w:rsid w:val="507F6097"/>
    <w:rsid w:val="509A417D"/>
    <w:rsid w:val="50C80BF1"/>
    <w:rsid w:val="50CE26AB"/>
    <w:rsid w:val="50E517A3"/>
    <w:rsid w:val="510B56A4"/>
    <w:rsid w:val="510E0CFA"/>
    <w:rsid w:val="511B6F73"/>
    <w:rsid w:val="514A7858"/>
    <w:rsid w:val="515626A1"/>
    <w:rsid w:val="51646B6C"/>
    <w:rsid w:val="516624D4"/>
    <w:rsid w:val="51981DF6"/>
    <w:rsid w:val="51A52CE0"/>
    <w:rsid w:val="51BC0756"/>
    <w:rsid w:val="51BC69A8"/>
    <w:rsid w:val="51D3784E"/>
    <w:rsid w:val="51E54D76"/>
    <w:rsid w:val="51EF0175"/>
    <w:rsid w:val="51F55A16"/>
    <w:rsid w:val="52374280"/>
    <w:rsid w:val="52546BE0"/>
    <w:rsid w:val="526B217C"/>
    <w:rsid w:val="527F1783"/>
    <w:rsid w:val="52A35472"/>
    <w:rsid w:val="52AB4326"/>
    <w:rsid w:val="52E87329"/>
    <w:rsid w:val="5302488E"/>
    <w:rsid w:val="530C12BE"/>
    <w:rsid w:val="5319096B"/>
    <w:rsid w:val="53204D14"/>
    <w:rsid w:val="5349426B"/>
    <w:rsid w:val="534D13F9"/>
    <w:rsid w:val="535B15B5"/>
    <w:rsid w:val="53654E1D"/>
    <w:rsid w:val="538232D9"/>
    <w:rsid w:val="53963229"/>
    <w:rsid w:val="53C658BC"/>
    <w:rsid w:val="53C953AC"/>
    <w:rsid w:val="53E67D0C"/>
    <w:rsid w:val="53E977FC"/>
    <w:rsid w:val="54297BF9"/>
    <w:rsid w:val="54322F51"/>
    <w:rsid w:val="544B5DC1"/>
    <w:rsid w:val="545253A1"/>
    <w:rsid w:val="548D0188"/>
    <w:rsid w:val="54A35BFD"/>
    <w:rsid w:val="54DF0545"/>
    <w:rsid w:val="54E67898"/>
    <w:rsid w:val="55012924"/>
    <w:rsid w:val="550D12C8"/>
    <w:rsid w:val="551C49B3"/>
    <w:rsid w:val="552C79A0"/>
    <w:rsid w:val="553C52A5"/>
    <w:rsid w:val="55436A98"/>
    <w:rsid w:val="5568451C"/>
    <w:rsid w:val="55BD4A9D"/>
    <w:rsid w:val="55D50038"/>
    <w:rsid w:val="55E77D6B"/>
    <w:rsid w:val="55E97640"/>
    <w:rsid w:val="56076C39"/>
    <w:rsid w:val="561072C2"/>
    <w:rsid w:val="562763BA"/>
    <w:rsid w:val="562F3EBC"/>
    <w:rsid w:val="56312D95"/>
    <w:rsid w:val="56317D45"/>
    <w:rsid w:val="56356D29"/>
    <w:rsid w:val="56446F6C"/>
    <w:rsid w:val="564E1B99"/>
    <w:rsid w:val="56903F5F"/>
    <w:rsid w:val="56985F83"/>
    <w:rsid w:val="56B75990"/>
    <w:rsid w:val="56D06A51"/>
    <w:rsid w:val="56DB78D0"/>
    <w:rsid w:val="57087F99"/>
    <w:rsid w:val="5712706A"/>
    <w:rsid w:val="57430FD1"/>
    <w:rsid w:val="57655C08"/>
    <w:rsid w:val="5778214B"/>
    <w:rsid w:val="578F2469"/>
    <w:rsid w:val="57B40121"/>
    <w:rsid w:val="57C2283E"/>
    <w:rsid w:val="57C70572"/>
    <w:rsid w:val="57C93BCD"/>
    <w:rsid w:val="57CA34A1"/>
    <w:rsid w:val="57D936E4"/>
    <w:rsid w:val="57F56770"/>
    <w:rsid w:val="57FA1FD8"/>
    <w:rsid w:val="58134E48"/>
    <w:rsid w:val="583B7EFB"/>
    <w:rsid w:val="583F6981"/>
    <w:rsid w:val="58586CFE"/>
    <w:rsid w:val="587358E6"/>
    <w:rsid w:val="588C69A8"/>
    <w:rsid w:val="589A2E73"/>
    <w:rsid w:val="58AD704A"/>
    <w:rsid w:val="58AE2DC2"/>
    <w:rsid w:val="58B101BD"/>
    <w:rsid w:val="58E6255C"/>
    <w:rsid w:val="58E81E30"/>
    <w:rsid w:val="58F92290"/>
    <w:rsid w:val="58FA6008"/>
    <w:rsid w:val="58FD3402"/>
    <w:rsid w:val="590914C5"/>
    <w:rsid w:val="590D5D3B"/>
    <w:rsid w:val="593212FE"/>
    <w:rsid w:val="595E20F3"/>
    <w:rsid w:val="59777658"/>
    <w:rsid w:val="5988716F"/>
    <w:rsid w:val="5992246A"/>
    <w:rsid w:val="59B63CDD"/>
    <w:rsid w:val="59C42BCC"/>
    <w:rsid w:val="59C86EA5"/>
    <w:rsid w:val="59CA59DA"/>
    <w:rsid w:val="59D2488F"/>
    <w:rsid w:val="59D53026"/>
    <w:rsid w:val="59EA607C"/>
    <w:rsid w:val="5A054C64"/>
    <w:rsid w:val="5A696FA1"/>
    <w:rsid w:val="5A8042EB"/>
    <w:rsid w:val="5A861568"/>
    <w:rsid w:val="5A9A1850"/>
    <w:rsid w:val="5AAF3113"/>
    <w:rsid w:val="5AC32B55"/>
    <w:rsid w:val="5AE12FDB"/>
    <w:rsid w:val="5AE26D53"/>
    <w:rsid w:val="5AEB5382"/>
    <w:rsid w:val="5B0867BA"/>
    <w:rsid w:val="5B240188"/>
    <w:rsid w:val="5B25654A"/>
    <w:rsid w:val="5B2B06FA"/>
    <w:rsid w:val="5B3E21DC"/>
    <w:rsid w:val="5B4A6146"/>
    <w:rsid w:val="5B4B455A"/>
    <w:rsid w:val="5B4D0671"/>
    <w:rsid w:val="5B57504B"/>
    <w:rsid w:val="5B8F47E5"/>
    <w:rsid w:val="5BA26C0E"/>
    <w:rsid w:val="5BBF7D40"/>
    <w:rsid w:val="5BD25782"/>
    <w:rsid w:val="5BDE2DB4"/>
    <w:rsid w:val="5BE32D83"/>
    <w:rsid w:val="5BE80399"/>
    <w:rsid w:val="5C0F3B78"/>
    <w:rsid w:val="5C115B42"/>
    <w:rsid w:val="5C2313D1"/>
    <w:rsid w:val="5C3A6DDC"/>
    <w:rsid w:val="5C936557"/>
    <w:rsid w:val="5C9F4EFC"/>
    <w:rsid w:val="5CAB1AF3"/>
    <w:rsid w:val="5CBF10FA"/>
    <w:rsid w:val="5CBF734C"/>
    <w:rsid w:val="5CCC3817"/>
    <w:rsid w:val="5CD35709"/>
    <w:rsid w:val="5CD526CC"/>
    <w:rsid w:val="5D1640EA"/>
    <w:rsid w:val="5D1F603D"/>
    <w:rsid w:val="5D2914FD"/>
    <w:rsid w:val="5D347D3A"/>
    <w:rsid w:val="5D55380D"/>
    <w:rsid w:val="5D5F6439"/>
    <w:rsid w:val="5D821FCE"/>
    <w:rsid w:val="5DD21301"/>
    <w:rsid w:val="5DE057CC"/>
    <w:rsid w:val="5DFE20F6"/>
    <w:rsid w:val="5E0A62C7"/>
    <w:rsid w:val="5E251431"/>
    <w:rsid w:val="5E2725DC"/>
    <w:rsid w:val="5E4D0988"/>
    <w:rsid w:val="5E781EA8"/>
    <w:rsid w:val="5ECC5D50"/>
    <w:rsid w:val="5ED35331"/>
    <w:rsid w:val="5F0C25F1"/>
    <w:rsid w:val="5F10773B"/>
    <w:rsid w:val="5F1224EE"/>
    <w:rsid w:val="5F21609C"/>
    <w:rsid w:val="5F3833E6"/>
    <w:rsid w:val="5F6B7D1E"/>
    <w:rsid w:val="5F954394"/>
    <w:rsid w:val="605E0C2A"/>
    <w:rsid w:val="60600E46"/>
    <w:rsid w:val="608C39E9"/>
    <w:rsid w:val="60995615"/>
    <w:rsid w:val="60B116A2"/>
    <w:rsid w:val="60BF0870"/>
    <w:rsid w:val="60C72C73"/>
    <w:rsid w:val="60D041B9"/>
    <w:rsid w:val="60E94998"/>
    <w:rsid w:val="60EA0710"/>
    <w:rsid w:val="60EC4488"/>
    <w:rsid w:val="61077514"/>
    <w:rsid w:val="610D0ABC"/>
    <w:rsid w:val="612702A0"/>
    <w:rsid w:val="615269E1"/>
    <w:rsid w:val="615F10FE"/>
    <w:rsid w:val="61630BEE"/>
    <w:rsid w:val="61665FE8"/>
    <w:rsid w:val="61700C15"/>
    <w:rsid w:val="618F3B4C"/>
    <w:rsid w:val="619012B7"/>
    <w:rsid w:val="61B06987"/>
    <w:rsid w:val="61B431F8"/>
    <w:rsid w:val="61BB564B"/>
    <w:rsid w:val="61E37639"/>
    <w:rsid w:val="61EA4E6B"/>
    <w:rsid w:val="61EF2482"/>
    <w:rsid w:val="62035589"/>
    <w:rsid w:val="62257C51"/>
    <w:rsid w:val="62662018"/>
    <w:rsid w:val="626F35C2"/>
    <w:rsid w:val="62A36DC8"/>
    <w:rsid w:val="62AE40EB"/>
    <w:rsid w:val="63041F5D"/>
    <w:rsid w:val="630C7063"/>
    <w:rsid w:val="638210D3"/>
    <w:rsid w:val="63D07307"/>
    <w:rsid w:val="63D86F45"/>
    <w:rsid w:val="63DA4A6C"/>
    <w:rsid w:val="64202DC6"/>
    <w:rsid w:val="642503DD"/>
    <w:rsid w:val="64294DCA"/>
    <w:rsid w:val="642E206A"/>
    <w:rsid w:val="64300B2F"/>
    <w:rsid w:val="6488096B"/>
    <w:rsid w:val="64915A72"/>
    <w:rsid w:val="649317EA"/>
    <w:rsid w:val="649D7079"/>
    <w:rsid w:val="64A15589"/>
    <w:rsid w:val="64BA7EE7"/>
    <w:rsid w:val="64BD0615"/>
    <w:rsid w:val="64E40894"/>
    <w:rsid w:val="64EA6F30"/>
    <w:rsid w:val="64F47DAF"/>
    <w:rsid w:val="650C6EA7"/>
    <w:rsid w:val="6530528B"/>
    <w:rsid w:val="65426D6C"/>
    <w:rsid w:val="65476131"/>
    <w:rsid w:val="654C3747"/>
    <w:rsid w:val="654E74BF"/>
    <w:rsid w:val="65613696"/>
    <w:rsid w:val="65733463"/>
    <w:rsid w:val="658B24C1"/>
    <w:rsid w:val="65901A55"/>
    <w:rsid w:val="65D50E5C"/>
    <w:rsid w:val="65DC4ACB"/>
    <w:rsid w:val="65E16585"/>
    <w:rsid w:val="65FA13F5"/>
    <w:rsid w:val="661324B7"/>
    <w:rsid w:val="66252916"/>
    <w:rsid w:val="664A412A"/>
    <w:rsid w:val="66763171"/>
    <w:rsid w:val="66976C44"/>
    <w:rsid w:val="66AA4BC9"/>
    <w:rsid w:val="66C043ED"/>
    <w:rsid w:val="66C33EDD"/>
    <w:rsid w:val="66D275FB"/>
    <w:rsid w:val="67000C8D"/>
    <w:rsid w:val="670818F0"/>
    <w:rsid w:val="6709119A"/>
    <w:rsid w:val="674023FC"/>
    <w:rsid w:val="674C7A2E"/>
    <w:rsid w:val="674E19F8"/>
    <w:rsid w:val="675B5EC3"/>
    <w:rsid w:val="67786A75"/>
    <w:rsid w:val="67C223E6"/>
    <w:rsid w:val="67CE2B39"/>
    <w:rsid w:val="67DD4B2A"/>
    <w:rsid w:val="68213928"/>
    <w:rsid w:val="685017A0"/>
    <w:rsid w:val="687731D1"/>
    <w:rsid w:val="68CA77A4"/>
    <w:rsid w:val="68F47BF7"/>
    <w:rsid w:val="691427CE"/>
    <w:rsid w:val="692A1FF1"/>
    <w:rsid w:val="693469CC"/>
    <w:rsid w:val="6942558D"/>
    <w:rsid w:val="6942733B"/>
    <w:rsid w:val="695A0B28"/>
    <w:rsid w:val="695D0146"/>
    <w:rsid w:val="697414BE"/>
    <w:rsid w:val="698817BD"/>
    <w:rsid w:val="69A02596"/>
    <w:rsid w:val="69AE677E"/>
    <w:rsid w:val="69B30239"/>
    <w:rsid w:val="69B95123"/>
    <w:rsid w:val="69D1246D"/>
    <w:rsid w:val="6A2C3B47"/>
    <w:rsid w:val="6A3D3FA6"/>
    <w:rsid w:val="6A535578"/>
    <w:rsid w:val="6A753740"/>
    <w:rsid w:val="6A8E65B0"/>
    <w:rsid w:val="6ABA55F7"/>
    <w:rsid w:val="6AD761A9"/>
    <w:rsid w:val="6ADE12E5"/>
    <w:rsid w:val="6AE306AA"/>
    <w:rsid w:val="6AED50E7"/>
    <w:rsid w:val="6AF723A7"/>
    <w:rsid w:val="6B511AB7"/>
    <w:rsid w:val="6B7A5BD9"/>
    <w:rsid w:val="6B911929"/>
    <w:rsid w:val="6BA73DCD"/>
    <w:rsid w:val="6BB34520"/>
    <w:rsid w:val="6BB81B36"/>
    <w:rsid w:val="6C5001CC"/>
    <w:rsid w:val="6C8859AD"/>
    <w:rsid w:val="6CA43E69"/>
    <w:rsid w:val="6CAD5413"/>
    <w:rsid w:val="6CAE2F39"/>
    <w:rsid w:val="6CF22E26"/>
    <w:rsid w:val="6D0F39D8"/>
    <w:rsid w:val="6D1A412B"/>
    <w:rsid w:val="6D1C3950"/>
    <w:rsid w:val="6D237483"/>
    <w:rsid w:val="6D372F2F"/>
    <w:rsid w:val="6D5B4E6F"/>
    <w:rsid w:val="6D617FAC"/>
    <w:rsid w:val="6D6326C2"/>
    <w:rsid w:val="6D7970A3"/>
    <w:rsid w:val="6D910891"/>
    <w:rsid w:val="6D9817F8"/>
    <w:rsid w:val="6DD32C57"/>
    <w:rsid w:val="6E1A6AD8"/>
    <w:rsid w:val="6E2C05BA"/>
    <w:rsid w:val="6E313E22"/>
    <w:rsid w:val="6E55366C"/>
    <w:rsid w:val="6E565636"/>
    <w:rsid w:val="6E6821E0"/>
    <w:rsid w:val="6E69536A"/>
    <w:rsid w:val="6E6E472E"/>
    <w:rsid w:val="6E755ABD"/>
    <w:rsid w:val="6E971ED7"/>
    <w:rsid w:val="6EB34837"/>
    <w:rsid w:val="6EC16F54"/>
    <w:rsid w:val="6EC30F1E"/>
    <w:rsid w:val="6EC86534"/>
    <w:rsid w:val="6ECC157B"/>
    <w:rsid w:val="6ED8429D"/>
    <w:rsid w:val="6F044625"/>
    <w:rsid w:val="6F060E0B"/>
    <w:rsid w:val="6F304979"/>
    <w:rsid w:val="6F3B6306"/>
    <w:rsid w:val="6F3E2352"/>
    <w:rsid w:val="6F457B85"/>
    <w:rsid w:val="6F4965D9"/>
    <w:rsid w:val="6F6F4C02"/>
    <w:rsid w:val="6F7264A0"/>
    <w:rsid w:val="6F997ED1"/>
    <w:rsid w:val="6FB3745E"/>
    <w:rsid w:val="6FC33560"/>
    <w:rsid w:val="6FCF56A0"/>
    <w:rsid w:val="6FD1766A"/>
    <w:rsid w:val="6FE4739E"/>
    <w:rsid w:val="70141305"/>
    <w:rsid w:val="701E2184"/>
    <w:rsid w:val="703025E3"/>
    <w:rsid w:val="70447E3C"/>
    <w:rsid w:val="704E73AD"/>
    <w:rsid w:val="70597AF5"/>
    <w:rsid w:val="705D3AD4"/>
    <w:rsid w:val="70763D6E"/>
    <w:rsid w:val="707D334E"/>
    <w:rsid w:val="70926DFA"/>
    <w:rsid w:val="709A3F00"/>
    <w:rsid w:val="709C1A26"/>
    <w:rsid w:val="70A24B63"/>
    <w:rsid w:val="70BD374B"/>
    <w:rsid w:val="70C66AA3"/>
    <w:rsid w:val="70CF75E7"/>
    <w:rsid w:val="70EE5FFA"/>
    <w:rsid w:val="70F42B31"/>
    <w:rsid w:val="710B2708"/>
    <w:rsid w:val="711A6DEF"/>
    <w:rsid w:val="71265794"/>
    <w:rsid w:val="71275E5A"/>
    <w:rsid w:val="714D0842"/>
    <w:rsid w:val="71924BD7"/>
    <w:rsid w:val="719459D5"/>
    <w:rsid w:val="71A843FB"/>
    <w:rsid w:val="71BC7EA6"/>
    <w:rsid w:val="71CA25C3"/>
    <w:rsid w:val="71D6119C"/>
    <w:rsid w:val="72005FE5"/>
    <w:rsid w:val="721B2E1F"/>
    <w:rsid w:val="722C6DDA"/>
    <w:rsid w:val="723637B5"/>
    <w:rsid w:val="7281192B"/>
    <w:rsid w:val="72E871A5"/>
    <w:rsid w:val="731F4C30"/>
    <w:rsid w:val="732C5B6B"/>
    <w:rsid w:val="73551986"/>
    <w:rsid w:val="73703111"/>
    <w:rsid w:val="7399049F"/>
    <w:rsid w:val="73A0182E"/>
    <w:rsid w:val="73A90FDE"/>
    <w:rsid w:val="73B928EF"/>
    <w:rsid w:val="73C53042"/>
    <w:rsid w:val="73CA0659"/>
    <w:rsid w:val="73CF2113"/>
    <w:rsid w:val="73F676A0"/>
    <w:rsid w:val="73FB4CB6"/>
    <w:rsid w:val="740873D3"/>
    <w:rsid w:val="740C4744"/>
    <w:rsid w:val="7431087C"/>
    <w:rsid w:val="744F0B5E"/>
    <w:rsid w:val="74604B16"/>
    <w:rsid w:val="749A1F5A"/>
    <w:rsid w:val="749C7B1C"/>
    <w:rsid w:val="74C4154C"/>
    <w:rsid w:val="74C72DEA"/>
    <w:rsid w:val="74D472B5"/>
    <w:rsid w:val="74D774D1"/>
    <w:rsid w:val="74DF1EE2"/>
    <w:rsid w:val="74E10EC9"/>
    <w:rsid w:val="74E4574A"/>
    <w:rsid w:val="75022074"/>
    <w:rsid w:val="751678CE"/>
    <w:rsid w:val="751A5610"/>
    <w:rsid w:val="75243D99"/>
    <w:rsid w:val="75327173"/>
    <w:rsid w:val="75610B49"/>
    <w:rsid w:val="75624C40"/>
    <w:rsid w:val="75646EFD"/>
    <w:rsid w:val="75862CA5"/>
    <w:rsid w:val="7590605C"/>
    <w:rsid w:val="75B1647F"/>
    <w:rsid w:val="75C13CDD"/>
    <w:rsid w:val="75DC0B17"/>
    <w:rsid w:val="76053BCA"/>
    <w:rsid w:val="760F67F7"/>
    <w:rsid w:val="76164029"/>
    <w:rsid w:val="7662726E"/>
    <w:rsid w:val="766C1E9B"/>
    <w:rsid w:val="76876CD5"/>
    <w:rsid w:val="769D2054"/>
    <w:rsid w:val="76B37ACA"/>
    <w:rsid w:val="76E2215D"/>
    <w:rsid w:val="76F37EC6"/>
    <w:rsid w:val="770C2D36"/>
    <w:rsid w:val="773D55E5"/>
    <w:rsid w:val="77505319"/>
    <w:rsid w:val="7763329E"/>
    <w:rsid w:val="77925931"/>
    <w:rsid w:val="77E872FF"/>
    <w:rsid w:val="780A371A"/>
    <w:rsid w:val="781B7020"/>
    <w:rsid w:val="782B18E2"/>
    <w:rsid w:val="782D565A"/>
    <w:rsid w:val="783764D9"/>
    <w:rsid w:val="784B0E08"/>
    <w:rsid w:val="784D1858"/>
    <w:rsid w:val="78564BB1"/>
    <w:rsid w:val="78623556"/>
    <w:rsid w:val="786646C8"/>
    <w:rsid w:val="78681F15"/>
    <w:rsid w:val="787943FB"/>
    <w:rsid w:val="78857244"/>
    <w:rsid w:val="78F63C9E"/>
    <w:rsid w:val="790E548B"/>
    <w:rsid w:val="79532E9E"/>
    <w:rsid w:val="79652BD2"/>
    <w:rsid w:val="796E1F5F"/>
    <w:rsid w:val="797D43BF"/>
    <w:rsid w:val="797D616D"/>
    <w:rsid w:val="798B6ADC"/>
    <w:rsid w:val="799D05BD"/>
    <w:rsid w:val="79A8143C"/>
    <w:rsid w:val="79BD47BC"/>
    <w:rsid w:val="79BF4F76"/>
    <w:rsid w:val="79FC0E25"/>
    <w:rsid w:val="7A044199"/>
    <w:rsid w:val="7A187C44"/>
    <w:rsid w:val="7A440A39"/>
    <w:rsid w:val="7A462A03"/>
    <w:rsid w:val="7A65732D"/>
    <w:rsid w:val="7AA716F4"/>
    <w:rsid w:val="7AAD21FD"/>
    <w:rsid w:val="7AC5146A"/>
    <w:rsid w:val="7AED10D1"/>
    <w:rsid w:val="7B234AF2"/>
    <w:rsid w:val="7B2E771F"/>
    <w:rsid w:val="7B694BFB"/>
    <w:rsid w:val="7B762E74"/>
    <w:rsid w:val="7B7B492E"/>
    <w:rsid w:val="7BAF18BE"/>
    <w:rsid w:val="7BDE7397"/>
    <w:rsid w:val="7C2E19A1"/>
    <w:rsid w:val="7C574A54"/>
    <w:rsid w:val="7C63164A"/>
    <w:rsid w:val="7C835849"/>
    <w:rsid w:val="7C941F01"/>
    <w:rsid w:val="7C9712F4"/>
    <w:rsid w:val="7CA552F2"/>
    <w:rsid w:val="7CADCDCB"/>
    <w:rsid w:val="7CB77BE8"/>
    <w:rsid w:val="7CBB76D8"/>
    <w:rsid w:val="7CBC51FE"/>
    <w:rsid w:val="7CC04CEF"/>
    <w:rsid w:val="7CC876FF"/>
    <w:rsid w:val="7D1D3EEF"/>
    <w:rsid w:val="7D256900"/>
    <w:rsid w:val="7D3923AB"/>
    <w:rsid w:val="7D40373A"/>
    <w:rsid w:val="7D515947"/>
    <w:rsid w:val="7DA654CB"/>
    <w:rsid w:val="7DFD0FE3"/>
    <w:rsid w:val="7E156974"/>
    <w:rsid w:val="7E221091"/>
    <w:rsid w:val="7E2C3CBE"/>
    <w:rsid w:val="7E2E6E28"/>
    <w:rsid w:val="7E327526"/>
    <w:rsid w:val="7E492AC2"/>
    <w:rsid w:val="7E4D4360"/>
    <w:rsid w:val="7E77762F"/>
    <w:rsid w:val="7E7E4E83"/>
    <w:rsid w:val="7E867872"/>
    <w:rsid w:val="7ECB34D7"/>
    <w:rsid w:val="7EDB7BBE"/>
    <w:rsid w:val="7EFE1AFE"/>
    <w:rsid w:val="7F08472B"/>
    <w:rsid w:val="7F0B551B"/>
    <w:rsid w:val="7F1E5CFC"/>
    <w:rsid w:val="7F4334D7"/>
    <w:rsid w:val="7F4E65E2"/>
    <w:rsid w:val="7F533BF8"/>
    <w:rsid w:val="7F552A10"/>
    <w:rsid w:val="7F565496"/>
    <w:rsid w:val="7F62208D"/>
    <w:rsid w:val="7F98785D"/>
    <w:rsid w:val="7FC468A4"/>
    <w:rsid w:val="7FC543CA"/>
    <w:rsid w:val="7FC95C68"/>
    <w:rsid w:val="7FD12072"/>
    <w:rsid w:val="7FE01204"/>
    <w:rsid w:val="7FE02FB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color w:val="auto"/>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UserStyle_0"/>
    <w:basedOn w:val="1"/>
    <w:qFormat/>
    <w:uiPriority w:val="0"/>
    <w:pPr>
      <w:widowControl/>
      <w:spacing w:after="200" w:line="240" w:lineRule="atLeast"/>
      <w:jc w:val="left"/>
      <w:textAlignment w:val="baseline"/>
    </w:pPr>
    <w:rPr>
      <w:rFonts w:ascii="Tahoma" w:hAnsi="Tahoma" w:eastAsia="小标宋"/>
      <w:kern w:val="0"/>
      <w:sz w:val="44"/>
      <w:szCs w:val="24"/>
    </w:rPr>
  </w:style>
  <w:style w:type="character" w:customStyle="1" w:styleId="9">
    <w:name w:val="font31"/>
    <w:qFormat/>
    <w:uiPriority w:val="0"/>
    <w:rPr>
      <w:rFonts w:hint="eastAsia" w:ascii="宋体" w:hAnsi="宋体" w:eastAsia="宋体" w:cs="宋体"/>
      <w:color w:val="000000"/>
      <w:sz w:val="22"/>
      <w:szCs w:val="22"/>
      <w:u w:val="none"/>
    </w:rPr>
  </w:style>
  <w:style w:type="character" w:customStyle="1" w:styleId="10">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8347</Words>
  <Characters>8587</Characters>
  <Lines>0</Lines>
  <Paragraphs>0</Paragraphs>
  <TotalTime>0</TotalTime>
  <ScaleCrop>false</ScaleCrop>
  <LinksUpToDate>false</LinksUpToDate>
  <CharactersWithSpaces>8641</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2025-12-25T09:13:00Z</dcterms:created>
  <dc:creator>HiKun</dc:creator>
  <cp:lastModifiedBy>ysgz</cp:lastModifiedBy>
  <cp:lastPrinted>2025-12-30T11:11:00Z</cp:lastPrinted>
  <dcterms:modified xsi:type="dcterms:W3CDTF">2026-04-27T13:56:36Z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A4C0EFB7F48946D19542DB5956704B88_13</vt:lpwstr>
  </property>
  <property fmtid="{D5CDD505-2E9C-101B-9397-08002B2CF9AE}" pid="4" name="KSOTemplateDocerSaveRecord">
    <vt:lpwstr>eyJoZGlkIjoiNGEwOTgxNzQzNGYwNDU0Zjc1NmRiMGRmYTQ3ZDAxYjkiLCJ1c2VySWQiOiIxNTY2MzI1NzEwIn0=</vt:lpwstr>
  </property>
</Properties>
</file>