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E7630">
      <w:pPr>
        <w:spacing w:line="560" w:lineRule="exact"/>
        <w:jc w:val="left"/>
        <w:rPr>
          <w:rFonts w:ascii="方正小标宋简体" w:hAnsi="方正小标宋简体" w:eastAsia="黑体" w:cs="方正小标宋简体"/>
          <w:color w:val="000000"/>
          <w:sz w:val="40"/>
          <w:szCs w:val="44"/>
        </w:rPr>
      </w:pPr>
      <w:r>
        <w:rPr>
          <w:rFonts w:hint="eastAsia" w:ascii="黑体" w:hAnsi="黑体" w:eastAsia="黑体" w:cs="方正小标宋简体"/>
          <w:color w:val="000000"/>
          <w:sz w:val="32"/>
          <w:szCs w:val="32"/>
        </w:rPr>
        <w:t>附件1</w:t>
      </w:r>
    </w:p>
    <w:p w14:paraId="200C8420">
      <w:pPr>
        <w:spacing w:line="560" w:lineRule="exact"/>
        <w:jc w:val="left"/>
        <w:rPr>
          <w:rFonts w:ascii="方正小标宋简体" w:hAnsi="方正小标宋简体" w:eastAsia="方正小标宋简体" w:cs="方正小标宋简体"/>
          <w:color w:val="000000"/>
          <w:sz w:val="40"/>
          <w:szCs w:val="44"/>
        </w:rPr>
      </w:pPr>
    </w:p>
    <w:p w14:paraId="1672A8F4">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2026年贵州省工业和信息化领域</w:t>
      </w:r>
    </w:p>
    <w:p w14:paraId="6DB5F7E8">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数据知识产权工作方案</w:t>
      </w:r>
    </w:p>
    <w:p w14:paraId="0461812E">
      <w:pPr>
        <w:spacing w:line="560" w:lineRule="exact"/>
        <w:jc w:val="center"/>
        <w:rPr>
          <w:rFonts w:ascii="仿宋_GB2312" w:hAnsi="Times New Roman" w:eastAsia="仿宋_GB2312" w:cs="Times New Roman"/>
          <w:sz w:val="32"/>
          <w:szCs w:val="32"/>
        </w:rPr>
      </w:pPr>
    </w:p>
    <w:p w14:paraId="28075312">
      <w:pPr>
        <w:keepNext w:val="0"/>
        <w:keepLines w:val="0"/>
        <w:pageBreakBefore w:val="0"/>
        <w:kinsoku/>
        <w:wordWrap/>
        <w:overflowPunct/>
        <w:topLinePunct w:val="0"/>
        <w:autoSpaceDE/>
        <w:autoSpaceDN/>
        <w:bidi w:val="0"/>
        <w:adjustRightInd/>
        <w:spacing w:line="580" w:lineRule="exact"/>
        <w:ind w:firstLine="640" w:firstLineChars="200"/>
        <w:jc w:val="both"/>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一、工作目标</w:t>
      </w:r>
    </w:p>
    <w:p w14:paraId="35681857">
      <w:pPr>
        <w:keepNext w:val="0"/>
        <w:keepLines w:val="0"/>
        <w:pageBreakBefore w:val="0"/>
        <w:kinsoku/>
        <w:wordWrap/>
        <w:overflowPunct/>
        <w:topLinePunct w:val="0"/>
        <w:autoSpaceDE/>
        <w:autoSpaceDN/>
        <w:bidi w:val="0"/>
        <w:adjustRightInd/>
        <w:spacing w:line="58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到2026年底，全省工业和信息化领域数据知识产权制度体系、登记体系、应用体系、服务体系基本建立，保护与应用能力明显提升，</w:t>
      </w:r>
      <w:r>
        <w:rPr>
          <w:rFonts w:hint="default" w:ascii="Times New Roman" w:hAnsi="Times New Roman" w:eastAsia="仿宋_GB2312" w:cs="Times New Roman"/>
          <w:sz w:val="32"/>
          <w:szCs w:val="32"/>
        </w:rPr>
        <w:t>登记质效和</w:t>
      </w:r>
      <w:r>
        <w:rPr>
          <w:rFonts w:hint="default" w:ascii="Times New Roman" w:hAnsi="Times New Roman" w:eastAsia="仿宋_GB2312" w:cs="Times New Roman"/>
          <w:color w:val="000000"/>
          <w:sz w:val="32"/>
          <w:szCs w:val="32"/>
        </w:rPr>
        <w:t>数据要素流通效率明显提高，数据要素价值加快释放，初步探索形成具有贵州特色的工业和信息化领域数据知识产权保护与应用模式，推动</w:t>
      </w:r>
      <w:r>
        <w:rPr>
          <w:rFonts w:hint="default" w:ascii="Times New Roman" w:hAnsi="Times New Roman" w:eastAsia="仿宋_GB2312" w:cs="Times New Roman"/>
          <w:sz w:val="32"/>
          <w:szCs w:val="32"/>
        </w:rPr>
        <w:t>数据知识产权成为赋能贵州</w:t>
      </w:r>
      <w:r>
        <w:rPr>
          <w:rFonts w:hint="default" w:ascii="Times New Roman" w:hAnsi="Times New Roman" w:eastAsia="仿宋_GB2312" w:cs="Times New Roman"/>
          <w:color w:val="000000"/>
          <w:sz w:val="32"/>
          <w:szCs w:val="32"/>
        </w:rPr>
        <w:t>工业和信息化</w:t>
      </w:r>
      <w:r>
        <w:rPr>
          <w:rFonts w:hint="default" w:ascii="Times New Roman" w:hAnsi="Times New Roman" w:eastAsia="仿宋_GB2312" w:cs="Times New Roman"/>
          <w:sz w:val="32"/>
          <w:szCs w:val="32"/>
        </w:rPr>
        <w:t>高质量发展的重要</w:t>
      </w:r>
      <w:r>
        <w:rPr>
          <w:rFonts w:hint="default" w:ascii="Times New Roman" w:hAnsi="Times New Roman" w:eastAsia="仿宋_GB2312" w:cs="Times New Roman"/>
          <w:color w:val="000000"/>
          <w:sz w:val="32"/>
          <w:szCs w:val="32"/>
        </w:rPr>
        <w:t>支撑。全省工业和信息化领域数据知识产权登记累计达1200件，服务工业和信息化企业累计达1000家以上，培育数据知识产权领军企业4家以上，力争数据知识产权质押融资突破</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亿元。</w:t>
      </w:r>
    </w:p>
    <w:p w14:paraId="37BAFB9B">
      <w:pPr>
        <w:keepNext w:val="0"/>
        <w:keepLines w:val="0"/>
        <w:pageBreakBefore w:val="0"/>
        <w:kinsoku/>
        <w:wordWrap/>
        <w:overflowPunct/>
        <w:topLinePunct w:val="0"/>
        <w:autoSpaceDE/>
        <w:autoSpaceDN/>
        <w:bidi w:val="0"/>
        <w:adjustRightInd/>
        <w:spacing w:line="580" w:lineRule="exact"/>
        <w:ind w:firstLine="640" w:firstLineChars="200"/>
        <w:jc w:val="both"/>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二、主要任务</w:t>
      </w:r>
    </w:p>
    <w:p w14:paraId="03AD98C6">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（一）完善制度体系</w:t>
      </w:r>
    </w:p>
    <w:p w14:paraId="46708046">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1.加强规划引导。</w:t>
      </w:r>
      <w:r>
        <w:rPr>
          <w:rFonts w:hint="default" w:ascii="Times New Roman" w:hAnsi="Times New Roman" w:eastAsia="仿宋_GB2312" w:cs="Times New Roman"/>
          <w:bCs/>
          <w:sz w:val="32"/>
          <w:szCs w:val="32"/>
        </w:rPr>
        <w:t>将</w:t>
      </w:r>
      <w:r>
        <w:rPr>
          <w:rFonts w:hint="default" w:ascii="Times New Roman" w:hAnsi="Times New Roman" w:eastAsia="仿宋_GB2312" w:cs="Times New Roman"/>
          <w:sz w:val="32"/>
          <w:szCs w:val="32"/>
        </w:rPr>
        <w:t>数据知</w:t>
      </w:r>
      <w:r>
        <w:rPr>
          <w:rFonts w:hint="default" w:ascii="Times New Roman" w:hAnsi="Times New Roman" w:eastAsia="仿宋_GB2312" w:cs="Times New Roman"/>
          <w:color w:val="000000"/>
          <w:sz w:val="32"/>
          <w:szCs w:val="32"/>
        </w:rPr>
        <w:t>识产权创造和运用内容纳入贵州省“十五五”新型工业化发展规划、数字赋能工业产业发展规划和知识产权发展规划。</w:t>
      </w:r>
    </w:p>
    <w:p w14:paraId="7E71429B">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2.加强政策支持。</w:t>
      </w:r>
      <w:r>
        <w:rPr>
          <w:rFonts w:hint="default" w:ascii="Times New Roman" w:hAnsi="Times New Roman" w:eastAsia="仿宋_GB2312" w:cs="Times New Roman"/>
          <w:color w:val="000000"/>
          <w:sz w:val="32"/>
          <w:szCs w:val="32"/>
        </w:rPr>
        <w:t>将工业企业数据知识产权登记运用纳入支持工业领域数字化转型的若干政策措施（2026—2028年），制定覆盖工业和信息化领域数据知识产权“登记—融资—应用”环节支持政策。</w:t>
      </w:r>
    </w:p>
    <w:p w14:paraId="571DBD78">
      <w:pPr>
        <w:keepNext w:val="0"/>
        <w:keepLines w:val="0"/>
        <w:pageBreakBefore w:val="0"/>
        <w:widowControl/>
        <w:kinsoku/>
        <w:wordWrap/>
        <w:overflowPunct/>
        <w:topLinePunct w:val="0"/>
        <w:autoSpaceDE/>
        <w:autoSpaceDN/>
        <w:bidi w:val="0"/>
        <w:adjustRightInd/>
        <w:spacing w:line="580" w:lineRule="exact"/>
        <w:ind w:firstLine="642"/>
        <w:jc w:val="both"/>
        <w:textAlignment w:val="auto"/>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b/>
          <w:bCs/>
          <w:color w:val="000000"/>
          <w:sz w:val="32"/>
          <w:szCs w:val="32"/>
        </w:rPr>
        <w:t>3.强化标准引领。</w:t>
      </w:r>
      <w:r>
        <w:rPr>
          <w:rFonts w:hint="default" w:ascii="Times New Roman" w:hAnsi="Times New Roman" w:eastAsia="仿宋_GB2312" w:cs="Times New Roman"/>
          <w:color w:val="000000"/>
          <w:sz w:val="32"/>
          <w:szCs w:val="32"/>
        </w:rPr>
        <w:t>制定针对铝、磷、医疗、酱酒等行业的数据分级分类指南，</w:t>
      </w:r>
      <w:r>
        <w:rPr>
          <w:rFonts w:hint="default" w:ascii="Times New Roman" w:hAnsi="Times New Roman" w:eastAsia="仿宋_GB2312" w:cs="Times New Roman"/>
          <w:color w:val="000000"/>
          <w:sz w:val="32"/>
          <w:szCs w:val="32"/>
          <w:lang w:val="en-US" w:eastAsia="zh-CN"/>
        </w:rPr>
        <w:t>持续强化宣贯，</w:t>
      </w:r>
      <w:r>
        <w:rPr>
          <w:rFonts w:hint="default" w:ascii="Times New Roman" w:hAnsi="Times New Roman" w:eastAsia="仿宋_GB2312" w:cs="Times New Roman"/>
          <w:color w:val="000000"/>
          <w:sz w:val="32"/>
          <w:szCs w:val="32"/>
        </w:rPr>
        <w:t>鼓励</w:t>
      </w:r>
      <w:r>
        <w:rPr>
          <w:rFonts w:hint="default" w:ascii="Times New Roman" w:hAnsi="Times New Roman" w:eastAsia="仿宋_GB2312" w:cs="Times New Roman"/>
          <w:sz w:val="32"/>
          <w:szCs w:val="32"/>
        </w:rPr>
        <w:t>工业和信息化领域</w:t>
      </w:r>
      <w:r>
        <w:rPr>
          <w:rFonts w:hint="default" w:ascii="Times New Roman" w:hAnsi="Times New Roman" w:eastAsia="仿宋_GB2312" w:cs="Times New Roman"/>
          <w:color w:val="000000"/>
          <w:sz w:val="32"/>
          <w:szCs w:val="32"/>
        </w:rPr>
        <w:t>企业牵头或参与制定数据知识产权相关团体标准、地方标准。</w:t>
      </w:r>
    </w:p>
    <w:p w14:paraId="6D643189">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（二）优化登记体系</w:t>
      </w:r>
    </w:p>
    <w:p w14:paraId="19CC2F1B">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4.推进特色登记。</w:t>
      </w:r>
      <w:r>
        <w:rPr>
          <w:rFonts w:hint="default" w:ascii="Times New Roman" w:hAnsi="Times New Roman" w:eastAsia="仿宋_GB2312" w:cs="Times New Roman"/>
          <w:color w:val="000000"/>
          <w:sz w:val="32"/>
          <w:szCs w:val="32"/>
        </w:rPr>
        <w:t>深化“辅导前置、登记快办、集成服务、精准对接”的贵州工业和信息化领域数据知识产权特色服务模式。针对重点产业园区等，探索批量化审核、绿色审核通道等特色审核模式。</w:t>
      </w:r>
    </w:p>
    <w:p w14:paraId="0CD535AB">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bCs/>
          <w:color w:val="000000"/>
          <w:sz w:val="32"/>
          <w:szCs w:val="32"/>
        </w:rPr>
        <w:t>5.优化专区服务。</w:t>
      </w:r>
      <w:r>
        <w:rPr>
          <w:rFonts w:hint="default" w:ascii="Times New Roman" w:hAnsi="Times New Roman" w:eastAsia="仿宋_GB2312" w:cs="Times New Roman"/>
          <w:color w:val="000000"/>
          <w:sz w:val="32"/>
          <w:szCs w:val="32"/>
        </w:rPr>
        <w:t>完善贵州省数据知识产权综合服务平台“工信专区”服务功能，为工业企业提供</w:t>
      </w:r>
      <w:r>
        <w:rPr>
          <w:rFonts w:hint="default" w:ascii="Times New Roman" w:hAnsi="Times New Roman" w:eastAsia="仿宋_GB2312" w:cs="Times New Roman"/>
          <w:kern w:val="0"/>
          <w:sz w:val="32"/>
          <w:szCs w:val="32"/>
          <w:lang w:bidi="ar"/>
        </w:rPr>
        <w:t>数据知识产权存证、登记、查询、分析、评估、质押、转让、许可、交易、证券化、作价入股等“一站式”全链条服务。</w:t>
      </w:r>
    </w:p>
    <w:p w14:paraId="3A3B185B">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（三）深化应用体系</w:t>
      </w:r>
    </w:p>
    <w:p w14:paraId="16A4E3A4">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6.打造应用示范。</w:t>
      </w:r>
      <w:r>
        <w:rPr>
          <w:rFonts w:hint="default" w:ascii="Times New Roman" w:hAnsi="Times New Roman" w:eastAsia="仿宋_GB2312" w:cs="Times New Roman"/>
          <w:color w:val="000000"/>
          <w:sz w:val="32"/>
          <w:szCs w:val="32"/>
        </w:rPr>
        <w:t>聚焦“6+3”现代化工业体系，开展数据知识产权应用场景挖掘培育、登记</w:t>
      </w:r>
      <w:r>
        <w:rPr>
          <w:rFonts w:hint="default" w:ascii="Times New Roman" w:hAnsi="Times New Roman" w:eastAsia="仿宋_GB2312" w:cs="Times New Roman"/>
          <w:sz w:val="32"/>
          <w:szCs w:val="32"/>
        </w:rPr>
        <w:t>保护、中试验证、交易流通等工作。面向“8+4”重点行业领域，遴选培育人工智能大模型典型</w:t>
      </w:r>
      <w:r>
        <w:rPr>
          <w:rFonts w:hint="default" w:ascii="Times New Roman" w:hAnsi="Times New Roman" w:eastAsia="仿宋_GB2312" w:cs="Times New Roman"/>
          <w:color w:val="000000"/>
          <w:sz w:val="32"/>
          <w:szCs w:val="32"/>
        </w:rPr>
        <w:t>应用场景，发挥引领示范效应。</w:t>
      </w:r>
    </w:p>
    <w:p w14:paraId="20322991">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7.深化金融探索。</w:t>
      </w:r>
      <w:r>
        <w:rPr>
          <w:rFonts w:hint="default" w:ascii="Times New Roman" w:hAnsi="Times New Roman" w:eastAsia="仿宋_GB2312" w:cs="Times New Roman"/>
          <w:color w:val="000000"/>
          <w:sz w:val="32"/>
          <w:szCs w:val="32"/>
        </w:rPr>
        <w:t>与</w:t>
      </w:r>
      <w:r>
        <w:rPr>
          <w:rFonts w:hint="default" w:ascii="Times New Roman" w:hAnsi="Times New Roman" w:eastAsia="仿宋_GB2312" w:cs="Times New Roman"/>
          <w:sz w:val="32"/>
          <w:szCs w:val="32"/>
        </w:rPr>
        <w:t>中国人民银行贵州省分行、国家金融监督管理总局贵州监管局、贵阳大数据交易所联动，深化工业数据知识产权金融服务，推进工业和信息化领域数据知识产权证券化、质押融资、作价入股、交易转让等新型金融形态发展，助力解</w:t>
      </w:r>
      <w:r>
        <w:rPr>
          <w:rFonts w:hint="default" w:ascii="Times New Roman" w:hAnsi="Times New Roman" w:eastAsia="仿宋_GB2312" w:cs="Times New Roman"/>
          <w:color w:val="000000"/>
          <w:sz w:val="32"/>
          <w:szCs w:val="32"/>
        </w:rPr>
        <w:t>决企业融资难、融资贵问题。</w:t>
      </w:r>
    </w:p>
    <w:p w14:paraId="07B71302">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8.促进交易流通。</w:t>
      </w:r>
      <w:r>
        <w:rPr>
          <w:rFonts w:hint="default" w:ascii="Times New Roman" w:hAnsi="Times New Roman" w:eastAsia="仿宋_GB2312" w:cs="Times New Roman"/>
          <w:color w:val="000000"/>
          <w:sz w:val="32"/>
          <w:szCs w:val="32"/>
        </w:rPr>
        <w:t>会同贵阳大数据交易所，聚焦制造业、人工智能等重点领域，开展线上线下数据知识产权供需匹配和撮合，推动数据知识产权交易许可和共享流通。</w:t>
      </w:r>
    </w:p>
    <w:p w14:paraId="189EDAE1">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sz w:val="32"/>
          <w:szCs w:val="32"/>
        </w:rPr>
        <w:t>9.培育领军企业</w:t>
      </w:r>
      <w:r>
        <w:rPr>
          <w:rFonts w:hint="default" w:ascii="Times New Roman" w:hAnsi="Times New Roman" w:eastAsia="MS Mincho" w:cs="Times New Roman"/>
          <w:b/>
          <w:bCs/>
          <w:color w:val="000000"/>
          <w:sz w:val="32"/>
          <w:szCs w:val="32"/>
        </w:rPr>
        <w:t>‌</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开展数据知识产权领军企业建设，</w:t>
      </w:r>
      <w:r>
        <w:rPr>
          <w:rFonts w:hint="default" w:ascii="Times New Roman" w:hAnsi="Times New Roman" w:eastAsia="仿宋_GB2312" w:cs="Times New Roman"/>
          <w:kern w:val="0"/>
          <w:sz w:val="32"/>
          <w:szCs w:val="32"/>
          <w:lang w:bidi="ar"/>
        </w:rPr>
        <w:t>鼓励领军企业建立数据知识产权共享流通联盟或协会，整合产业资源，带动链上下企业协同提升数据知识产权创造、运用、保护能力，引领产业高质量发展。</w:t>
      </w:r>
    </w:p>
    <w:p w14:paraId="060A9F0D">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（四）完善生态体系</w:t>
      </w:r>
    </w:p>
    <w:p w14:paraId="09A869E3">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b/>
          <w:bCs/>
          <w:color w:val="000000"/>
          <w:sz w:val="32"/>
          <w:szCs w:val="32"/>
        </w:rPr>
        <w:t>10.构建服务体系。</w:t>
      </w:r>
      <w:r>
        <w:rPr>
          <w:rFonts w:hint="eastAsia" w:ascii="仿宋_GB2312" w:hAnsi="仿宋_GB2312" w:eastAsia="仿宋_GB2312" w:cs="仿宋_GB2312"/>
          <w:color w:val="000000"/>
          <w:sz w:val="32"/>
          <w:szCs w:val="32"/>
        </w:rPr>
        <w:t>依托贵州省数据知识产权登记平台，省、市（州）级知识产权公共服务网点，联动贵州省数字工信融合服务平台等平台，整合数据知识产权、金融机构、专家智库等专业服务资源，构建覆盖数据知识产权“培育—登记—评估—交易—融资—应用”的全链条公共服务生态体系。</w:t>
      </w:r>
    </w:p>
    <w:p w14:paraId="54A1CD98">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11.培育服务机构。</w:t>
      </w:r>
      <w:r>
        <w:rPr>
          <w:rFonts w:hint="default" w:ascii="Times New Roman" w:hAnsi="Times New Roman" w:eastAsia="仿宋_GB2312" w:cs="Times New Roman"/>
          <w:color w:val="000000"/>
          <w:sz w:val="32"/>
          <w:szCs w:val="32"/>
        </w:rPr>
        <w:t>培育一批依法依规从事数据集成、数据经纪、数据合规、安全审计、质量评估、资产评估、争议仲裁、人才培训等业务的服务机构，为开展全省工业和信息化领域数据知识产权全链条服务提供有力支撑。</w:t>
      </w:r>
    </w:p>
    <w:p w14:paraId="65E71062">
      <w:pPr>
        <w:keepNext w:val="0"/>
        <w:keepLines w:val="0"/>
        <w:pageBreakBefore w:val="0"/>
        <w:kinsoku/>
        <w:wordWrap/>
        <w:overflowPunct/>
        <w:topLinePunct w:val="0"/>
        <w:autoSpaceDE/>
        <w:autoSpaceDN/>
        <w:bidi w:val="0"/>
        <w:adjustRightInd/>
        <w:spacing w:line="580" w:lineRule="exact"/>
        <w:ind w:firstLine="710" w:firstLineChars="221"/>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12.规范服务行为。</w:t>
      </w:r>
      <w:r>
        <w:rPr>
          <w:rFonts w:hint="default" w:ascii="Times New Roman" w:hAnsi="Times New Roman" w:eastAsia="仿宋_GB2312" w:cs="Times New Roman"/>
          <w:color w:val="000000"/>
          <w:sz w:val="32"/>
          <w:szCs w:val="32"/>
        </w:rPr>
        <w:t>依托贵州省数据知识产权综合服务平台，</w:t>
      </w:r>
      <w:r>
        <w:rPr>
          <w:rFonts w:hint="default" w:ascii="Times New Roman" w:hAnsi="Times New Roman" w:eastAsia="仿宋_GB2312" w:cs="Times New Roman"/>
          <w:kern w:val="0"/>
          <w:sz w:val="32"/>
          <w:szCs w:val="32"/>
          <w:lang w:bidi="ar"/>
        </w:rPr>
        <w:t>开展数据知识产权服务机构准入备案、退出注销和服务评价等工作，</w:t>
      </w:r>
      <w:r>
        <w:rPr>
          <w:rFonts w:hint="default" w:ascii="Times New Roman" w:hAnsi="Times New Roman" w:eastAsia="仿宋_GB2312" w:cs="Times New Roman"/>
          <w:color w:val="000000"/>
          <w:sz w:val="32"/>
          <w:szCs w:val="32"/>
        </w:rPr>
        <w:t>有效规范数据知识产权服务机构行为，维护合法、公平的数据知识产权全链条服务秩序。</w:t>
      </w:r>
    </w:p>
    <w:p w14:paraId="0D318098">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黑体" w:cs="Times New Roman"/>
          <w:color w:val="000000"/>
          <w:sz w:val="32"/>
          <w:szCs w:val="32"/>
        </w:rPr>
        <w:t>三、保障措施</w:t>
      </w:r>
      <w:bookmarkStart w:id="0" w:name="_Toc29358"/>
    </w:p>
    <w:p w14:paraId="40B0BF6C">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w:t>
      </w:r>
      <w:bookmarkEnd w:id="0"/>
      <w:r>
        <w:rPr>
          <w:rFonts w:hint="default" w:ascii="Times New Roman" w:hAnsi="Times New Roman" w:eastAsia="楷体_GB2312" w:cs="Times New Roman"/>
          <w:b w:val="0"/>
          <w:bCs w:val="0"/>
          <w:color w:val="000000"/>
          <w:sz w:val="32"/>
          <w:szCs w:val="32"/>
        </w:rPr>
        <w:t>加强组织领导</w:t>
      </w:r>
    </w:p>
    <w:p w14:paraId="4AE8350D">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outlineLvl w:val="1"/>
        <w:rPr>
          <w:rFonts w:hint="default" w:ascii="Times New Roman" w:hAnsi="Times New Roman" w:eastAsia="楷体_GB2312" w:cs="Times New Roman"/>
          <w:b/>
          <w:bCs/>
          <w:color w:val="000000"/>
          <w:sz w:val="32"/>
          <w:szCs w:val="32"/>
        </w:rPr>
      </w:pPr>
      <w:r>
        <w:rPr>
          <w:rFonts w:hint="default" w:ascii="Times New Roman" w:hAnsi="Times New Roman" w:eastAsia="仿宋_GB2312" w:cs="Times New Roman"/>
          <w:color w:val="000000"/>
          <w:sz w:val="32"/>
          <w:szCs w:val="32"/>
        </w:rPr>
        <w:t>成立贵州省工业和信息化领域数据知识产权工作小组，明确工作责任人，建立统筹推进机制、沟通协作机制，形成工作合力，及时研究工作中的重要情况、推动解决重点问题，全面抓好各项任务落实。各地知识产权部门和工业和信息化部门要密切配合，形成常态化沟通机制，合力推进工业和信息化领域数据知识产权工作。</w:t>
      </w:r>
    </w:p>
    <w:p w14:paraId="555FDC3F">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（二）加强资金保障</w:t>
      </w:r>
    </w:p>
    <w:p w14:paraId="08FFE8FD">
      <w:pPr>
        <w:keepNext w:val="0"/>
        <w:keepLines w:val="0"/>
        <w:pageBreakBefore w:val="0"/>
        <w:widowControl/>
        <w:kinsoku/>
        <w:wordWrap/>
        <w:overflowPunct/>
        <w:topLinePunct w:val="0"/>
        <w:autoSpaceDE/>
        <w:autoSpaceDN/>
        <w:bidi w:val="0"/>
        <w:adjustRightInd/>
        <w:spacing w:line="580" w:lineRule="exact"/>
        <w:ind w:firstLine="640" w:firstLineChars="200"/>
        <w:jc w:val="both"/>
        <w:textAlignment w:val="auto"/>
        <w:outlineLvl w:val="1"/>
        <w:rPr>
          <w:rFonts w:hint="default" w:ascii="Times New Roman" w:hAnsi="Times New Roman" w:eastAsia="楷体_GB2312" w:cs="Times New Roman"/>
          <w:b/>
          <w:bCs/>
          <w:color w:val="000000"/>
          <w:sz w:val="32"/>
          <w:szCs w:val="32"/>
        </w:rPr>
      </w:pPr>
      <w:r>
        <w:rPr>
          <w:rFonts w:hint="default" w:ascii="Times New Roman" w:hAnsi="Times New Roman" w:eastAsia="仿宋_GB2312" w:cs="Times New Roman"/>
          <w:color w:val="000000"/>
          <w:sz w:val="32"/>
          <w:szCs w:val="32"/>
        </w:rPr>
        <w:t>按照“责权对等、工作对应、资金对口、绩效对标”的原则，调整优化资金结构，强化项目绩效管理，确保工作方案各项目标如期完成。积极引导社会资本投入数据知识产权创造、运用、管理、保护和服务，形成政府资金、金融资本、社会资本多方投入的产业发展新格局。</w:t>
      </w:r>
    </w:p>
    <w:p w14:paraId="4124FF4D">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（三）加强人才保障</w:t>
      </w:r>
    </w:p>
    <w:p w14:paraId="33A94814">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cs="Times New Roman"/>
          <w:szCs w:val="24"/>
        </w:rPr>
      </w:pPr>
      <w:r>
        <w:rPr>
          <w:rFonts w:hint="default" w:ascii="Times New Roman" w:hAnsi="Times New Roman" w:eastAsia="仿宋_GB2312" w:cs="Times New Roman"/>
          <w:color w:val="000000"/>
          <w:sz w:val="32"/>
          <w:szCs w:val="32"/>
        </w:rPr>
        <w:t>充分调动高校、科研院所、行业协会、各类服务机构等力量，组建一支具备提供集成式的工业和信息化领域数据知识产权培育、登记、合规、评估、金融、保护等全流程服务的人才队伍，确保工作高质量完成。探索数据知识产权相关职业技能等级认定，提高人才队伍专业能力。</w:t>
      </w:r>
    </w:p>
    <w:p w14:paraId="00D094D7">
      <w:pPr>
        <w:keepNext w:val="0"/>
        <w:keepLines w:val="0"/>
        <w:pageBreakBefore w:val="0"/>
        <w:widowControl/>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（四）加强宣传推广</w:t>
      </w:r>
    </w:p>
    <w:p w14:paraId="4ED2F1E1">
      <w:pPr>
        <w:keepNext w:val="0"/>
        <w:keepLines w:val="0"/>
        <w:pageBreakBefore w:val="0"/>
        <w:kinsoku/>
        <w:wordWrap/>
        <w:overflowPunct/>
        <w:topLinePunct w:val="0"/>
        <w:autoSpaceDE/>
        <w:autoSpaceDN/>
        <w:bidi w:val="0"/>
        <w:adjustRightInd/>
        <w:spacing w:line="580" w:lineRule="exact"/>
        <w:ind w:firstLine="707" w:firstLineChars="221"/>
        <w:jc w:val="both"/>
        <w:textAlignment w:val="auto"/>
        <w:rPr>
          <w:rFonts w:hint="default" w:ascii="Times New Roman" w:hAnsi="Times New Roman" w:cs="Times New Roman"/>
          <w:szCs w:val="24"/>
        </w:rPr>
      </w:pPr>
      <w:r>
        <w:rPr>
          <w:rFonts w:hint="default" w:ascii="Times New Roman" w:hAnsi="Times New Roman" w:eastAsia="仿宋_GB2312" w:cs="Times New Roman"/>
          <w:color w:val="000000"/>
          <w:sz w:val="32"/>
          <w:szCs w:val="32"/>
        </w:rPr>
        <w:t>持续深入开展工业和信息化领域数据知识产权宣传宣讲与培训服务活动。以中国国际大数据产业博览会、贵阳工业博览会、“4·26世界知识产权日”等为契机，开展数据知识产权政策宣贯、典型发布、交流研讨。通过门户网站发布、主流媒体报道、新媒体传播等多形式、多渠道进行宣传和推广</w:t>
      </w:r>
      <w:r>
        <w:rPr>
          <w:rFonts w:hint="default" w:ascii="Times New Roman" w:hAnsi="Times New Roman" w:eastAsia="仿宋_GB2312" w:cs="Times New Roman"/>
          <w:kern w:val="0"/>
          <w:sz w:val="32"/>
          <w:szCs w:val="32"/>
          <w:lang w:bidi="ar"/>
        </w:rPr>
        <w:t>，营造尊重创新、保护创造的良好氛围</w:t>
      </w:r>
      <w:r>
        <w:rPr>
          <w:rFonts w:hint="default" w:ascii="Times New Roman" w:hAnsi="Times New Roman" w:eastAsia="仿宋_GB2312" w:cs="Times New Roman"/>
          <w:color w:val="000000"/>
          <w:sz w:val="32"/>
          <w:szCs w:val="32"/>
        </w:rPr>
        <w:t>。</w:t>
      </w:r>
    </w:p>
    <w:p w14:paraId="6720CE5B">
      <w:pPr>
        <w:spacing w:line="460" w:lineRule="exact"/>
        <w:ind w:left="1478" w:leftChars="0" w:firstLine="640" w:firstLineChars="200"/>
        <w:rPr>
          <w:rFonts w:ascii="仿宋_GB2312" w:hAnsi="宋体" w:eastAsia="仿宋_GB2312" w:cs="宋体"/>
          <w:kern w:val="0"/>
          <w:sz w:val="32"/>
          <w:szCs w:val="32"/>
          <w:lang w:val="en-US" w:eastAsia="zh-CN" w:bidi="ar"/>
        </w:rPr>
      </w:pPr>
    </w:p>
    <w:p w14:paraId="05BC5257">
      <w:bookmarkStart w:id="1" w:name="_GoBack"/>
      <w:bookmarkEnd w:id="1"/>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7287E"/>
    <w:rsid w:val="21A7287E"/>
    <w:rsid w:val="2DD360B0"/>
    <w:rsid w:val="7D4B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2026-04-28T02:47:00Z</dcterms:created>
  <dc:creator>L</dc:creator>
  <cp:lastModifiedBy>L</cp:lastModifiedBy>
  <dcterms:modified xsi:type="dcterms:W3CDTF">2026-04-28T02:48:06Z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14A2805F22134AE4B05AE52A6BBB794D_11</vt:lpwstr>
  </property>
  <property fmtid="{D5CDD505-2E9C-101B-9397-08002B2CF9AE}" pid="4" name="KSOTemplateDocerSaveRecord">
    <vt:lpwstr>eyJoZGlkIjoiNTM4NDUzMmQxMjMxYmMwNDc0ZThkZTlmYzhlMGUwYTQiLCJ1c2VySWQiOiIyODk2OTkwMzAifQ==</vt:lpwstr>
  </property>
</Properties>
</file>