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86945">
      <w:pPr>
        <w:spacing w:line="560" w:lineRule="exact"/>
        <w:jc w:val="left"/>
        <w:rPr>
          <w:rFonts w:ascii="黑体" w:hAnsi="宋体" w:eastAsia="黑体" w:cs="黑体"/>
          <w:sz w:val="32"/>
          <w:szCs w:val="32"/>
        </w:rPr>
      </w:pPr>
      <w:r>
        <w:rPr>
          <w:rFonts w:hint="eastAsia" w:ascii="黑体" w:hAnsi="宋体" w:eastAsia="黑体" w:cs="黑体"/>
          <w:sz w:val="32"/>
          <w:szCs w:val="32"/>
          <w:lang w:bidi="ar"/>
        </w:rPr>
        <w:t>附件2</w:t>
      </w:r>
    </w:p>
    <w:p w14:paraId="46AD5036">
      <w:pPr>
        <w:spacing w:line="560" w:lineRule="exact"/>
        <w:jc w:val="left"/>
        <w:rPr>
          <w:rFonts w:ascii="黑体" w:hAnsi="宋体" w:eastAsia="黑体" w:cs="黑体"/>
          <w:sz w:val="32"/>
          <w:szCs w:val="32"/>
        </w:rPr>
      </w:pPr>
      <w:r>
        <w:rPr>
          <w:rFonts w:hint="eastAsia" w:ascii="黑体" w:hAnsi="宋体" w:eastAsia="黑体" w:cs="黑体"/>
          <w:sz w:val="32"/>
          <w:szCs w:val="32"/>
          <w:lang w:bidi="ar"/>
        </w:rPr>
        <w:t xml:space="preserve"> </w:t>
      </w:r>
    </w:p>
    <w:p w14:paraId="3F94F9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2026年贵州省交通运输领域数据知识产权</w:t>
      </w:r>
    </w:p>
    <w:p w14:paraId="01514F4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sz w:val="44"/>
          <w:szCs w:val="44"/>
          <w:lang w:bidi="ar"/>
        </w:rPr>
        <w:t>工作方案</w:t>
      </w:r>
    </w:p>
    <w:p w14:paraId="4867BE33">
      <w:pPr>
        <w:spacing w:line="56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lang w:bidi="ar"/>
        </w:rPr>
        <w:t xml:space="preserve"> </w:t>
      </w:r>
    </w:p>
    <w:p w14:paraId="190B9A4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仿宋_GB2312" w:cs="Times New Roman"/>
          <w:sz w:val="32"/>
          <w:szCs w:val="32"/>
          <w:lang w:bidi="ar"/>
        </w:rPr>
        <w:t>根据《国家知识产权局数据知识产权地方试点工作指引（试行）》，为持续深化贵州数据知识产权地方试点，进一步释放交通运输领域数据价值，探索数据知识产权赋能交通运输领域高质量发展的路径，特制定本工作方案。</w:t>
      </w:r>
    </w:p>
    <w:p w14:paraId="2C30B9E3">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一、工作目标</w:t>
      </w:r>
    </w:p>
    <w:p w14:paraId="3E8D0EE6">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sz w:val="32"/>
          <w:szCs w:val="32"/>
          <w:lang w:bidi="ar"/>
        </w:rPr>
        <w:t>到2026年年底，全省交通运输领域数据知识产权制度体系、登记体系、应用体系和服务体系基本建立，保护与应用能力明显提升，</w:t>
      </w:r>
      <w:r>
        <w:rPr>
          <w:rFonts w:hint="default" w:ascii="Times New Roman" w:hAnsi="Times New Roman" w:eastAsia="仿宋_GB2312" w:cs="Times New Roman"/>
          <w:sz w:val="32"/>
          <w:szCs w:val="32"/>
          <w:lang w:bidi="ar"/>
        </w:rPr>
        <w:t>登记质效和</w:t>
      </w:r>
      <w:r>
        <w:rPr>
          <w:rFonts w:hint="default" w:ascii="Times New Roman" w:hAnsi="Times New Roman" w:eastAsia="仿宋_GB2312" w:cs="Times New Roman"/>
          <w:color w:val="000000"/>
          <w:sz w:val="32"/>
          <w:szCs w:val="32"/>
          <w:lang w:bidi="ar"/>
        </w:rPr>
        <w:t>数据要素流通效率显著提高，数据要素价值加快释放，</w:t>
      </w:r>
      <w:r>
        <w:rPr>
          <w:rFonts w:hint="default" w:ascii="Times New Roman" w:hAnsi="Times New Roman" w:eastAsia="仿宋_GB2312" w:cs="Times New Roman"/>
          <w:sz w:val="32"/>
          <w:szCs w:val="32"/>
          <w:lang w:bidi="ar"/>
        </w:rPr>
        <w:t>数据知识产权成为赋能</w:t>
      </w:r>
      <w:r>
        <w:rPr>
          <w:rFonts w:hint="default" w:ascii="Times New Roman" w:hAnsi="Times New Roman" w:eastAsia="仿宋_GB2312" w:cs="Times New Roman"/>
          <w:color w:val="000000"/>
          <w:sz w:val="32"/>
          <w:szCs w:val="32"/>
          <w:lang w:bidi="ar"/>
        </w:rPr>
        <w:t>交通运输产业</w:t>
      </w:r>
      <w:r>
        <w:rPr>
          <w:rFonts w:hint="default" w:ascii="Times New Roman" w:hAnsi="Times New Roman" w:eastAsia="仿宋_GB2312" w:cs="Times New Roman"/>
          <w:sz w:val="32"/>
          <w:szCs w:val="32"/>
          <w:lang w:bidi="ar"/>
        </w:rPr>
        <w:t>高质量发展重要</w:t>
      </w:r>
      <w:r>
        <w:rPr>
          <w:rFonts w:hint="default" w:ascii="Times New Roman" w:hAnsi="Times New Roman" w:eastAsia="仿宋_GB2312" w:cs="Times New Roman"/>
          <w:color w:val="000000"/>
          <w:sz w:val="32"/>
          <w:szCs w:val="32"/>
          <w:lang w:bidi="ar"/>
        </w:rPr>
        <w:t>支撑。全省交通运输领域数据知识产权登记累计400件以上，举办数据知识产权专题活动4期以上，精准服务交通运输企业15家以上，</w:t>
      </w:r>
      <w:r>
        <w:rPr>
          <w:rFonts w:hint="default" w:ascii="Times New Roman" w:hAnsi="Times New Roman" w:eastAsia="仿宋_GB2312" w:cs="Times New Roman"/>
          <w:sz w:val="32"/>
          <w:szCs w:val="32"/>
          <w:lang w:bidi="ar"/>
        </w:rPr>
        <w:t>推动3家企业开展数据知识产权转化运用，打造交通运输领域数据知识产权示范应用场景1个，初步探索形成具有贵州特色的交通运输领域数据知识产权保护与应用模式。</w:t>
      </w:r>
    </w:p>
    <w:p w14:paraId="1B83C4D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bidi="ar"/>
        </w:rPr>
        <w:t>二、主要任务</w:t>
      </w:r>
    </w:p>
    <w:p w14:paraId="3C7B3ACC">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bidi="ar"/>
        </w:rPr>
        <w:t>（一）加强数据知识产权制度体系建设</w:t>
      </w:r>
    </w:p>
    <w:p w14:paraId="4DF21764">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bidi="ar"/>
        </w:rPr>
        <w:t>1.加强规划引导</w:t>
      </w:r>
      <w:r>
        <w:rPr>
          <w:rFonts w:hint="default" w:ascii="Times New Roman" w:hAnsi="Times New Roman" w:eastAsia="仿宋_GB2312" w:cs="Times New Roman"/>
          <w:sz w:val="32"/>
          <w:szCs w:val="32"/>
          <w:lang w:bidi="ar"/>
        </w:rPr>
        <w:t>。</w:t>
      </w:r>
      <w:r>
        <w:rPr>
          <w:rFonts w:hint="default" w:ascii="Times New Roman" w:hAnsi="Times New Roman" w:eastAsia="仿宋_GB2312" w:cs="Times New Roman"/>
          <w:bCs/>
          <w:sz w:val="32"/>
          <w:szCs w:val="32"/>
          <w:lang w:bidi="ar"/>
        </w:rPr>
        <w:t>将</w:t>
      </w:r>
      <w:r>
        <w:rPr>
          <w:rFonts w:hint="default" w:ascii="Times New Roman" w:hAnsi="Times New Roman" w:eastAsia="仿宋_GB2312" w:cs="Times New Roman"/>
          <w:sz w:val="32"/>
          <w:szCs w:val="32"/>
          <w:lang w:bidi="ar"/>
        </w:rPr>
        <w:t>数据知</w:t>
      </w:r>
      <w:r>
        <w:rPr>
          <w:rFonts w:hint="default" w:ascii="Times New Roman" w:hAnsi="Times New Roman" w:eastAsia="仿宋_GB2312" w:cs="Times New Roman"/>
          <w:color w:val="000000"/>
          <w:sz w:val="32"/>
          <w:szCs w:val="32"/>
          <w:lang w:bidi="ar"/>
        </w:rPr>
        <w:t>识产权创造和运用内容纳入贵州省“十五五”综合交通运输体系发展规划和知识产权发展规划。</w:t>
      </w:r>
    </w:p>
    <w:p w14:paraId="2D8495DB">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2.</w:t>
      </w:r>
      <w:r>
        <w:rPr>
          <w:rFonts w:hint="default" w:ascii="Times New Roman" w:hAnsi="Times New Roman" w:eastAsia="仿宋_GB2312" w:cs="Times New Roman"/>
          <w:b/>
          <w:bCs/>
          <w:sz w:val="32"/>
          <w:szCs w:val="32"/>
          <w:lang w:bidi="ar"/>
        </w:rPr>
        <w:t>强化政策支持。</w:t>
      </w:r>
      <w:r>
        <w:rPr>
          <w:rFonts w:hint="default" w:ascii="Times New Roman" w:hAnsi="Times New Roman" w:eastAsia="仿宋_GB2312" w:cs="Times New Roman"/>
          <w:color w:val="000000"/>
          <w:sz w:val="32"/>
          <w:szCs w:val="32"/>
          <w:lang w:bidi="ar"/>
        </w:rPr>
        <w:t>将数据知识产权纳入交通运输科研项目考核指标。</w:t>
      </w:r>
    </w:p>
    <w:p w14:paraId="4ADE3CC7">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sz w:val="32"/>
          <w:szCs w:val="32"/>
          <w:lang w:bidi="ar"/>
        </w:rPr>
        <w:t>3.强化标准引领</w:t>
      </w:r>
      <w:r>
        <w:rPr>
          <w:rFonts w:hint="default" w:ascii="Times New Roman" w:hAnsi="Times New Roman" w:eastAsia="仿宋_GB2312" w:cs="Times New Roman"/>
          <w:color w:val="000000"/>
          <w:sz w:val="32"/>
          <w:szCs w:val="32"/>
          <w:lang w:bidi="ar"/>
        </w:rPr>
        <w:t>。</w:t>
      </w:r>
      <w:r>
        <w:rPr>
          <w:rFonts w:hint="default" w:ascii="Times New Roman" w:hAnsi="Times New Roman" w:eastAsia="仿宋_GB2312" w:cs="Times New Roman"/>
          <w:sz w:val="32"/>
          <w:szCs w:val="32"/>
          <w:lang w:bidi="ar"/>
        </w:rPr>
        <w:t>鼓励行业协会、高校院所、企业等各类创新主体，围绕交通运输运营、基础设施监测、气象环境等多元数据类型，开展跨行业、跨部门、跨领域的数据融合技术标准或规范研究，突破多元数据融合的结构性壁垒，推进数据流通共享和深度融合应用。</w:t>
      </w:r>
    </w:p>
    <w:p w14:paraId="4D751946">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bidi="ar"/>
        </w:rPr>
        <w:t>（二）推进数据知识产权登记保护</w:t>
      </w:r>
    </w:p>
    <w:p w14:paraId="3D53FFA4">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bidi="ar"/>
        </w:rPr>
        <w:t>4.持续推进特色登记。</w:t>
      </w:r>
      <w:r>
        <w:rPr>
          <w:rFonts w:hint="default" w:ascii="Times New Roman" w:hAnsi="Times New Roman" w:eastAsia="仿宋_GB2312" w:cs="Times New Roman"/>
          <w:color w:val="000000"/>
          <w:sz w:val="32"/>
          <w:szCs w:val="32"/>
          <w:lang w:bidi="ar"/>
        </w:rPr>
        <w:t>深化“辅导前置、登记快办、集成服务、精准对接”的交通运输领域数据知识产权特色服务模式，探索批量化审核、绿色审核通道等特色审核模式。</w:t>
      </w:r>
    </w:p>
    <w:p w14:paraId="4D762DC9">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sz w:val="32"/>
          <w:szCs w:val="32"/>
          <w:lang w:bidi="ar"/>
        </w:rPr>
        <w:t>5.完善全链条服务体系</w:t>
      </w:r>
      <w:r>
        <w:rPr>
          <w:rFonts w:hint="default" w:ascii="Times New Roman" w:hAnsi="Times New Roman" w:eastAsia="仿宋_GB2312" w:cs="Times New Roman"/>
          <w:sz w:val="32"/>
          <w:szCs w:val="32"/>
          <w:lang w:bidi="ar"/>
        </w:rPr>
        <w:t>。优化贵州省数据知识产权综合服务平台“交通专区”服务功能和服务效率，为企业提供数据知识产权存证登记、查询分析、转让许可、交易融资等“一站式”服务。强化数据知识产权服务资源供给，完善“政-企-服”协调联动机制，逐步构建系统化、全链条的公共服务体系，形成强有力的服务支撑。</w:t>
      </w:r>
    </w:p>
    <w:p w14:paraId="4951397E">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b/>
          <w:bCs/>
          <w:color w:val="000000"/>
          <w:sz w:val="32"/>
          <w:szCs w:val="32"/>
          <w:lang w:bidi="ar"/>
        </w:rPr>
        <w:t>6.</w:t>
      </w:r>
      <w:r>
        <w:rPr>
          <w:rFonts w:hint="default" w:ascii="Times New Roman" w:hAnsi="Times New Roman" w:eastAsia="仿宋_GB2312" w:cs="Times New Roman"/>
          <w:b/>
          <w:bCs/>
          <w:sz w:val="32"/>
          <w:szCs w:val="32"/>
          <w:lang w:bidi="ar"/>
        </w:rPr>
        <w:t>纵深推进工作覆盖面</w:t>
      </w:r>
      <w:r>
        <w:rPr>
          <w:rFonts w:hint="default" w:ascii="Times New Roman" w:hAnsi="Times New Roman" w:eastAsia="仿宋_GB2312" w:cs="Times New Roman"/>
          <w:sz w:val="32"/>
          <w:szCs w:val="32"/>
          <w:lang w:bidi="ar"/>
        </w:rPr>
        <w:t>。将数据知识产权工作向市州纵深，完善地方交通运输部门和市场监管部门联动协调机制，共同推动地方交通运输重点企业挖掘数据资源，加快数据知识产权合规登记与数据资产化。面向水路运输、港口运营、航空客运等领域开展公共惠企服务，扩大覆盖范围，提升服务效能。</w:t>
      </w:r>
    </w:p>
    <w:p w14:paraId="13D90C86">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bidi="ar"/>
        </w:rPr>
      </w:pPr>
      <w:r>
        <w:rPr>
          <w:rFonts w:hint="default" w:ascii="Times New Roman" w:hAnsi="Times New Roman" w:eastAsia="楷体_GB2312" w:cs="Times New Roman"/>
          <w:b w:val="0"/>
          <w:bCs w:val="0"/>
          <w:sz w:val="32"/>
          <w:szCs w:val="32"/>
          <w:lang w:bidi="ar"/>
        </w:rPr>
        <w:t>（三）促进数据知识产权转化运用</w:t>
      </w:r>
    </w:p>
    <w:p w14:paraId="1C8AD51A">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7.加强行业协会组织建设。</w:t>
      </w:r>
      <w:r>
        <w:rPr>
          <w:rFonts w:hint="default" w:ascii="Times New Roman" w:hAnsi="Times New Roman" w:eastAsia="仿宋_GB2312" w:cs="Times New Roman"/>
          <w:sz w:val="32"/>
          <w:szCs w:val="32"/>
          <w:lang w:bidi="ar"/>
        </w:rPr>
        <w:t>推动成立贵州省交通数据产业协会，完善内部组织机构建设，汇聚交通运输产业全链条主体，形成运行高效、沟通顺畅、协同发力的联动协调机制。探索以协会为载体的产业场景化赋能、行业共享协同等运营模式。</w:t>
      </w:r>
    </w:p>
    <w:p w14:paraId="174E6E7A">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8.促进数据知识产权交易流通</w:t>
      </w:r>
      <w:r>
        <w:rPr>
          <w:rFonts w:hint="default" w:ascii="Times New Roman" w:hAnsi="Times New Roman" w:eastAsia="仿宋_GB2312" w:cs="Times New Roman"/>
          <w:sz w:val="32"/>
          <w:szCs w:val="32"/>
          <w:lang w:bidi="ar"/>
        </w:rPr>
        <w:t>。会同贵阳大数据交易所，构建数据知识产权供需匹配机制，建立数据知识产权“供需库”，加强线上线下供需匹配和撮合，推动数据知识产权交易许可和共享交换。</w:t>
      </w:r>
    </w:p>
    <w:p w14:paraId="104E05C3">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9.打造数据知识产权典型示范</w:t>
      </w:r>
      <w:r>
        <w:rPr>
          <w:rFonts w:hint="default" w:ascii="Times New Roman" w:hAnsi="Times New Roman" w:eastAsia="仿宋_GB2312" w:cs="Times New Roman"/>
          <w:sz w:val="32"/>
          <w:szCs w:val="32"/>
          <w:lang w:bidi="ar"/>
        </w:rPr>
        <w:t>。聚焦高速运营、智慧出行、智能调度、智慧物流、金融保险、交旅融合等重点方向，打造交通运输领域数据知识产权典型应用场景，形成可复制、可推广的示范案例。探索推进交通运输领域数据知识产权质押融资、作价入股、交易转化、证券化等金融应用，解决企业融资需求。</w:t>
      </w:r>
    </w:p>
    <w:p w14:paraId="7147E9C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lang w:bidi="ar"/>
        </w:rPr>
        <w:t>（四）强化数据知识产权宣传培训</w:t>
      </w:r>
    </w:p>
    <w:p w14:paraId="240CFD3E">
      <w:pPr>
        <w:keepNext w:val="0"/>
        <w:keepLines w:val="0"/>
        <w:pageBreakBefore w:val="0"/>
        <w:kinsoku/>
        <w:wordWrap/>
        <w:overflowPunct/>
        <w:topLinePunct w:val="0"/>
        <w:autoSpaceDE/>
        <w:autoSpaceDN/>
        <w:bidi w:val="0"/>
        <w:adjustRightInd/>
        <w:snapToGrid w:val="0"/>
        <w:spacing w:line="600" w:lineRule="exact"/>
        <w:ind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bidi="ar"/>
        </w:rPr>
        <w:t>10.开展数据知识产权宣传培训</w:t>
      </w:r>
      <w:r>
        <w:rPr>
          <w:rFonts w:hint="default" w:ascii="Times New Roman" w:hAnsi="Times New Roman" w:eastAsia="仿宋_GB2312" w:cs="Times New Roman"/>
          <w:sz w:val="32"/>
          <w:szCs w:val="32"/>
          <w:lang w:bidi="ar"/>
        </w:rPr>
        <w:t>。加大数据知识产权登记保护、交易应用等活动举办力度，提高企业认知水平和实务能力。加强数据知识产权复合型人才培育，完善数据知识产权培训体系，通过线上线下协同培训，培养数据知识产权“明白人”。</w:t>
      </w:r>
    </w:p>
    <w:p w14:paraId="5A5CF105">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黑体" w:cs="Times New Roman"/>
          <w:color w:val="000000"/>
          <w:sz w:val="32"/>
          <w:szCs w:val="32"/>
          <w:lang w:bidi="ar"/>
        </w:rPr>
        <w:t>三、保障措施</w:t>
      </w:r>
    </w:p>
    <w:p w14:paraId="62BD8CA9">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bidi="ar"/>
        </w:rPr>
      </w:pPr>
      <w:r>
        <w:rPr>
          <w:rFonts w:hint="default" w:ascii="Times New Roman" w:hAnsi="Times New Roman" w:eastAsia="楷体_GB2312" w:cs="Times New Roman"/>
          <w:b w:val="0"/>
          <w:bCs w:val="0"/>
          <w:sz w:val="32"/>
          <w:szCs w:val="32"/>
          <w:lang w:bidi="ar"/>
        </w:rPr>
        <w:t>（一）加强组织领导</w:t>
      </w:r>
    </w:p>
    <w:p w14:paraId="419F87AD">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成立贵州省交通运输领域数据知识产权工作小组，明确工作责任人，建立统筹推进机制和沟通协作机制，形成工作合力，及时研究工作中的重要情况，推动解决重点问题，全面抓好各项任务落实。各地知识产权部门和交通运输部门要密切配合，形成常态化沟通机制，合力推进交通运输数据知识产权工作。</w:t>
      </w:r>
    </w:p>
    <w:p w14:paraId="7F1B0AE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bidi="ar"/>
        </w:rPr>
      </w:pPr>
      <w:r>
        <w:rPr>
          <w:rFonts w:hint="default" w:ascii="Times New Roman" w:hAnsi="Times New Roman" w:eastAsia="楷体_GB2312" w:cs="Times New Roman"/>
          <w:b w:val="0"/>
          <w:bCs w:val="0"/>
          <w:sz w:val="32"/>
          <w:szCs w:val="32"/>
          <w:lang w:bidi="ar"/>
        </w:rPr>
        <w:t>（二）加强资金保障</w:t>
      </w:r>
    </w:p>
    <w:p w14:paraId="2C5E60EF">
      <w:pPr>
        <w:keepNext w:val="0"/>
        <w:keepLines w:val="0"/>
        <w:pageBreakBefore w:val="0"/>
        <w:widowControl/>
        <w:kinsoku/>
        <w:wordWrap/>
        <w:overflowPunct/>
        <w:topLinePunct w:val="0"/>
        <w:autoSpaceDE/>
        <w:autoSpaceDN/>
        <w:bidi w:val="0"/>
        <w:adjustRightInd/>
        <w:spacing w:line="600" w:lineRule="exact"/>
        <w:ind w:firstLine="640" w:firstLineChars="200"/>
        <w:jc w:val="both"/>
        <w:textAlignment w:val="auto"/>
        <w:outlineLvl w:val="1"/>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lang w:bidi="ar"/>
        </w:rPr>
        <w:t>按照“责权对等、工作对应、资金对口、绩效对标”的原则，调整优化资金结构，强化项目绩效管理，确保工作方案各项目标如期完成。积极引导社会资本投入数据知识产权创造、运用、管理、保护和服务全链条，构建政府资金引领、金融资本支撑、社会资本参与的多方协同投入格局。</w:t>
      </w:r>
    </w:p>
    <w:p w14:paraId="3AAEE1A5">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bidi="ar"/>
        </w:rPr>
      </w:pPr>
      <w:r>
        <w:rPr>
          <w:rFonts w:hint="default" w:ascii="Times New Roman" w:hAnsi="Times New Roman" w:eastAsia="楷体_GB2312" w:cs="Times New Roman"/>
          <w:b w:val="0"/>
          <w:bCs w:val="0"/>
          <w:sz w:val="32"/>
          <w:szCs w:val="32"/>
          <w:lang w:bidi="ar"/>
        </w:rPr>
        <w:t>（三）加强人才保障</w:t>
      </w:r>
    </w:p>
    <w:p w14:paraId="3E16BE89">
      <w:pPr>
        <w:keepNext w:val="0"/>
        <w:keepLines w:val="0"/>
        <w:pageBreakBefore w:val="0"/>
        <w:widowControl/>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sz w:val="32"/>
          <w:szCs w:val="32"/>
          <w:lang w:bidi="ar"/>
        </w:rPr>
        <w:t>充分调动高校、科研院所、行业协会、各类服务机构等力量，组建能提供交通运输领域数据知识产权培育、登记、合规、评估、金融、保护等全流程服务人才队伍，确保工作高质量完成。探索推动数据知识产权相关职业技能等级认定，提升人才队伍专业能力。</w:t>
      </w:r>
    </w:p>
    <w:p w14:paraId="4C81351F">
      <w:pPr>
        <w:keepNext w:val="0"/>
        <w:keepLines w:val="0"/>
        <w:pageBreakBefore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楷体_GB2312" w:cs="Times New Roman"/>
          <w:b w:val="0"/>
          <w:bCs w:val="0"/>
          <w:sz w:val="32"/>
          <w:szCs w:val="32"/>
          <w:lang w:bidi="ar"/>
        </w:rPr>
      </w:pPr>
      <w:r>
        <w:rPr>
          <w:rFonts w:hint="default" w:ascii="Times New Roman" w:hAnsi="Times New Roman" w:eastAsia="楷体_GB2312" w:cs="Times New Roman"/>
          <w:b w:val="0"/>
          <w:bCs w:val="0"/>
          <w:sz w:val="32"/>
          <w:szCs w:val="32"/>
          <w:lang w:bidi="ar"/>
        </w:rPr>
        <w:t>（四）加强宣传推广</w:t>
      </w:r>
    </w:p>
    <w:p w14:paraId="6C671D9A">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sz w:val="32"/>
          <w:szCs w:val="32"/>
          <w:lang w:bidi="ar"/>
        </w:rPr>
        <w:t>持续深入开展交通运输领域数据知识产权的宣传宣讲与培训服务。以中国国际大数据产业博览会、“4·26世界知识产权日”等为契机，开展数据知识产权政策宣贯、典型案例发布、交流研讨等活动。通过门户网站发布、主流媒体报道、新媒体传播等多种形式和渠道进行宣传推广。</w:t>
      </w:r>
    </w:p>
    <w:p w14:paraId="158A02CF">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F2672"/>
    <w:rsid w:val="2DD360B0"/>
    <w:rsid w:val="4CDF2672"/>
    <w:rsid w:val="7D4B1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2026-04-28T02:48:00Z</dcterms:created>
  <dc:creator>L</dc:creator>
  <cp:lastModifiedBy>L</cp:lastModifiedBy>
  <dcterms:modified xsi:type="dcterms:W3CDTF">2026-04-28T02:48:37Z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3F895532657E44A8B619FDDD4B71BCB3_11</vt:lpwstr>
  </property>
  <property fmtid="{D5CDD505-2E9C-101B-9397-08002B2CF9AE}" pid="4" name="KSOTemplateDocerSaveRecord">
    <vt:lpwstr>eyJoZGlkIjoiNTM4NDUzMmQxMjMxYmMwNDc0ZThkZTlmYzhlMGUwYTQiLCJ1c2VySWQiOiIyODk2OTkwMzAifQ==</vt:lpwstr>
  </property>
</Properties>
</file>