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both"/>
        <w:rPr>
          <w:rFonts w:ascii="Times New Roman" w:eastAsia="黑体" w:cs="Times New Roman" w:hAnsi="Times New Roman"/>
          <w:sz w:val="32"/>
          <w:szCs w:val="32"/>
          <w:lang w:val="en-US" w:eastAsia="zh-CN"/>
          <w:highlight w:val="none"/>
        </w:rPr>
      </w:pPr>
    </w:p>
    <w:p>
      <w:pPr>
        <w:jc w:val="both"/>
        <w:rPr>
          <w:rFonts w:ascii="Times New Roman" w:eastAsia="黑体" w:cs="Times New Roman" w:hAnsi="Times New Roman"/>
          <w:sz w:val="32"/>
          <w:szCs w:val="32"/>
          <w:lang w:val="en-US" w:eastAsia="zh-CN"/>
          <w:highlight w:val="none"/>
        </w:rPr>
      </w:pPr>
      <w:r>
        <w:rPr>
          <w:rFonts w:ascii="Times New Roman" w:cs="Times New Roman" w:hAnsi="Times New Roman"/>
          <w:sz w:val="44"/>
          <w:szCs w:val="44"/>
          <w:highlight w:val="none"/>
        </w:rPr>
        <w:drawing>
          <wp:anchor distT="0" distB="0" distL="114300" distR="114300" simplePos="0" relativeHeight="21" behindDoc="0" locked="0" layoutInCell="1" hidden="0" allowOverlap="1">
            <wp:simplePos x="0" y="0"/>
            <wp:positionH relativeFrom="page">
              <wp:posOffset>4733925</wp:posOffset>
            </wp:positionH>
            <wp:positionV relativeFrom="page">
              <wp:posOffset>968375</wp:posOffset>
            </wp:positionV>
            <wp:extent cx="1720214" cy="800100"/>
            <wp:effectExtent l="-9525" t="-9525" r="13335" b="-9525"/>
            <wp:wrapNone/>
            <wp:docPr id="11" name="图片 3" descr="说明: GD"/>
            <wp:cNvGraphicFramePr>
              <a:graphicFrameLocks noChangeAspect="1"/>
            </wp:cNvGraphicFramePr>
            <a:graphic>
              <a:graphicData uri="http://schemas.openxmlformats.org/drawingml/2006/picture">
                <pic:pic>
                  <pic:nvPicPr>
                    <pic:cNvPr id="2" name="图片 3 2"/>
                    <pic:cNvPicPr/>
                  </pic:nvPicPr>
                  <pic:blipFill>
                    <a:blip r:embed="rId3"/>
                    <a:stretch>
                      <a:fillRect/>
                    </a:stretch>
                  </pic:blipFill>
                  <pic:spPr>
                    <a:xfrm rot="0">
                      <a:off x="0" y="0"/>
                      <a:ext cx="1720214" cy="800100"/>
                    </a:xfrm>
                    <a:prstGeom prst="rect"/>
                    <a:noFill/>
                    <a:ln cmpd="sng" cap="flat">
                      <a:noFill/>
                      <a:prstDash val="solid"/>
                      <a:round/>
                    </a:ln>
                  </pic:spPr>
                </pic:pic>
              </a:graphicData>
            </a:graphic>
          </wp:anchor>
        </w:drawing>
      </w:r>
      <w:r>
        <w:rPr>
          <w:rFonts w:ascii="Times New Roman" w:eastAsia="黑体" w:cs="Times New Roman" w:hAnsi="Times New Roman"/>
          <w:sz w:val="32"/>
          <w:szCs w:val="32"/>
          <w:lang w:val="en-US" w:eastAsia="zh-CN"/>
          <w:highlight w:val="none"/>
        </w:rPr>
        <w:t xml:space="preserve">         </w:t>
      </w:r>
    </w:p>
    <w:p>
      <w:pPr>
        <w:jc w:val="both"/>
        <w:rPr>
          <w:rFonts w:ascii="Times New Roman" w:eastAsia="MS Gothic" w:cs="Times New Roman" w:hAnsi="Times New Roman"/>
          <w:b/>
          <w:sz w:val="84"/>
          <w:szCs w:val="84"/>
          <w:highlight w:val="none"/>
        </w:rPr>
      </w:pPr>
      <w:r>
        <w:rPr>
          <w:rFonts w:ascii="Times New Roman" w:eastAsia="黑体" w:cs="Times New Roman" w:hAnsi="Times New Roman"/>
          <w:sz w:val="32"/>
          <w:szCs w:val="32"/>
          <w:lang w:val="en-US" w:eastAsia="zh-CN"/>
          <w:highlight w:val="none"/>
        </w:rPr>
        <w:t xml:space="preserve">  </w:t>
      </w:r>
      <w:r>
        <w:rPr>
          <w:rFonts w:ascii="Times New Roman" w:eastAsia="黑体" w:cs="Times New Roman" w:hAnsi="Times New Roman"/>
          <w:spacing w:val="28"/>
          <w:sz w:val="48"/>
          <w:szCs w:val="48"/>
          <w:highlight w:val="none"/>
        </w:rPr>
        <w:t>广东省</w:t>
      </w:r>
      <w:r>
        <w:rPr>
          <w:rFonts w:ascii="Times New Roman" w:eastAsia="黑体" w:cs="Times New Roman" w:hAnsi="Times New Roman"/>
          <w:spacing w:val="28"/>
          <w:sz w:val="48"/>
          <w:szCs w:val="48"/>
          <w:highlight w:val="none"/>
        </w:rPr>
        <w:t>工程建设</w:t>
      </w:r>
      <w:r>
        <w:rPr>
          <w:rFonts w:ascii="Times New Roman" w:eastAsia="黑体" w:cs="Times New Roman" w:hAnsi="Times New Roman"/>
          <w:spacing w:val="28"/>
          <w:sz w:val="48"/>
          <w:szCs w:val="48"/>
          <w:highlight w:val="none"/>
        </w:rPr>
        <w:t>标准</w:t>
      </w:r>
      <w:r>
        <w:rPr>
          <w:rFonts w:ascii="Times New Roman" w:eastAsia="黑体" w:cs="Times New Roman" w:hAnsi="Times New Roman"/>
          <w:sz w:val="32"/>
          <w:szCs w:val="32"/>
          <w:highlight w:val="none"/>
        </w:rPr>
        <w:t xml:space="preserve">            </w:t>
      </w:r>
      <w:r>
        <w:rPr>
          <w:rFonts w:ascii="Times New Roman" w:cs="Times New Roman" w:hAnsi="Times New Roman"/>
          <w:color w:val="000000"/>
          <w:sz w:val="52"/>
          <w:highlight w:val="none"/>
        </w:rPr>
        <w:t xml:space="preserve">   </w:t>
      </w:r>
    </w:p>
    <w:p>
      <w:pPr>
        <w:rPr>
          <w:rFonts w:ascii="Times New Roman" w:cs="Times New Roman" w:hAnsi="Times New Roman"/>
          <w:highlight w:val="none"/>
        </w:rPr>
      </w:pPr>
      <w:r>
        <w:rPr>
          <w:rFonts w:ascii="Times New Roman" w:cs="Times New Roman" w:hAnsi="Times New Roman"/>
          <w:highlight w:val="none"/>
        </w:rPr>
        <w:t xml:space="preserve">                              </w:t>
      </w:r>
      <w:bookmarkStart w:id="0" w:name="_Toc337542810"/>
      <w:r>
        <w:rPr>
          <w:rFonts w:ascii="Times New Roman" w:cs="Times New Roman" w:hAnsi="Times New Roman"/>
          <w:highlight w:val="none"/>
        </w:rPr>
        <w:t xml:space="preserve">  </w:t>
      </w:r>
      <w:r>
        <w:rPr>
          <w:rFonts w:ascii="Times New Roman" w:cs="Times New Roman" w:hAnsi="Times New Roman"/>
          <w:lang w:val="en-US" w:eastAsia="zh-CN"/>
          <w:highlight w:val="none"/>
        </w:rPr>
        <w:t xml:space="preserve">                                            </w:t>
      </w:r>
      <w:r>
        <w:rPr>
          <w:rFonts w:ascii="Times New Roman" w:cs="Times New Roman" w:hAnsi="Times New Roman"/>
          <w:highlight w:val="none"/>
        </w:rPr>
        <w:t xml:space="preserve">  </w:t>
      </w:r>
      <w:r>
        <w:rPr>
          <w:rFonts w:ascii="Times New Roman" w:cs="Times New Roman" w:hAnsi="Times New Roman"/>
          <w:lang w:val="en-US" w:eastAsia="zh-CN"/>
          <w:highlight w:val="none"/>
        </w:rPr>
        <w:t xml:space="preserve">       </w:t>
      </w:r>
      <w:r>
        <w:rPr>
          <w:rFonts w:ascii="Times New Roman" w:cs="Times New Roman" w:hAnsi="Times New Roman"/>
          <w:highlight w:val="none"/>
        </w:rPr>
        <w:t xml:space="preserve"> </w:t>
      </w:r>
    </w:p>
    <w:p>
      <w:pPr>
        <w:keepNext w:val="0"/>
        <w:keepLines w:val="0"/>
        <w:pageBreakBefore w:val="0"/>
        <w:widowControl w:val="0"/>
        <w:kinsoku/>
        <w:wordWrap/>
        <w:overflowPunct/>
        <w:topLinePunct w:val="0"/>
        <w:autoSpaceDE/>
        <w:autoSpaceDN/>
        <w:bidi w:val="0"/>
        <w:adjustRightInd/>
        <w:snapToGrid/>
        <w:spacing w:before="0" w:after="0" w:line="400" w:lineRule="exact"/>
        <w:ind w:left="0" w:right="0" w:firstLine="0"/>
        <w:jc w:val="both"/>
        <w:textAlignment w:val="auto"/>
        <w:outlineLvl w:val="9"/>
        <w:rPr>
          <w:rFonts w:ascii="Times New Roman" w:eastAsia="宋体" w:cs="Times New Roman" w:hAnsi="Times New Roman"/>
          <w:spacing w:val="17"/>
          <w:sz w:val="30"/>
          <w:szCs w:val="30"/>
          <w:lang w:val="en-US" w:eastAsia="zh-CN"/>
          <w:highlight w:val="none"/>
        </w:rPr>
      </w:pPr>
      <w:r>
        <w:rPr>
          <w:rFonts w:ascii="Times New Roman" w:cs="Times New Roman" w:hAnsi="Times New Roman"/>
          <w:lang w:val="en-US" w:eastAsia="zh-CN"/>
          <w:highlight w:val="none"/>
        </w:rPr>
        <w:t xml:space="preserve">                                             </w:t>
      </w:r>
      <w:r>
        <w:rPr>
          <w:rFonts w:ascii="Times New Roman" w:cs="Times New Roman" w:hAnsi="Times New Roman"/>
          <w:highlight w:val="none"/>
        </w:rPr>
        <w:t xml:space="preserve"> </w:t>
      </w:r>
      <w:r>
        <w:rPr>
          <w:rFonts w:ascii="Times New Roman" w:cs="Times New Roman" w:hAnsi="Times New Roman"/>
          <w:spacing w:val="23"/>
          <w:sz w:val="30"/>
          <w:szCs w:val="30"/>
          <w:highlight w:val="none"/>
        </w:rPr>
        <w:t>DBJ</w:t>
      </w:r>
      <w:r>
        <w:rPr>
          <w:rFonts w:ascii="Times New Roman" w:cs="Times New Roman" w:hAnsi="Times New Roman"/>
          <w:spacing w:val="23"/>
          <w:sz w:val="30"/>
          <w:szCs w:val="30"/>
          <w:lang w:val="en-US" w:eastAsia="zh-CN"/>
          <w:highlight w:val="none"/>
        </w:rPr>
        <w:t>/T 15</w:t>
      </w:r>
      <w:r>
        <w:rPr>
          <w:rFonts w:ascii="Times New Roman" w:cs="Times New Roman" w:hAnsi="Times New Roman"/>
          <w:spacing w:val="23"/>
          <w:sz w:val="30"/>
          <w:szCs w:val="30"/>
          <w:highlight w:val="none"/>
        </w:rPr>
        <w:t>-</w:t>
      </w:r>
      <w:r>
        <w:rPr>
          <w:rFonts w:ascii="Times New Roman" w:eastAsia="黑体" w:cs="Times New Roman" w:hAnsi="Times New Roman"/>
          <w:sz w:val="28"/>
          <w:szCs w:val="28"/>
          <w:lang w:val="en-US" w:eastAsia="zh-CN"/>
          <w:highlight w:val="none"/>
        </w:rPr>
        <w:t>XX</w:t>
      </w:r>
      <w:r>
        <w:rPr>
          <w:rFonts w:ascii="Times New Roman" w:cs="Times New Roman" w:hAnsi="Times New Roman"/>
          <w:spacing w:val="23"/>
          <w:sz w:val="30"/>
          <w:szCs w:val="30"/>
          <w:highlight w:val="none"/>
        </w:rPr>
        <w:t>-</w:t>
      </w:r>
      <w:bookmarkEnd w:id="0"/>
      <w:r>
        <w:rPr>
          <w:rFonts w:ascii="Times New Roman" w:cs="Times New Roman" w:hAnsi="Times New Roman"/>
          <w:spacing w:val="0"/>
          <w:sz w:val="30"/>
          <w:szCs w:val="30"/>
          <w:highlight w:val="none"/>
        </w:rPr>
        <w:t>20</w:t>
      </w:r>
      <w:r>
        <w:rPr>
          <w:rFonts w:ascii="Times New Roman" w:eastAsia="黑体" w:cs="Times New Roman" w:hAnsi="Times New Roman"/>
          <w:sz w:val="28"/>
          <w:szCs w:val="28"/>
          <w:lang w:val="en-US" w:eastAsia="zh-CN"/>
          <w:highlight w:val="none"/>
        </w:rPr>
        <w:t>XX</w:t>
      </w:r>
    </w:p>
    <w:p>
      <w:pPr>
        <w:keepNext w:val="0"/>
        <w:keepLines w:val="0"/>
        <w:pageBreakBefore w:val="0"/>
        <w:widowControl w:val="0"/>
        <w:kinsoku/>
        <w:wordWrap/>
        <w:overflowPunct/>
        <w:topLinePunct w:val="0"/>
        <w:autoSpaceDE/>
        <w:autoSpaceDN/>
        <w:bidi w:val="0"/>
        <w:adjustRightInd/>
        <w:snapToGrid/>
        <w:spacing w:before="0" w:after="0" w:line="400" w:lineRule="exact"/>
        <w:ind w:left="0" w:right="0" w:firstLine="0"/>
        <w:jc w:val="both"/>
        <w:textAlignment w:val="auto"/>
        <w:outlineLvl w:val="9"/>
        <w:rPr>
          <w:rFonts w:ascii="Times New Roman" w:cs="Times New Roman" w:hAnsi="Times New Roman"/>
          <w:sz w:val="28"/>
          <w:szCs w:val="28"/>
          <w:highlight w:val="none"/>
        </w:rPr>
      </w:pPr>
      <w:r>
        <w:rPr>
          <w:rFonts w:ascii="Times New Roman" w:cs="Times New Roman" w:hAnsi="Times New Roman"/>
          <w:sz w:val="28"/>
          <w:szCs w:val="28"/>
          <w:highlight w:val="none"/>
        </w:rPr>
        <mc:AlternateContent>
          <mc:Choice Requires="wps">
            <w:drawing>
              <wp:anchor distT="0" distB="0" distL="114300" distR="114300" simplePos="0" relativeHeight="17" behindDoc="0" locked="0" layoutInCell="1" hidden="0" allowOverlap="1">
                <wp:simplePos x="0" y="0"/>
                <wp:positionH relativeFrom="column">
                  <wp:posOffset>26034</wp:posOffset>
                </wp:positionH>
                <wp:positionV relativeFrom="paragraph">
                  <wp:posOffset>359410</wp:posOffset>
                </wp:positionV>
                <wp:extent cx="5486400" cy="41910"/>
                <wp:effectExtent l="-9525" t="4444" r="-9525" b="10795"/>
                <wp:wrapNone/>
                <wp:docPr id="5" name="直接连接符 5"/>
                <wp:cNvGraphicFramePr>
                  <a:graphicFrameLocks noChangeAspect="0"/>
                </wp:cNvGraphicFramePr>
                <a:graphic>
                  <a:graphicData uri="http://schemas.microsoft.com/office/word/2010/wordprocessingShape">
                    <wps:wsp>
                      <wps:cNvSpPr/>
                      <wps:spPr>
                        <a:xfrm flipV="1" rot="21600000">
                          <a:off x="0" y="0"/>
                          <a:ext cx="5486400" cy="41910"/>
                        </a:xfrm>
                        <a:prstGeom prst="line"/>
                        <a:noFill/>
                        <a:ln w="9525" cmpd="sng" cap="flat">
                          <a:solidFill>
                            <a:srgbClr val="000000"/>
                          </a:solidFill>
                          <a:prstDash val="solid"/>
                          <a:round/>
                        </a:ln>
                      </wps:spPr>
                      <wps:bodyPr vert="horz" wrap="square" lIns="91440" tIns="45720" rIns="91440" bIns="45720" anchor="t" anchorCtr="0" upright="1">
                        <a:noAutofit/>
                      </wps:bodyPr>
                    </wps:wsp>
                  </a:graphicData>
                </a:graphic>
              </wp:anchor>
            </w:drawing>
          </mc:Choice>
          <mc:Fallback>
            <w:pict>
              <v:line type="#_x0000_t20" id="直接连接符 5" o:spid="_x0000_s3" from="2.05pt,28.3pt" to="434.05pt,31.6pt" filled="f" stroked="t" style="position:absolute;flip:y;z-index:17;mso-position-horizontal:absolute;mso-position-vertical:absolute;visibility:visible;">
                <v:stroke color="#000000"/>
              </v:line>
            </w:pict>
          </mc:Fallback>
        </mc:AlternateContent>
      </w:r>
      <w:r>
        <w:rPr>
          <w:rFonts w:ascii="Times New Roman" w:cs="Times New Roman" w:hAnsi="Times New Roman"/>
          <w:sz w:val="28"/>
          <w:szCs w:val="28"/>
          <w:lang w:val="en-US" w:eastAsia="zh-CN"/>
          <w:highlight w:val="none"/>
        </w:rPr>
        <w:t xml:space="preserve">                                      </w:t>
      </w:r>
      <w:r>
        <w:rPr>
          <w:rFonts w:ascii="Times New Roman" w:eastAsia="黑体" w:cs="Times New Roman" w:hAnsi="Times New Roman"/>
          <w:sz w:val="28"/>
          <w:szCs w:val="28"/>
          <w:highlight w:val="none"/>
        </w:rPr>
        <w:t xml:space="preserve">备案号 J </w:t>
      </w:r>
      <w:r>
        <w:rPr>
          <w:rFonts w:ascii="Times New Roman" w:eastAsia="黑体" w:cs="Times New Roman" w:hAnsi="Times New Roman"/>
          <w:sz w:val="28"/>
          <w:szCs w:val="28"/>
          <w:lang w:val="en-US" w:eastAsia="zh-CN"/>
          <w:highlight w:val="none"/>
        </w:rPr>
        <w:t>XXXXX</w:t>
      </w:r>
      <w:r>
        <w:rPr>
          <w:rFonts w:ascii="Times New Roman" w:eastAsia="黑体" w:cs="Times New Roman" w:hAnsi="Times New Roman"/>
          <w:sz w:val="28"/>
          <w:szCs w:val="28"/>
          <w:highlight w:val="none"/>
        </w:rPr>
        <w:t>-20</w:t>
      </w:r>
      <w:r>
        <w:rPr>
          <w:rFonts w:ascii="Times New Roman" w:eastAsia="黑体" w:cs="Times New Roman" w:hAnsi="Times New Roman"/>
          <w:sz w:val="28"/>
          <w:szCs w:val="28"/>
          <w:lang w:val="en-US" w:eastAsia="zh-CN"/>
          <w:highlight w:val="none"/>
        </w:rPr>
        <w:t>XX</w:t>
      </w:r>
    </w:p>
    <w:p>
      <w:pPr>
        <w:jc w:val="center"/>
        <w:rPr>
          <w:rFonts w:ascii="Times New Roman" w:cs="Times New Roman" w:hAnsi="Times New Roman"/>
          <w:b/>
          <w:sz w:val="48"/>
          <w:szCs w:val="48"/>
          <w:highlight w:val="none"/>
        </w:rPr>
      </w:pPr>
    </w:p>
    <w:p>
      <w:pPr>
        <w:jc w:val="center"/>
        <w:outlineLvl w:val="9"/>
        <w:rPr>
          <w:rFonts w:ascii="Times New Roman" w:cs="Times New Roman" w:hAnsi="Times New Roman"/>
          <w:b/>
          <w:sz w:val="48"/>
          <w:szCs w:val="48"/>
          <w:highlight w:val="none"/>
        </w:rPr>
      </w:pPr>
      <w:bookmarkStart w:id="1" w:name="_Toc375640674"/>
    </w:p>
    <w:p>
      <w:pPr>
        <w:jc w:val="center"/>
        <w:outlineLvl w:val="9"/>
        <w:rPr>
          <w:rFonts w:ascii="Times New Roman" w:eastAsia="宋体" w:cs="Times New Roman" w:hAnsi="Times New Roman"/>
          <w:b/>
          <w:sz w:val="48"/>
          <w:szCs w:val="48"/>
          <w:lang w:val="en-US" w:eastAsia="zh-CN"/>
          <w:highlight w:val="none"/>
        </w:rPr>
      </w:pPr>
      <w:bookmarkEnd w:id="1"/>
      <w:r>
        <w:rPr>
          <w:rFonts w:ascii="Times New Roman" w:cs="Times New Roman" w:hAnsi="Times New Roman"/>
          <w:b/>
          <w:sz w:val="48"/>
          <w:szCs w:val="48"/>
          <w:highlight w:val="none"/>
        </w:rPr>
        <w:t>建设工程质量检测数字化管理标准</w:t>
      </w:r>
    </w:p>
    <w:p>
      <w:pPr>
        <w:rPr>
          <w:rFonts w:ascii="Times New Roman" w:cs="Times New Roman" w:hAnsi="Times New Roman"/>
          <w:highlight w:val="none"/>
        </w:rPr>
      </w:pPr>
    </w:p>
    <w:p>
      <w:pPr>
        <w:jc w:val="center"/>
        <w:rPr>
          <w:rFonts w:ascii="Times New Roman" w:eastAsia="宋体" w:cs="Times New Roman" w:hAnsi="Times New Roman"/>
          <w:b w:val="0"/>
          <w:bCs/>
          <w:sz w:val="28"/>
          <w:szCs w:val="28"/>
          <w:lang w:val="en-US" w:eastAsia="zh-CN"/>
          <w:highlight w:val="none"/>
        </w:rPr>
      </w:pPr>
      <w:r>
        <w:rPr>
          <w:rFonts w:ascii="Times New Roman" w:cs="Times New Roman" w:hAnsi="Times New Roman"/>
          <w:b w:val="0"/>
          <w:bCs/>
          <w:sz w:val="28"/>
          <w:szCs w:val="28"/>
          <w:lang w:val="en-US" w:eastAsia="zh-CN"/>
          <w:highlight w:val="none"/>
        </w:rPr>
        <w:t xml:space="preserve">Digital </w:t>
      </w:r>
      <w:r>
        <w:rPr>
          <w:rFonts w:ascii="Times New Roman" w:cs="Times New Roman" w:hAnsi="Times New Roman" w:hint="eastAsia"/>
          <w:b w:val="0"/>
          <w:bCs/>
          <w:sz w:val="28"/>
          <w:szCs w:val="28"/>
          <w:lang w:val="en-US" w:eastAsia="zh-CN"/>
          <w:highlight w:val="none"/>
        </w:rPr>
        <w:t>m</w:t>
      </w:r>
      <w:r>
        <w:rPr>
          <w:rFonts w:ascii="Times New Roman" w:cs="Times New Roman" w:hAnsi="Times New Roman"/>
          <w:b w:val="0"/>
          <w:bCs/>
          <w:sz w:val="28"/>
          <w:szCs w:val="28"/>
          <w:lang w:val="en-US" w:eastAsia="zh-CN"/>
          <w:highlight w:val="none"/>
        </w:rPr>
        <w:t xml:space="preserve">anagement </w:t>
      </w:r>
      <w:r>
        <w:rPr>
          <w:rFonts w:ascii="Times New Roman" w:cs="Times New Roman" w:hAnsi="Times New Roman" w:hint="eastAsia"/>
          <w:b w:val="0"/>
          <w:bCs/>
          <w:sz w:val="28"/>
          <w:szCs w:val="28"/>
          <w:lang w:val="en-US" w:eastAsia="zh-CN"/>
          <w:highlight w:val="none"/>
        </w:rPr>
        <w:t>s</w:t>
      </w:r>
      <w:r>
        <w:rPr>
          <w:rFonts w:ascii="Times New Roman" w:cs="Times New Roman" w:hAnsi="Times New Roman"/>
          <w:b w:val="0"/>
          <w:bCs/>
          <w:sz w:val="28"/>
          <w:szCs w:val="28"/>
          <w:lang w:val="en-US" w:eastAsia="zh-CN"/>
          <w:highlight w:val="none"/>
        </w:rPr>
        <w:t xml:space="preserve">tandard for </w:t>
      </w:r>
      <w:r>
        <w:rPr>
          <w:rFonts w:ascii="Times New Roman" w:cs="Times New Roman" w:hAnsi="Times New Roman" w:hint="eastAsia"/>
          <w:b w:val="0"/>
          <w:bCs/>
          <w:sz w:val="28"/>
          <w:szCs w:val="28"/>
          <w:lang w:val="en-US" w:eastAsia="zh-CN"/>
          <w:highlight w:val="none"/>
        </w:rPr>
        <w:t>c</w:t>
      </w:r>
      <w:r>
        <w:rPr>
          <w:rFonts w:ascii="Times New Roman" w:cs="Times New Roman" w:hAnsi="Times New Roman"/>
          <w:b w:val="0"/>
          <w:bCs/>
          <w:sz w:val="28"/>
          <w:szCs w:val="28"/>
          <w:lang w:val="en-US" w:eastAsia="zh-CN"/>
          <w:highlight w:val="none"/>
        </w:rPr>
        <w:t xml:space="preserve">onstruction </w:t>
      </w:r>
      <w:r>
        <w:rPr>
          <w:rFonts w:ascii="Times New Roman" w:cs="Times New Roman" w:hAnsi="Times New Roman" w:hint="eastAsia"/>
          <w:b w:val="0"/>
          <w:bCs/>
          <w:sz w:val="28"/>
          <w:szCs w:val="28"/>
          <w:lang w:val="en-US" w:eastAsia="zh-CN"/>
          <w:highlight w:val="none"/>
        </w:rPr>
        <w:t>e</w:t>
      </w:r>
      <w:r>
        <w:rPr>
          <w:rFonts w:ascii="Times New Roman" w:cs="Times New Roman" w:hAnsi="Times New Roman"/>
          <w:b w:val="0"/>
          <w:bCs/>
          <w:sz w:val="28"/>
          <w:szCs w:val="28"/>
          <w:lang w:val="en-US" w:eastAsia="zh-CN"/>
          <w:highlight w:val="none"/>
        </w:rPr>
        <w:t xml:space="preserve">ngineering </w:t>
      </w:r>
      <w:r>
        <w:rPr>
          <w:rFonts w:ascii="Times New Roman" w:cs="Times New Roman" w:hAnsi="Times New Roman" w:hint="eastAsia"/>
          <w:b w:val="0"/>
          <w:bCs/>
          <w:sz w:val="28"/>
          <w:szCs w:val="28"/>
          <w:lang w:val="en-US" w:eastAsia="zh-CN"/>
          <w:highlight w:val="none"/>
        </w:rPr>
        <w:t>q</w:t>
      </w:r>
      <w:r>
        <w:rPr>
          <w:rFonts w:ascii="Times New Roman" w:cs="Times New Roman" w:hAnsi="Times New Roman"/>
          <w:b w:val="0"/>
          <w:bCs/>
          <w:sz w:val="28"/>
          <w:szCs w:val="28"/>
          <w:lang w:val="en-US" w:eastAsia="zh-CN"/>
          <w:highlight w:val="none"/>
        </w:rPr>
        <w:t xml:space="preserve">uality </w:t>
      </w:r>
      <w:r>
        <w:rPr>
          <w:rFonts w:ascii="Times New Roman" w:cs="Times New Roman" w:hAnsi="Times New Roman" w:hint="eastAsia"/>
          <w:b w:val="0"/>
          <w:bCs/>
          <w:sz w:val="28"/>
          <w:szCs w:val="28"/>
          <w:lang w:val="en-US" w:eastAsia="zh-CN"/>
          <w:highlight w:val="none"/>
        </w:rPr>
        <w:t>t</w:t>
      </w:r>
      <w:r>
        <w:rPr>
          <w:rFonts w:ascii="Times New Roman" w:cs="Times New Roman" w:hAnsi="Times New Roman"/>
          <w:b w:val="0"/>
          <w:bCs/>
          <w:sz w:val="28"/>
          <w:szCs w:val="28"/>
          <w:lang w:val="en-US" w:eastAsia="zh-CN"/>
          <w:highlight w:val="none"/>
        </w:rPr>
        <w:t>esting</w:t>
      </w: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jc w:val="center"/>
        <w:rPr>
          <w:rFonts w:ascii="Times New Roman" w:eastAsia="宋体" w:cs="Times New Roman" w:hAnsi="Times New Roman"/>
          <w:sz w:val="32"/>
          <w:szCs w:val="32"/>
          <w:lang w:val="en-US" w:eastAsia="zh-CN"/>
          <w:highlight w:val="none"/>
        </w:rPr>
      </w:pPr>
      <w:r>
        <w:rPr>
          <w:rFonts w:ascii="Times New Roman" w:cs="Times New Roman" w:hAnsi="Times New Roman"/>
          <w:sz w:val="36"/>
          <w:szCs w:val="36"/>
          <w:lang w:val="en-US" w:eastAsia="zh-CN"/>
          <w:highlight w:val="none"/>
        </w:rPr>
        <w:t>（</w:t>
      </w:r>
      <w:r>
        <w:rPr>
          <w:rFonts w:ascii="Times New Roman" w:cs="Times New Roman" w:hAnsi="Times New Roman" w:hint="eastAsia"/>
          <w:sz w:val="36"/>
          <w:szCs w:val="36"/>
          <w:lang w:val="en-US" w:eastAsia="zh-CN"/>
          <w:highlight w:val="none"/>
        </w:rPr>
        <w:t>征求意见稿</w:t>
      </w:r>
      <w:r>
        <w:rPr>
          <w:rFonts w:ascii="Times New Roman" w:cs="Times New Roman" w:hAnsi="Times New Roman"/>
          <w:sz w:val="36"/>
          <w:szCs w:val="36"/>
          <w:lang w:val="en-US" w:eastAsia="zh-CN"/>
          <w:highlight w:val="none"/>
        </w:rPr>
        <w:t>）</w:t>
      </w: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cs="Times New Roman" w:hAnsi="Times New Roman"/>
          <w:highlight w:val="none"/>
        </w:rPr>
      </w:pPr>
    </w:p>
    <w:p>
      <w:pPr>
        <w:rPr>
          <w:rFonts w:ascii="Times New Roman" w:eastAsia="黑体" w:cs="Times New Roman" w:hAnsi="Times New Roman"/>
          <w:sz w:val="28"/>
          <w:szCs w:val="28"/>
          <w:highlight w:val="none"/>
        </w:rPr>
      </w:pPr>
      <w:r>
        <w:rPr>
          <w:rFonts w:ascii="Times New Roman" w:cs="Times New Roman" w:hAnsi="Times New Roman"/>
          <w:b/>
          <w:bCs/>
          <w:sz w:val="32"/>
          <w:highlight w:val="none"/>
        </w:rPr>
        <w:t xml:space="preserve">  </w:t>
      </w:r>
      <w:r>
        <w:rPr>
          <w:rFonts w:ascii="Times New Roman" w:eastAsia="黑体" w:cs="Times New Roman" w:hAnsi="Times New Roman"/>
          <w:sz w:val="28"/>
          <w:szCs w:val="28"/>
          <w:highlight w:val="none"/>
        </w:rPr>
        <w:t>20</w:t>
      </w:r>
      <w:r>
        <w:rPr>
          <w:rFonts w:ascii="Times New Roman" w:eastAsia="黑体" w:cs="Times New Roman" w:hAnsi="Times New Roman"/>
          <w:sz w:val="28"/>
          <w:szCs w:val="28"/>
          <w:lang w:val="en-US" w:eastAsia="zh-CN"/>
          <w:highlight w:val="none"/>
        </w:rPr>
        <w:t>2X</w:t>
      </w:r>
      <w:r>
        <w:rPr>
          <w:rFonts w:ascii="Times New Roman" w:eastAsia="黑体" w:cs="Times New Roman" w:hAnsi="Times New Roman"/>
          <w:sz w:val="28"/>
          <w:szCs w:val="28"/>
          <w:highlight w:val="none"/>
        </w:rPr>
        <w:t>-</w:t>
      </w:r>
      <w:r>
        <w:rPr>
          <w:rFonts w:ascii="Times New Roman" w:eastAsia="黑体" w:cs="Times New Roman" w:hAnsi="Times New Roman"/>
          <w:sz w:val="28"/>
          <w:szCs w:val="28"/>
          <w:lang w:val="en-US" w:eastAsia="zh-CN"/>
          <w:highlight w:val="none"/>
        </w:rPr>
        <w:t>XX</w:t>
      </w:r>
      <w:r>
        <w:rPr>
          <w:rFonts w:ascii="Times New Roman" w:eastAsia="黑体" w:cs="Times New Roman" w:hAnsi="Times New Roman"/>
          <w:sz w:val="28"/>
          <w:szCs w:val="28"/>
          <w:highlight w:val="none"/>
        </w:rPr>
        <w:t>-</w:t>
      </w:r>
      <w:r>
        <w:rPr>
          <w:rFonts w:ascii="Times New Roman" w:eastAsia="黑体" w:cs="Times New Roman" w:hAnsi="Times New Roman"/>
          <w:sz w:val="28"/>
          <w:szCs w:val="28"/>
          <w:lang w:val="en-US" w:eastAsia="zh-CN"/>
          <w:highlight w:val="none"/>
        </w:rPr>
        <w:t>XX</w:t>
      </w:r>
      <w:r>
        <w:rPr>
          <w:rFonts w:ascii="Times New Roman" w:eastAsia="黑体" w:cs="Times New Roman" w:hAnsi="Times New Roman"/>
          <w:sz w:val="28"/>
          <w:szCs w:val="28"/>
          <w:highlight w:val="none"/>
        </w:rPr>
        <w:t xml:space="preserve">  发布                   20</w:t>
      </w:r>
      <w:r>
        <w:rPr>
          <w:rFonts w:ascii="Times New Roman" w:eastAsia="黑体" w:cs="Times New Roman" w:hAnsi="Times New Roman"/>
          <w:sz w:val="28"/>
          <w:szCs w:val="28"/>
          <w:lang w:val="en-US" w:eastAsia="zh-CN"/>
          <w:highlight w:val="none"/>
        </w:rPr>
        <w:t>2X</w:t>
      </w:r>
      <w:r>
        <w:rPr>
          <w:rFonts w:ascii="Times New Roman" w:eastAsia="黑体" w:cs="Times New Roman" w:hAnsi="Times New Roman"/>
          <w:sz w:val="28"/>
          <w:szCs w:val="28"/>
          <w:highlight w:val="none"/>
        </w:rPr>
        <w:t>-</w:t>
      </w:r>
      <w:r>
        <w:rPr>
          <w:rFonts w:ascii="Times New Roman" w:eastAsia="黑体" w:cs="Times New Roman" w:hAnsi="Times New Roman"/>
          <w:sz w:val="28"/>
          <w:szCs w:val="28"/>
          <w:lang w:val="en-US" w:eastAsia="zh-CN"/>
          <w:highlight w:val="none"/>
        </w:rPr>
        <w:t>XX</w:t>
      </w:r>
      <w:r>
        <w:rPr>
          <w:rFonts w:ascii="Times New Roman" w:eastAsia="黑体" w:cs="Times New Roman" w:hAnsi="Times New Roman"/>
          <w:sz w:val="28"/>
          <w:szCs w:val="28"/>
          <w:highlight w:val="none"/>
        </w:rPr>
        <w:t>-</w:t>
      </w:r>
      <w:r>
        <w:rPr>
          <w:rFonts w:ascii="Times New Roman" w:eastAsia="黑体" w:cs="Times New Roman" w:hAnsi="Times New Roman"/>
          <w:sz w:val="28"/>
          <w:szCs w:val="28"/>
          <w:lang w:val="en-US" w:eastAsia="zh-CN"/>
          <w:highlight w:val="none"/>
        </w:rPr>
        <w:t>XX</w:t>
      </w:r>
      <w:r>
        <w:rPr>
          <w:rFonts w:ascii="Times New Roman" w:eastAsia="黑体" w:cs="Times New Roman" w:hAnsi="Times New Roman"/>
          <w:sz w:val="28"/>
          <w:szCs w:val="28"/>
          <w:highlight w:val="none"/>
        </w:rPr>
        <w:t xml:space="preserve">  实施</w:t>
      </w:r>
    </w:p>
    <w:p>
      <w:pPr>
        <w:tabs>
          <w:tab w:val="left" w:pos="8235"/>
        </w:tabs>
        <w:rPr>
          <w:rFonts w:ascii="Times New Roman" w:eastAsia="黑体" w:cs="Times New Roman" w:hAnsi="Times New Roman" w:hint="eastAsia"/>
          <w:b/>
          <w:sz w:val="28"/>
          <w:szCs w:val="28"/>
          <w:lang w:eastAsia="zh-CN"/>
          <w:highlight w:val="none"/>
        </w:rPr>
      </w:pPr>
      <w:r>
        <w:rPr>
          <w:rFonts w:ascii="Times New Roman" w:eastAsia="黑体" w:cs="Times New Roman" w:hAnsi="Times New Roman"/>
          <w:b/>
          <w:sz w:val="28"/>
          <w:szCs w:val="28"/>
          <w:highlight w:val="none"/>
        </w:rPr>
        <mc:AlternateContent>
          <mc:Choice Requires="wps">
            <w:drawing>
              <wp:anchor distT="0" distB="0" distL="114300" distR="114300" simplePos="0" relativeHeight="19" behindDoc="0" locked="0" layoutInCell="1" hidden="0" allowOverlap="1">
                <wp:simplePos x="0" y="0"/>
                <wp:positionH relativeFrom="column">
                  <wp:posOffset>0</wp:posOffset>
                </wp:positionH>
                <wp:positionV relativeFrom="paragraph">
                  <wp:posOffset>55880</wp:posOffset>
                </wp:positionV>
                <wp:extent cx="5600700" cy="26670"/>
                <wp:effectExtent l="-9525" t="4444" r="-9525" b="6985"/>
                <wp:wrapNone/>
                <wp:docPr id="6" name="直接连接符 6"/>
                <wp:cNvGraphicFramePr>
                  <a:graphicFrameLocks noChangeAspect="0"/>
                </wp:cNvGraphicFramePr>
                <a:graphic>
                  <a:graphicData uri="http://schemas.microsoft.com/office/word/2010/wordprocessingShape">
                    <wps:wsp>
                      <wps:cNvSpPr/>
                      <wps:spPr>
                        <a:xfrm rot="0">
                          <a:off x="0" y="0"/>
                          <a:ext cx="5600700" cy="26670"/>
                        </a:xfrm>
                        <a:prstGeom prst="line"/>
                        <a:noFill/>
                        <a:ln w="9525" cmpd="sng" cap="flat">
                          <a:solidFill>
                            <a:srgbClr val="000000"/>
                          </a:solidFill>
                          <a:prstDash val="solid"/>
                          <a:round/>
                        </a:ln>
                      </wps:spPr>
                      <wps:bodyPr vert="horz" wrap="square" lIns="91440" tIns="45720" rIns="91440" bIns="45720" anchor="t" anchorCtr="0" upright="1">
                        <a:noAutofit/>
                      </wps:bodyPr>
                    </wps:wsp>
                  </a:graphicData>
                </a:graphic>
              </wp:anchor>
            </w:drawing>
          </mc:Choice>
          <mc:Fallback>
            <w:pict>
              <v:line type="#_x0000_t20" id="直接连接符 6" o:spid="_x0000_s4" from="0.0pt,4.4pt" to="441.0pt,6.5pt" filled="f" stroked="t" style="position:absolute;z-index:19;mso-position-horizontal:absolute;mso-position-vertical:absolute;visibility:visible;">
                <v:stroke color="#000000"/>
              </v:line>
            </w:pict>
          </mc:Fallback>
        </mc:AlternateContent>
      </w:r>
    </w:p>
    <w:p>
      <w:pPr>
        <w:jc w:val="center"/>
        <w:rPr>
          <w:rFonts w:ascii="Times New Roman" w:cs="Times New Roman" w:hAnsi="Times New Roman"/>
          <w:highlight w:val="none"/>
        </w:rPr>
      </w:pPr>
      <w:r>
        <w:rPr>
          <w:rFonts w:ascii="Times New Roman" w:eastAsia="黑体" w:cs="Times New Roman" w:hAnsi="Times New Roman"/>
          <w:sz w:val="32"/>
          <w:szCs w:val="32"/>
          <w:highlight w:val="none"/>
        </w:rPr>
        <w:t>广东省住房和城乡建设厅</w:t>
      </w:r>
      <w:r>
        <w:rPr>
          <w:rFonts w:ascii="Times New Roman" w:eastAsia="黑体" w:cs="Times New Roman" w:hAnsi="Times New Roman"/>
          <w:spacing w:val="20"/>
          <w:sz w:val="28"/>
          <w:szCs w:val="28"/>
          <w:highlight w:val="none"/>
        </w:rPr>
        <w:t xml:space="preserve">  </w:t>
      </w:r>
      <w:r>
        <w:rPr>
          <w:rFonts w:ascii="Times New Roman" w:eastAsia="黑体" w:cs="Times New Roman" w:hAnsi="Times New Roman"/>
          <w:spacing w:val="20"/>
          <w:sz w:val="32"/>
          <w:szCs w:val="32"/>
          <w:highlight w:val="none"/>
        </w:rPr>
        <w:t>发布</w:t>
      </w:r>
    </w:p>
    <w:tbl>
      <w:tblPr>
        <w:tblpPr w:leftFromText="181" w:rightFromText="181" w:vertAnchor="page" w:horzAnchor="page" w:tblpX="8386" w:tblpY="15244"/>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2243"/>
      </w:tblGrid>
      <w:tr>
        <w:trPr>
          <w:cantSplit/>
          <w:trHeight w:val="23"/>
        </w:trPr>
        <w:tc>
          <w:tcPr>
            <w:tcW w:w="2243" w:type="dxa"/>
          </w:tcPr>
          <w:p>
            <w:pPr>
              <w:tabs>
                <w:tab w:val="left" w:pos="8235"/>
              </w:tabs>
              <w:jc w:val="center"/>
              <w:rPr>
                <w:rFonts w:eastAsia="黑体"/>
                <w:spacing w:val="20"/>
                <w:sz w:val="24"/>
                <w:szCs w:val="24"/>
                <w:vertAlign w:val="baseline"/>
              </w:rPr>
            </w:pPr>
            <w:r>
              <w:rPr>
                <w:rFonts w:hint="eastAsia"/>
                <w:sz w:val="21"/>
                <w:szCs w:val="21"/>
              </w:rPr>
              <w:t>本标准不涉及专利</w:t>
            </w:r>
          </w:p>
        </w:tc>
      </w:tr>
    </w:tbl>
    <w:p>
      <w:pPr>
        <w:spacing w:beforeLines="200" w:before="624" w:afterLines="100" w:after="312"/>
        <w:jc w:val="center"/>
        <w:rPr>
          <w:rFonts w:ascii="Times New Roman" w:eastAsia="黑体" w:cs="Times New Roman" w:hAnsi="Times New Roman"/>
          <w:bCs/>
          <w:sz w:val="30"/>
          <w:szCs w:val="30"/>
          <w:highlight w:val="none"/>
        </w:rPr>
      </w:pPr>
      <w:r>
        <w:rPr>
          <w:rFonts w:ascii="Times New Roman" w:cs="Times New Roman" w:hAnsi="Times New Roman"/>
          <w:lang w:eastAsia="zh-CN"/>
          <w:highlight w:val="none"/>
        </w:rPr>
        <w:br w:type="page"/>
      </w:r>
      <w:bookmarkStart w:id="2" w:name="_Toc22403"/>
      <w:r>
        <w:rPr>
          <w:rFonts w:ascii="Times New Roman" w:eastAsia="黑体" w:cs="Times New Roman" w:hAnsi="Times New Roman"/>
          <w:bCs/>
          <w:kern w:val="0"/>
          <w:sz w:val="32"/>
          <w:szCs w:val="30"/>
          <w:lang w:val="en-US" w:eastAsia="zh-CN"/>
        </w:rPr>
        <w:t>广东省工程建设标准</w:t>
      </w:r>
      <w:bookmarkEnd w:id="2"/>
    </w:p>
    <w:p>
      <w:pPr>
        <w:jc w:val="center"/>
        <w:outlineLvl w:val="9"/>
        <w:rPr>
          <w:rFonts w:ascii="Times New Roman" w:eastAsia="宋体" w:cs="Times New Roman" w:hAnsi="Times New Roman"/>
          <w:b/>
          <w:sz w:val="48"/>
          <w:szCs w:val="48"/>
          <w:lang w:val="en-US" w:eastAsia="zh-CN"/>
          <w:highlight w:val="none"/>
        </w:rPr>
      </w:pPr>
      <w:r>
        <w:rPr>
          <w:rFonts w:ascii="Times New Roman" w:cs="Times New Roman" w:hAnsi="Times New Roman"/>
          <w:b/>
          <w:sz w:val="48"/>
          <w:szCs w:val="48"/>
          <w:lang w:val="en-US" w:eastAsia="zh-CN"/>
          <w:highlight w:val="none"/>
        </w:rPr>
        <w:t>建设工程质量检测数字化管理标准</w:t>
      </w:r>
    </w:p>
    <w:p>
      <w:pPr>
        <w:rPr>
          <w:rFonts w:ascii="Times New Roman" w:cs="Times New Roman" w:hAnsi="Times New Roman"/>
          <w:highlight w:val="none"/>
        </w:rPr>
      </w:pPr>
    </w:p>
    <w:p>
      <w:pPr>
        <w:jc w:val="center"/>
        <w:rPr>
          <w:rFonts w:ascii="Times New Roman" w:cs="Times New Roman" w:hAnsi="Times New Roman"/>
          <w:b w:val="0"/>
          <w:bCs/>
          <w:sz w:val="28"/>
          <w:szCs w:val="28"/>
          <w:highlight w:val="none"/>
        </w:rPr>
      </w:pPr>
      <w:r>
        <w:rPr>
          <w:rFonts w:ascii="Times New Roman" w:cs="Times New Roman" w:hAnsi="Times New Roman"/>
          <w:b w:val="0"/>
          <w:bCs/>
          <w:sz w:val="28"/>
          <w:szCs w:val="28"/>
          <w:lang w:val="en-US" w:eastAsia="zh-CN"/>
          <w:highlight w:val="none"/>
        </w:rPr>
        <w:t>Standard for digital management for construction engineering quality</w:t>
      </w:r>
    </w:p>
    <w:p>
      <w:pPr>
        <w:spacing w:beforeLines="100" w:before="312" w:afterLines="100" w:after="312"/>
        <w:jc w:val="center"/>
        <w:rPr>
          <w:rFonts w:ascii="Times New Roman" w:eastAsia="宋体" w:cs="Times New Roman" w:hAnsi="Times New Roman"/>
          <w:b/>
          <w:bCs/>
          <w:sz w:val="28"/>
          <w:szCs w:val="21"/>
          <w:lang w:eastAsia="zh-CN"/>
          <w:highlight w:val="none"/>
        </w:rPr>
      </w:pPr>
      <w:r>
        <w:rPr>
          <w:rFonts w:ascii="Times New Roman" w:cs="Times New Roman" w:hAnsi="Times New Roman"/>
          <w:b/>
          <w:bCs/>
          <w:sz w:val="28"/>
          <w:szCs w:val="21"/>
          <w:highlight w:val="none"/>
        </w:rPr>
        <w:t>DBJ/T 15-XX-20XX</w:t>
      </w:r>
    </w:p>
    <w:p>
      <w:pPr>
        <w:pStyle w:val="16"/>
        <w:rPr>
          <w:rFonts w:ascii="Times New Roman" w:cs="Times New Roman" w:hAnsi="Times New Roman"/>
          <w:highlight w:val="none"/>
        </w:rPr>
      </w:pPr>
    </w:p>
    <w:p>
      <w:pPr>
        <w:rPr>
          <w:rFonts w:ascii="Times New Roman" w:cs="Times New Roman" w:hAnsi="Times New Roman"/>
          <w:highlight w:val="none"/>
        </w:rPr>
      </w:pPr>
    </w:p>
    <w:tbl>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1494"/>
        <w:gridCol w:w="1977"/>
        <w:gridCol w:w="3108"/>
      </w:tblGrid>
      <w:tr>
        <w:trPr>
          <w:trHeight w:val="661"/>
        </w:trPr>
        <w:tc>
          <w:tcPr>
            <w:tcW w:w="3471" w:type="dxa"/>
            <w:gridSpan w:val="2"/>
            <w:tcBorders>
              <w:top w:val="nil"/>
              <w:left w:val="nil"/>
              <w:bottom w:val="nil"/>
              <w:right w:val="nil"/>
            </w:tcBorders>
            <w:vAlign w:val="center"/>
          </w:tcPr>
          <w:p>
            <w:pPr>
              <w:spacing w:line="240" w:lineRule="auto"/>
              <w:jc w:val="center"/>
              <w:rPr>
                <w:rFonts w:ascii="Times New Roman" w:eastAsia="宋体" w:cs="Times New Roman" w:hAnsi="Times New Roman"/>
                <w:sz w:val="28"/>
                <w:lang w:val="en-US" w:eastAsia="zh-CN"/>
                <w:highlight w:val="none"/>
              </w:rPr>
            </w:pPr>
            <w:r>
              <w:rPr>
                <w:rFonts w:ascii="Times New Roman" w:cs="Times New Roman" w:hAnsi="Times New Roman"/>
                <w:sz w:val="28"/>
                <w:lang w:val="en-US" w:eastAsia="zh-CN"/>
                <w:highlight w:val="none"/>
              </w:rPr>
              <w:t>住房和城乡建设部备案号：</w:t>
            </w:r>
          </w:p>
        </w:tc>
        <w:tc>
          <w:tcPr>
            <w:tcW w:w="3108" w:type="dxa"/>
            <w:tcBorders>
              <w:top w:val="nil"/>
              <w:left w:val="nil"/>
              <w:bottom w:val="nil"/>
              <w:right w:val="nil"/>
            </w:tcBorders>
            <w:vAlign w:val="center"/>
          </w:tcPr>
          <w:p>
            <w:pPr>
              <w:spacing w:line="240" w:lineRule="auto"/>
              <w:jc w:val="distribute"/>
              <w:rPr>
                <w:rFonts w:ascii="Times New Roman" w:cs="Times New Roman" w:hAnsi="Times New Roman"/>
                <w:sz w:val="28"/>
                <w:highlight w:val="none"/>
              </w:rPr>
            </w:pPr>
          </w:p>
        </w:tc>
      </w:tr>
      <w:tr>
        <w:trPr>
          <w:trHeight w:val="661"/>
        </w:trPr>
        <w:tc>
          <w:tcPr>
            <w:tcW w:w="1494" w:type="dxa"/>
            <w:tcBorders>
              <w:top w:val="nil"/>
              <w:left w:val="nil"/>
              <w:bottom w:val="nil"/>
              <w:right w:val="nil"/>
            </w:tcBorders>
            <w:vAlign w:val="center"/>
          </w:tcPr>
          <w:p>
            <w:pPr>
              <w:spacing w:line="240" w:lineRule="auto"/>
              <w:jc w:val="center"/>
              <w:rPr>
                <w:rFonts w:ascii="Times New Roman" w:cs="Times New Roman" w:hAnsi="Times New Roman"/>
                <w:sz w:val="28"/>
                <w:highlight w:val="none"/>
              </w:rPr>
            </w:pPr>
            <w:r>
              <w:rPr>
                <w:rFonts w:ascii="Times New Roman" w:cs="Times New Roman" w:hAnsi="Times New Roman"/>
                <w:sz w:val="28"/>
                <w:highlight w:val="none"/>
              </w:rPr>
              <w:t>批准单位：</w:t>
            </w:r>
          </w:p>
        </w:tc>
        <w:tc>
          <w:tcPr>
            <w:tcW w:w="5085" w:type="dxa"/>
            <w:gridSpan w:val="2"/>
            <w:tcBorders>
              <w:top w:val="nil"/>
              <w:left w:val="nil"/>
              <w:bottom w:val="nil"/>
              <w:right w:val="nil"/>
            </w:tcBorders>
            <w:vAlign w:val="center"/>
          </w:tcPr>
          <w:p>
            <w:pPr>
              <w:spacing w:line="240" w:lineRule="auto"/>
              <w:jc w:val="distribute"/>
              <w:rPr>
                <w:rFonts w:ascii="Times New Roman" w:eastAsia="宋体" w:cs="Times New Roman" w:hAnsi="Times New Roman"/>
                <w:sz w:val="28"/>
                <w:lang w:val="en-US" w:eastAsia="zh-CN"/>
                <w:highlight w:val="none"/>
              </w:rPr>
            </w:pPr>
            <w:r>
              <w:rPr>
                <w:rFonts w:ascii="Times New Roman" w:cs="Times New Roman" w:hAnsi="Times New Roman"/>
                <w:kern w:val="0"/>
                <w:sz w:val="28"/>
                <w:lang w:val="en-US" w:eastAsia="zh-CN"/>
                <w:highlight w:val="none"/>
              </w:rPr>
              <w:t>广东省住房和城乡建设厅</w:t>
            </w:r>
          </w:p>
        </w:tc>
      </w:tr>
      <w:tr>
        <w:trPr>
          <w:trHeight w:val="661"/>
        </w:trPr>
        <w:tc>
          <w:tcPr>
            <w:tcW w:w="1494" w:type="dxa"/>
            <w:tcBorders>
              <w:top w:val="nil"/>
              <w:left w:val="nil"/>
              <w:bottom w:val="nil"/>
              <w:right w:val="nil"/>
            </w:tcBorders>
            <w:vAlign w:val="center"/>
          </w:tcPr>
          <w:p>
            <w:pPr>
              <w:spacing w:line="240" w:lineRule="auto"/>
              <w:jc w:val="center"/>
              <w:rPr>
                <w:rFonts w:ascii="Times New Roman" w:cs="Times New Roman" w:hAnsi="Times New Roman"/>
                <w:sz w:val="28"/>
                <w:highlight w:val="none"/>
              </w:rPr>
            </w:pPr>
            <w:r>
              <w:rPr>
                <w:rFonts w:ascii="Times New Roman" w:cs="Times New Roman" w:hAnsi="Times New Roman"/>
                <w:sz w:val="28"/>
                <w:highlight w:val="none"/>
              </w:rPr>
              <w:t>施行日期：</w:t>
            </w:r>
          </w:p>
        </w:tc>
        <w:tc>
          <w:tcPr>
            <w:tcW w:w="5085" w:type="dxa"/>
            <w:gridSpan w:val="2"/>
            <w:tcBorders>
              <w:top w:val="nil"/>
              <w:left w:val="nil"/>
              <w:bottom w:val="nil"/>
              <w:right w:val="nil"/>
            </w:tcBorders>
            <w:vAlign w:val="center"/>
          </w:tcPr>
          <w:p>
            <w:pPr>
              <w:spacing w:line="240" w:lineRule="auto"/>
              <w:jc w:val="distribute"/>
              <w:rPr>
                <w:rFonts w:ascii="Times New Roman" w:cs="Times New Roman" w:hAnsi="Times New Roman"/>
                <w:sz w:val="28"/>
                <w:highlight w:val="none"/>
              </w:rPr>
            </w:pPr>
            <w:r>
              <w:rPr>
                <w:rFonts w:ascii="Times New Roman" w:cs="Times New Roman" w:hAnsi="Times New Roman"/>
                <w:kern w:val="0"/>
                <w:sz w:val="28"/>
                <w:highlight w:val="none"/>
              </w:rPr>
              <w:t>202</w:t>
            </w:r>
            <w:r>
              <w:rPr>
                <w:rFonts w:ascii="Times New Roman" w:cs="Times New Roman" w:hAnsi="Times New Roman"/>
                <w:kern w:val="0"/>
                <w:sz w:val="28"/>
                <w:lang w:val="en-US" w:eastAsia="zh-CN"/>
                <w:highlight w:val="none"/>
              </w:rPr>
              <w:t>X</w:t>
            </w:r>
            <w:r>
              <w:rPr>
                <w:rFonts w:ascii="Times New Roman" w:cs="Times New Roman" w:hAnsi="Times New Roman"/>
                <w:kern w:val="0"/>
                <w:sz w:val="28"/>
                <w:highlight w:val="none"/>
              </w:rPr>
              <w:t>年</w:t>
            </w:r>
            <w:r>
              <w:rPr>
                <w:rFonts w:ascii="Times New Roman" w:cs="Times New Roman" w:hAnsi="Times New Roman"/>
                <w:kern w:val="0"/>
                <w:sz w:val="28"/>
                <w:lang w:val="en-US" w:eastAsia="zh-CN"/>
                <w:highlight w:val="none"/>
              </w:rPr>
              <w:t>XX</w:t>
            </w:r>
            <w:r>
              <w:rPr>
                <w:rFonts w:ascii="Times New Roman" w:cs="Times New Roman" w:hAnsi="Times New Roman"/>
                <w:kern w:val="0"/>
                <w:sz w:val="28"/>
                <w:highlight w:val="none"/>
              </w:rPr>
              <w:t>月</w:t>
            </w:r>
            <w:r>
              <w:rPr>
                <w:rFonts w:ascii="Times New Roman" w:cs="Times New Roman" w:hAnsi="Times New Roman"/>
                <w:kern w:val="0"/>
                <w:sz w:val="28"/>
                <w:lang w:val="en-US" w:eastAsia="zh-CN"/>
                <w:highlight w:val="none"/>
              </w:rPr>
              <w:t>XX</w:t>
            </w:r>
            <w:r>
              <w:rPr>
                <w:rFonts w:ascii="Times New Roman" w:cs="Times New Roman" w:hAnsi="Times New Roman"/>
                <w:kern w:val="0"/>
                <w:sz w:val="28"/>
                <w:highlight w:val="none"/>
              </w:rPr>
              <w:t>日</w:t>
            </w:r>
          </w:p>
        </w:tc>
      </w:tr>
    </w:tbl>
    <w:p>
      <w:pPr>
        <w:spacing w:beforeLines="100" w:before="312" w:afterLines="100" w:after="312" w:line="240" w:lineRule="auto"/>
        <w:jc w:val="center"/>
        <w:rPr>
          <w:rFonts w:ascii="Times New Roman" w:eastAsia="仿宋" w:cs="Times New Roman" w:hAnsi="Times New Roman"/>
          <w:b/>
          <w:sz w:val="28"/>
          <w:szCs w:val="32"/>
          <w:highlight w:val="none"/>
        </w:rPr>
      </w:pPr>
    </w:p>
    <w:p>
      <w:pPr>
        <w:spacing w:beforeLines="100" w:before="312" w:afterLines="100" w:after="312" w:line="240" w:lineRule="auto"/>
        <w:jc w:val="center"/>
        <w:rPr>
          <w:rFonts w:ascii="Times New Roman" w:eastAsia="仿宋" w:cs="Times New Roman" w:hAnsi="Times New Roman"/>
          <w:b/>
          <w:sz w:val="28"/>
          <w:szCs w:val="32"/>
          <w:highlight w:val="none"/>
        </w:rPr>
      </w:pPr>
    </w:p>
    <w:p>
      <w:pPr>
        <w:spacing w:beforeLines="100" w:before="312" w:afterLines="100" w:after="312" w:line="240" w:lineRule="auto"/>
        <w:jc w:val="center"/>
        <w:rPr>
          <w:rFonts w:ascii="Times New Roman" w:eastAsia="仿宋" w:cs="Times New Roman" w:hAnsi="Times New Roman"/>
          <w:b/>
          <w:sz w:val="28"/>
          <w:szCs w:val="32"/>
          <w:highlight w:val="none"/>
        </w:rPr>
      </w:pPr>
    </w:p>
    <w:p>
      <w:pPr>
        <w:spacing w:beforeLines="100" w:before="312" w:afterLines="100" w:after="312" w:line="240" w:lineRule="auto"/>
        <w:jc w:val="center"/>
        <w:rPr>
          <w:rFonts w:ascii="Times New Roman" w:eastAsia="仿宋" w:cs="Times New Roman" w:hAnsi="Times New Roman"/>
          <w:b/>
          <w:sz w:val="28"/>
          <w:szCs w:val="32"/>
          <w:highlight w:val="none"/>
        </w:rPr>
      </w:pPr>
    </w:p>
    <w:p>
      <w:pPr>
        <w:spacing w:beforeLines="100" w:before="312" w:afterLines="100" w:after="312" w:line="240" w:lineRule="auto"/>
        <w:jc w:val="center"/>
        <w:rPr>
          <w:rFonts w:ascii="Times New Roman" w:eastAsia="仿宋" w:cs="Times New Roman" w:hAnsi="Times New Roman"/>
          <w:b/>
          <w:sz w:val="28"/>
          <w:szCs w:val="32"/>
          <w:highlight w:val="none"/>
        </w:rPr>
      </w:pPr>
      <w:r>
        <w:rPr>
          <w:rFonts w:ascii="Times New Roman" w:eastAsia="仿宋" w:cs="Times New Roman" w:hAnsi="Times New Roman"/>
          <w:b/>
          <w:sz w:val="28"/>
          <w:szCs w:val="32"/>
          <w:highlight w:val="none"/>
        </w:rPr>
        <w:t>中国</w:t>
      </w:r>
      <w:r>
        <w:rPr>
          <w:rFonts w:ascii="Times New Roman" w:eastAsia="仿宋" w:cs="Times New Roman" w:hAnsi="Times New Roman"/>
          <w:b/>
          <w:sz w:val="28"/>
          <w:szCs w:val="32"/>
          <w:lang w:val="en-US" w:eastAsia="zh-CN"/>
          <w:highlight w:val="none"/>
        </w:rPr>
        <w:t>XX</w:t>
      </w:r>
      <w:r>
        <w:rPr>
          <w:rFonts w:ascii="Times New Roman" w:eastAsia="仿宋" w:cs="Times New Roman" w:hAnsi="Times New Roman"/>
          <w:b/>
          <w:sz w:val="28"/>
          <w:szCs w:val="32"/>
          <w:highlight w:val="none"/>
        </w:rPr>
        <w:t>出版社</w:t>
      </w:r>
    </w:p>
    <w:p>
      <w:pPr>
        <w:spacing w:line="240" w:lineRule="auto"/>
        <w:jc w:val="center"/>
        <w:rPr>
          <w:rFonts w:ascii="Times New Roman" w:cs="Times New Roman" w:hAnsi="Times New Roman"/>
          <w:b/>
          <w:bCs/>
          <w:highlight w:val="none"/>
        </w:rPr>
      </w:pPr>
      <w:bookmarkStart w:id="3" w:name="_Toc21957"/>
      <w:r>
        <w:rPr>
          <w:rFonts w:ascii="Times New Roman" w:eastAsia="黑体" w:cs="Times New Roman" w:hAnsi="Times New Roman"/>
          <w:b/>
          <w:bCs/>
          <w:szCs w:val="21"/>
          <w:highlight w:val="none"/>
        </w:rPr>
        <w:t>202</w:t>
      </w:r>
      <w:r>
        <w:rPr>
          <w:rFonts w:ascii="Times New Roman" w:eastAsia="黑体" w:cs="Times New Roman" w:hAnsi="Times New Roman"/>
          <w:b/>
          <w:bCs/>
          <w:szCs w:val="21"/>
          <w:lang w:val="en-US" w:eastAsia="zh-CN"/>
          <w:highlight w:val="none"/>
        </w:rPr>
        <w:t>X</w:t>
      </w:r>
      <w:bookmarkEnd w:id="3"/>
    </w:p>
    <w:p>
      <w:pPr>
        <w:rPr>
          <w:rFonts w:ascii="Times New Roman" w:cs="Times New Roman" w:hAnsi="Times New Roman"/>
          <w:highlight w:val="none"/>
        </w:rPr>
        <w:sectPr>
          <w:footerReference w:type="default" r:id="rId2"/>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upperRoman"/>
          <w:cols w:num="1" w:space="720"/>
          <w:docGrid w:type="lines" w:linePitch="312" w:charSpace="0"/>
        </w:sectPr>
      </w:pPr>
    </w:p>
    <w:p>
      <w:pPr>
        <w:spacing w:beforeLines="100" w:before="312" w:afterLines="200" w:after="624"/>
        <w:jc w:val="center"/>
        <w:rPr>
          <w:rFonts w:ascii="Times New Roman" w:eastAsia="宋体" w:cs="Times New Roman" w:hAnsi="Times New Roman"/>
          <w:b/>
          <w:bCs w:val="0"/>
          <w:sz w:val="32"/>
          <w:szCs w:val="32"/>
          <w:highlight w:val="none"/>
        </w:rPr>
      </w:pPr>
      <w:bookmarkStart w:id="4" w:name="_Toc20035"/>
      <w:bookmarkStart w:id="5" w:name="_Toc22202"/>
      <w:r>
        <w:rPr>
          <w:rFonts w:ascii="Times New Roman" w:eastAsia="宋体" w:cs="Times New Roman" w:hAnsi="Times New Roman"/>
          <w:b/>
          <w:bCs w:val="0"/>
          <w:sz w:val="32"/>
          <w:szCs w:val="32"/>
          <w:highlight w:val="none"/>
        </w:rPr>
        <w:t>前　　言</w:t>
      </w:r>
    </w:p>
    <w:p>
      <w:pPr>
        <w:ind w:firstLineChars="200" w:firstLine="480"/>
        <w:rPr>
          <w:rFonts w:ascii="Times New Roman" w:cs="Times New Roman" w:hAnsi="Times New Roman"/>
          <w:szCs w:val="21"/>
          <w:highlight w:val="none"/>
        </w:rPr>
      </w:pPr>
      <w:r>
        <w:rPr>
          <w:rFonts w:ascii="Times New Roman" w:cs="Times New Roman" w:hAnsi="Times New Roman"/>
          <w:szCs w:val="21"/>
          <w:highlight w:val="none"/>
        </w:rPr>
        <w:t>根据</w:t>
      </w:r>
      <w:r>
        <w:rPr>
          <w:rFonts w:ascii="Times New Roman" w:cs="Times New Roman" w:hAnsi="Times New Roman"/>
          <w:szCs w:val="21"/>
          <w:lang w:val="zh-CN"/>
          <w:highlight w:val="none"/>
        </w:rPr>
        <w:t>《</w:t>
      </w:r>
      <w:r>
        <w:rPr>
          <w:rFonts w:ascii="Times New Roman" w:cs="Times New Roman" w:hAnsi="Times New Roman"/>
          <w:szCs w:val="21"/>
          <w:lang w:val="en-US" w:eastAsia="zh-CN"/>
          <w:highlight w:val="none"/>
        </w:rPr>
        <w:t>广东省住房和城乡建设厅关于</w:t>
      </w:r>
      <w:r>
        <w:rPr>
          <w:rFonts w:ascii="Times New Roman" w:cs="Times New Roman" w:hAnsi="Times New Roman"/>
          <w:szCs w:val="21"/>
          <w:lang w:val="zh-CN"/>
          <w:highlight w:val="none"/>
        </w:rPr>
        <w:t>印发〈202</w:t>
      </w:r>
      <w:r>
        <w:rPr>
          <w:rFonts w:ascii="Times New Roman" w:cs="Times New Roman" w:hAnsi="Times New Roman"/>
          <w:szCs w:val="21"/>
          <w:lang w:val="en-US" w:eastAsia="zh-CN"/>
          <w:highlight w:val="none"/>
        </w:rPr>
        <w:t>5</w:t>
      </w:r>
      <w:r>
        <w:rPr>
          <w:rFonts w:ascii="Times New Roman" w:cs="Times New Roman" w:hAnsi="Times New Roman"/>
          <w:szCs w:val="21"/>
          <w:lang w:val="zh-CN"/>
          <w:highlight w:val="none"/>
        </w:rPr>
        <w:t>年</w:t>
      </w:r>
      <w:r>
        <w:rPr>
          <w:rFonts w:ascii="Times New Roman" w:cs="Times New Roman" w:hAnsi="Times New Roman"/>
          <w:szCs w:val="21"/>
          <w:lang w:val="en-US" w:eastAsia="zh-CN"/>
          <w:highlight w:val="none"/>
        </w:rPr>
        <w:t>广东省工程建设标准制订和修订计划</w:t>
      </w:r>
      <w:r>
        <w:rPr>
          <w:rFonts w:ascii="Times New Roman" w:cs="Times New Roman" w:hAnsi="Times New Roman"/>
          <w:szCs w:val="21"/>
          <w:lang w:val="zh-CN"/>
          <w:highlight w:val="none"/>
        </w:rPr>
        <w:t>〉的通知</w:t>
      </w:r>
      <w:r>
        <w:rPr>
          <w:rFonts w:ascii="Times New Roman" w:cs="Times New Roman" w:hAnsi="Times New Roman"/>
          <w:szCs w:val="21"/>
          <w:highlight w:val="none"/>
        </w:rPr>
        <w:t>》的要求</w:t>
      </w:r>
      <w:r>
        <w:rPr>
          <w:rFonts w:ascii="Times New Roman" w:cs="Times New Roman" w:hAnsi="Times New Roman"/>
          <w:szCs w:val="21"/>
          <w:lang w:eastAsia="zh-CN"/>
          <w:highlight w:val="none"/>
        </w:rPr>
        <w:t>，</w:t>
      </w:r>
      <w:r>
        <w:rPr>
          <w:rFonts w:ascii="Times New Roman" w:cs="Times New Roman" w:hAnsi="Times New Roman"/>
          <w:szCs w:val="21"/>
          <w:highlight w:val="none"/>
        </w:rPr>
        <w:t>编制组经深入调查研究，认真总结实践经验，参考国内外</w:t>
      </w:r>
      <w:r>
        <w:rPr>
          <w:rFonts w:ascii="Times New Roman" w:cs="Times New Roman" w:hAnsi="Times New Roman"/>
          <w:szCs w:val="21"/>
          <w:lang w:val="en-US" w:eastAsia="zh-CN"/>
          <w:highlight w:val="none"/>
        </w:rPr>
        <w:t>先进标准</w:t>
      </w:r>
      <w:r>
        <w:rPr>
          <w:rFonts w:ascii="Times New Roman" w:cs="Times New Roman" w:hAnsi="Times New Roman"/>
          <w:szCs w:val="21"/>
          <w:highlight w:val="none"/>
        </w:rPr>
        <w:t>，并在广泛征求意见的基础上，制定本</w:t>
      </w:r>
      <w:r>
        <w:rPr>
          <w:rFonts w:ascii="Times New Roman" w:cs="Times New Roman" w:hAnsi="Times New Roman"/>
          <w:szCs w:val="21"/>
          <w:lang w:val="en-US" w:eastAsia="zh-CN"/>
          <w:highlight w:val="none"/>
        </w:rPr>
        <w:t>标准</w:t>
      </w:r>
      <w:r>
        <w:rPr>
          <w:rFonts w:ascii="Times New Roman" w:cs="Times New Roman" w:hAnsi="Times New Roman"/>
          <w:szCs w:val="21"/>
          <w:highlight w:val="none"/>
        </w:rPr>
        <w:t>。</w:t>
      </w:r>
    </w:p>
    <w:p>
      <w:pPr>
        <w:ind w:firstLineChars="200" w:firstLine="480"/>
        <w:rPr>
          <w:rFonts w:ascii="Times New Roman" w:cs="Times New Roman" w:hAnsi="Times New Roman"/>
          <w:szCs w:val="21"/>
          <w:highlight w:val="none"/>
        </w:rPr>
      </w:pPr>
      <w:r>
        <w:rPr>
          <w:rFonts w:ascii="Times New Roman" w:cs="Times New Roman" w:hAnsi="Times New Roman"/>
          <w:szCs w:val="21"/>
          <w:highlight w:val="none"/>
        </w:rPr>
        <w:t>本</w:t>
      </w:r>
      <w:r>
        <w:rPr>
          <w:rFonts w:ascii="Times New Roman" w:cs="Times New Roman" w:hAnsi="Times New Roman"/>
          <w:szCs w:val="21"/>
          <w:lang w:eastAsia="zh-CN"/>
          <w:highlight w:val="none"/>
        </w:rPr>
        <w:t>标准</w:t>
      </w:r>
      <w:r>
        <w:rPr>
          <w:rFonts w:ascii="Times New Roman" w:cs="Times New Roman" w:hAnsi="Times New Roman"/>
          <w:szCs w:val="21"/>
          <w:highlight w:val="none"/>
        </w:rPr>
        <w:t>共分</w:t>
      </w:r>
      <w:r>
        <w:rPr>
          <w:rFonts w:ascii="Times New Roman" w:cs="Times New Roman" w:hAnsi="Times New Roman" w:hint="eastAsia"/>
          <w:szCs w:val="21"/>
          <w:lang w:val="en-US" w:eastAsia="zh-CN"/>
          <w:highlight w:val="none"/>
        </w:rPr>
        <w:t>8</w:t>
      </w:r>
      <w:r>
        <w:rPr>
          <w:rFonts w:ascii="Times New Roman" w:cs="Times New Roman" w:hAnsi="Times New Roman"/>
          <w:szCs w:val="21"/>
          <w:highlight w:val="none"/>
        </w:rPr>
        <w:t>章，主要内容包括：总则、术语、基本规定、</w:t>
      </w:r>
      <w:r>
        <w:rPr>
          <w:rFonts w:ascii="Times New Roman" w:cs="Times New Roman" w:hAnsi="Times New Roman"/>
          <w:lang w:val="en-US" w:eastAsia="zh-CN"/>
          <w:highlight w:val="none"/>
        </w:rPr>
        <w:t>资源</w:t>
      </w:r>
      <w:r>
        <w:rPr>
          <w:rFonts w:ascii="Times New Roman" w:cs="Times New Roman" w:hAnsi="Times New Roman" w:hint="eastAsia"/>
          <w:lang w:val="en-US" w:eastAsia="zh-CN"/>
          <w:highlight w:val="none"/>
        </w:rPr>
        <w:t>数字化</w:t>
      </w:r>
      <w:r>
        <w:rPr>
          <w:rFonts w:ascii="Times New Roman" w:cs="Times New Roman" w:hAnsi="Times New Roman"/>
          <w:lang w:val="en-US" w:eastAsia="zh-CN"/>
          <w:highlight w:val="none"/>
        </w:rPr>
        <w:t>管理、过程</w:t>
      </w:r>
      <w:r>
        <w:rPr>
          <w:rFonts w:ascii="Times New Roman" w:cs="Times New Roman" w:hAnsi="Times New Roman" w:hint="eastAsia"/>
          <w:lang w:val="en-US" w:eastAsia="zh-CN"/>
          <w:highlight w:val="none"/>
        </w:rPr>
        <w:t>数字化</w:t>
      </w:r>
      <w:r>
        <w:rPr>
          <w:rFonts w:ascii="Times New Roman" w:cs="Times New Roman" w:hAnsi="Times New Roman"/>
          <w:lang w:val="en-US" w:eastAsia="zh-CN"/>
          <w:highlight w:val="none"/>
        </w:rPr>
        <w:t>管理</w:t>
      </w:r>
      <w:r>
        <w:rPr>
          <w:rFonts w:ascii="Times New Roman" w:cs="Times New Roman" w:hAnsi="Times New Roman" w:hint="eastAsia"/>
          <w:lang w:val="en-US" w:eastAsia="zh-CN"/>
          <w:highlight w:val="none"/>
        </w:rPr>
        <w:t>、体系数字化管理、项目数字化管理和数字化管理评估</w:t>
      </w:r>
      <w:r>
        <w:rPr>
          <w:rFonts w:ascii="Times New Roman" w:cs="Times New Roman" w:hAnsi="Times New Roman"/>
          <w:szCs w:val="21"/>
          <w:highlight w:val="none"/>
        </w:rPr>
        <w:t>等。</w:t>
      </w:r>
    </w:p>
    <w:p>
      <w:pPr>
        <w:ind w:firstLineChars="200" w:firstLine="480"/>
        <w:rPr>
          <w:rFonts w:ascii="Times New Roman" w:cs="Times New Roman" w:hAnsi="Times New Roman"/>
          <w:szCs w:val="21"/>
          <w:lang w:val="en-US" w:eastAsia="zh-CN"/>
          <w:highlight w:val="none"/>
        </w:rPr>
      </w:pPr>
      <w:r>
        <w:rPr>
          <w:rFonts w:ascii="Times New Roman" w:cs="Times New Roman" w:hAnsi="Times New Roman"/>
          <w:szCs w:val="21"/>
          <w:lang w:val="en-US" w:eastAsia="zh-CN"/>
          <w:highlight w:val="none"/>
        </w:rPr>
        <w:t>本标准不涉及专利。</w:t>
      </w:r>
    </w:p>
    <w:p>
      <w:pPr>
        <w:ind w:firstLineChars="200" w:firstLine="480"/>
        <w:rPr>
          <w:rFonts w:ascii="Times New Roman" w:cs="Times New Roman" w:hAnsi="Times New Roman"/>
          <w:szCs w:val="21"/>
          <w:highlight w:val="none"/>
        </w:rPr>
      </w:pPr>
      <w:r>
        <w:rPr>
          <w:rFonts w:ascii="Times New Roman" w:cs="Times New Roman" w:hAnsi="Times New Roman"/>
          <w:szCs w:val="21"/>
          <w:highlight w:val="none"/>
        </w:rPr>
        <w:t>本</w:t>
      </w:r>
      <w:r>
        <w:rPr>
          <w:rFonts w:ascii="Times New Roman" w:cs="Times New Roman" w:hAnsi="Times New Roman"/>
          <w:szCs w:val="21"/>
          <w:lang w:eastAsia="zh-CN"/>
          <w:highlight w:val="none"/>
        </w:rPr>
        <w:t>标准</w:t>
      </w:r>
      <w:r>
        <w:rPr>
          <w:rFonts w:ascii="Times New Roman" w:cs="Times New Roman" w:hAnsi="Times New Roman"/>
          <w:szCs w:val="21"/>
          <w:highlight w:val="none"/>
        </w:rPr>
        <w:t>由</w:t>
      </w:r>
      <w:r>
        <w:rPr>
          <w:rFonts w:ascii="Times New Roman" w:cs="Times New Roman" w:hAnsi="Times New Roman"/>
          <w:szCs w:val="21"/>
          <w:lang w:val="en-US" w:eastAsia="zh-CN"/>
          <w:highlight w:val="none"/>
        </w:rPr>
        <w:t>广东省住房和城乡建设厅负责</w:t>
      </w:r>
      <w:r>
        <w:rPr>
          <w:rFonts w:ascii="Times New Roman" w:cs="Times New Roman" w:hAnsi="Times New Roman"/>
          <w:szCs w:val="21"/>
          <w:highlight w:val="none"/>
        </w:rPr>
        <w:t>管理，由</w:t>
      </w:r>
      <w:r>
        <w:rPr>
          <w:rFonts w:ascii="Times New Roman" w:cs="Times New Roman" w:hAnsi="Times New Roman"/>
          <w:szCs w:val="21"/>
          <w:lang w:val="en-US" w:eastAsia="zh-CN"/>
          <w:highlight w:val="none"/>
        </w:rPr>
        <w:t>主编单位</w:t>
      </w:r>
      <w:r>
        <w:rPr>
          <w:rFonts w:ascii="Times New Roman" w:cs="Times New Roman" w:hAnsi="Times New Roman"/>
          <w:szCs w:val="21"/>
          <w:highlight w:val="none"/>
        </w:rPr>
        <w:t>负责具体技术内容的解释。</w:t>
      </w:r>
      <w:r>
        <w:rPr>
          <w:rFonts w:ascii="Times New Roman" w:cs="Times New Roman" w:hAnsi="Times New Roman"/>
          <w:szCs w:val="21"/>
          <w:lang w:val="en-US" w:eastAsia="zh-CN"/>
          <w:highlight w:val="none"/>
        </w:rPr>
        <w:t>在执行</w:t>
      </w:r>
      <w:r>
        <w:rPr>
          <w:rFonts w:ascii="Times New Roman" w:cs="Times New Roman" w:hAnsi="Times New Roman"/>
          <w:szCs w:val="21"/>
          <w:highlight w:val="none"/>
        </w:rPr>
        <w:t>过程中如有</w:t>
      </w:r>
      <w:r>
        <w:rPr>
          <w:rFonts w:ascii="Times New Roman" w:cs="Times New Roman" w:hAnsi="Times New Roman"/>
          <w:szCs w:val="21"/>
          <w:lang w:val="en-US" w:eastAsia="zh-CN"/>
          <w:highlight w:val="none"/>
        </w:rPr>
        <w:t>需要修改或补充之处</w:t>
      </w:r>
      <w:r>
        <w:rPr>
          <w:rFonts w:ascii="Times New Roman" w:cs="Times New Roman" w:hAnsi="Times New Roman"/>
          <w:szCs w:val="21"/>
          <w:highlight w:val="none"/>
        </w:rPr>
        <w:t>，请</w:t>
      </w:r>
      <w:r>
        <w:rPr>
          <w:rFonts w:ascii="Times New Roman" w:cs="Times New Roman" w:hAnsi="Times New Roman"/>
          <w:szCs w:val="21"/>
          <w:lang w:val="en-US" w:eastAsia="zh-CN"/>
          <w:highlight w:val="none"/>
        </w:rPr>
        <w:t>将意见和有关资料寄送</w:t>
      </w:r>
      <w:r>
        <w:rPr>
          <w:rFonts w:ascii="Times New Roman" w:eastAsia="宋体" w:cs="Times New Roman" w:hAnsi="Times New Roman"/>
          <w:lang w:val="en-US" w:eastAsia="zh-CN"/>
          <w:highlight w:val="none"/>
        </w:rPr>
        <w:t>广东省建设工程质量安全检测和鉴定协会</w:t>
      </w:r>
      <w:r>
        <w:rPr>
          <w:rFonts w:ascii="Times New Roman" w:cs="Times New Roman" w:hAnsi="Times New Roman"/>
          <w:szCs w:val="21"/>
          <w:highlight w:val="none"/>
        </w:rPr>
        <w:t>（地址：广东省广州市</w:t>
      </w:r>
      <w:r>
        <w:rPr>
          <w:rFonts w:ascii="Times New Roman" w:cs="Times New Roman" w:hAnsi="Times New Roman"/>
          <w:szCs w:val="21"/>
          <w:lang w:val="en-US" w:eastAsia="zh-CN"/>
          <w:highlight w:val="none"/>
        </w:rPr>
        <w:t>越秀区广州大道北193号</w:t>
      </w:r>
      <w:r>
        <w:rPr>
          <w:rFonts w:ascii="Times New Roman" w:cs="Times New Roman" w:hAnsi="Times New Roman"/>
          <w:szCs w:val="21"/>
          <w:highlight w:val="none"/>
        </w:rPr>
        <w:t>，邮编：510</w:t>
      </w:r>
      <w:r>
        <w:rPr>
          <w:rFonts w:ascii="Times New Roman" w:cs="Times New Roman" w:hAnsi="Times New Roman"/>
          <w:szCs w:val="21"/>
          <w:lang w:val="en-US" w:eastAsia="zh-CN"/>
          <w:highlight w:val="none"/>
        </w:rPr>
        <w:t>03</w:t>
      </w:r>
      <w:r>
        <w:rPr>
          <w:rFonts w:ascii="Times New Roman" w:cs="Times New Roman" w:hAnsi="Times New Roman"/>
          <w:szCs w:val="21"/>
          <w:highlight w:val="none"/>
        </w:rPr>
        <w:t>0，邮箱：）。</w:t>
      </w:r>
    </w:p>
    <w:p>
      <w:pPr>
        <w:ind w:leftChars="200" w:left="480"/>
        <w:jc w:val="left"/>
        <w:rPr>
          <w:rFonts w:ascii="Times New Roman" w:cs="Times New Roman" w:hAnsi="Times New Roman"/>
          <w:b w:val="0"/>
          <w:bCs w:val="0"/>
          <w:szCs w:val="21"/>
          <w:highlight w:val="none"/>
        </w:rPr>
      </w:pPr>
      <w:r>
        <w:rPr>
          <w:rFonts w:ascii="Times New Roman" w:eastAsia="黑体" w:cs="Times New Roman" w:hAnsi="Times New Roman"/>
          <w:bCs/>
          <w:spacing w:val="40"/>
          <w:kern w:val="0"/>
          <w:szCs w:val="21"/>
          <w:fitText w:val="1200" w:id="533614926"/>
          <w:highlight w:val="none"/>
        </w:rPr>
        <w:t>主编单</w:t>
      </w:r>
      <w:r>
        <w:rPr>
          <w:rFonts w:ascii="Times New Roman" w:eastAsia="黑体" w:cs="Times New Roman" w:hAnsi="Times New Roman"/>
          <w:bCs/>
          <w:spacing w:val="0"/>
          <w:kern w:val="0"/>
          <w:szCs w:val="21"/>
          <w:fitText w:val="1200" w:id="533614926"/>
          <w:highlight w:val="none"/>
        </w:rPr>
        <w:t>位</w:t>
      </w:r>
      <w:r>
        <w:rPr>
          <w:rFonts w:ascii="Times New Roman" w:cs="Times New Roman" w:hAnsi="Times New Roman"/>
          <w:b/>
          <w:bCs/>
          <w:szCs w:val="21"/>
          <w:highlight w:val="none"/>
        </w:rPr>
        <w:t>：</w:t>
      </w:r>
      <w:r>
        <w:rPr>
          <w:rFonts w:ascii="Times New Roman" w:cs="Times New Roman" w:hAnsi="Times New Roman"/>
          <w:b w:val="0"/>
          <w:bCs w:val="0"/>
          <w:szCs w:val="21"/>
          <w:highlight w:val="none"/>
        </w:rPr>
        <w:t>广东省建设工程质量安全检测和鉴定协会</w:t>
      </w:r>
    </w:p>
    <w:p>
      <w:pPr>
        <w:ind w:leftChars="200" w:left="480" w:firstLineChars="600" w:firstLine="1440"/>
        <w:jc w:val="left"/>
        <w:rPr>
          <w:rFonts w:ascii="Times New Roman" w:cs="Times New Roman" w:hAnsi="Times New Roman"/>
          <w:b w:val="0"/>
          <w:bCs w:val="0"/>
          <w:szCs w:val="21"/>
          <w:highlight w:val="none"/>
        </w:rPr>
      </w:pPr>
      <w:r>
        <w:rPr>
          <w:rFonts w:ascii="Times New Roman" w:cs="Times New Roman" w:hAnsi="Times New Roman"/>
          <w:b w:val="0"/>
          <w:bCs w:val="0"/>
          <w:szCs w:val="21"/>
          <w:highlight w:val="none"/>
        </w:rPr>
        <w:t>广东省建设工程质量安全检测总站有限公司</w:t>
      </w:r>
    </w:p>
    <w:p>
      <w:pPr>
        <w:ind w:leftChars="200" w:left="480" w:firstLineChars="600" w:firstLine="1440"/>
        <w:jc w:val="left"/>
        <w:rPr>
          <w:rFonts w:ascii="Times New Roman" w:cs="Times New Roman" w:hAnsi="Times New Roman"/>
          <w:b w:val="0"/>
          <w:bCs w:val="0"/>
          <w:szCs w:val="21"/>
          <w:highlight w:val="none"/>
        </w:rPr>
      </w:pPr>
      <w:r>
        <w:rPr>
          <w:rFonts w:ascii="Times New Roman" w:cs="Times New Roman" w:hAnsi="Times New Roman"/>
          <w:b w:val="0"/>
          <w:bCs w:val="0"/>
          <w:szCs w:val="21"/>
          <w:highlight w:val="none"/>
        </w:rPr>
        <w:t>广东省有色工业建筑质量检测站有限公司</w:t>
      </w:r>
    </w:p>
    <w:p>
      <w:pPr>
        <w:ind w:leftChars="200" w:left="480"/>
        <w:jc w:val="left"/>
        <w:rPr>
          <w:rFonts w:ascii="Times New Roman" w:eastAsia="宋体" w:cs="Times New Roman" w:hAnsi="Times New Roman"/>
          <w:b w:val="0"/>
          <w:bCs w:val="0"/>
          <w:szCs w:val="21"/>
          <w:highlight w:val="none"/>
        </w:rPr>
      </w:pPr>
      <w:r>
        <w:rPr>
          <w:rFonts w:ascii="Times New Roman" w:eastAsia="黑体" w:cs="Times New Roman" w:hAnsi="Times New Roman"/>
          <w:bCs/>
          <w:spacing w:val="40"/>
          <w:kern w:val="0"/>
          <w:szCs w:val="21"/>
          <w:fitText w:val="1200" w:id="1359829426"/>
          <w:highlight w:val="none"/>
        </w:rPr>
        <w:t>参编单</w:t>
      </w:r>
      <w:r>
        <w:rPr>
          <w:rFonts w:ascii="Times New Roman" w:eastAsia="黑体" w:cs="Times New Roman" w:hAnsi="Times New Roman"/>
          <w:bCs/>
          <w:spacing w:val="0"/>
          <w:kern w:val="0"/>
          <w:szCs w:val="21"/>
          <w:fitText w:val="1200" w:id="1359829426"/>
          <w:highlight w:val="none"/>
        </w:rPr>
        <w:t>位</w:t>
      </w:r>
      <w:r>
        <w:rPr>
          <w:rFonts w:ascii="Times New Roman" w:cs="Times New Roman" w:hAnsi="Times New Roman"/>
          <w:b/>
          <w:bCs/>
          <w:szCs w:val="21"/>
          <w:highlight w:val="none"/>
        </w:rPr>
        <w:t>：</w:t>
      </w:r>
      <w:r>
        <w:rPr>
          <w:rFonts w:ascii="Times New Roman" w:eastAsia="宋体" w:cs="Times New Roman" w:hAnsi="Times New Roman"/>
          <w:b w:val="0"/>
          <w:bCs w:val="0"/>
          <w:szCs w:val="21"/>
          <w:highlight w:val="none"/>
        </w:rPr>
        <w:t>广州市建设工程质量监督站</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广州市住房城乡建设行业监测与研究中心</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广州广检建设工程检测中心有限公司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苏交科集团广东检测认证有限公司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广州市建筑材料工业研究所有限公司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广州粤建三和软件股份有限公司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广东顺融检测科技股份有限公司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深圳市鈤励科技有限公司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广州交投工程检测有限公司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广东交科检测有限公司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太科技术有限公司</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广东禹通互联网科技有限公司</w:t>
      </w:r>
    </w:p>
    <w:p>
      <w:pPr>
        <w:ind w:leftChars="200" w:left="480" w:firstLineChars="600" w:firstLine="1440"/>
        <w:jc w:val="left"/>
        <w:rPr>
          <w:rFonts w:ascii="Times New Roman" w:eastAsia="宋体" w:cs="Times New Roman" w:hAnsi="Times New Roman"/>
          <w:b w:val="0"/>
          <w:bCs w:val="0"/>
          <w:szCs w:val="21"/>
          <w:highlight w:val="none"/>
        </w:rPr>
      </w:pPr>
    </w:p>
    <w:p>
      <w:pPr>
        <w:ind w:leftChars="200" w:left="480"/>
        <w:jc w:val="left"/>
        <w:rPr>
          <w:rFonts w:ascii="Times New Roman" w:eastAsia="宋体" w:cs="Times New Roman" w:hAnsi="Times New Roman"/>
          <w:b w:val="0"/>
          <w:bCs w:val="0"/>
          <w:szCs w:val="21"/>
          <w:highlight w:val="none"/>
        </w:rPr>
      </w:pPr>
      <w:r>
        <w:rPr>
          <w:rFonts w:ascii="Times New Roman" w:eastAsia="黑体" w:cs="Times New Roman" w:hAnsi="Times New Roman"/>
          <w:highlight w:val="none"/>
        </w:rPr>
        <w:t>主要起草人：</w:t>
      </w:r>
      <w:r>
        <w:rPr>
          <w:rFonts w:ascii="Times New Roman" w:eastAsia="宋体" w:cs="Times New Roman" w:hAnsi="Times New Roman"/>
          <w:b w:val="0"/>
          <w:bCs w:val="0"/>
          <w:szCs w:val="21"/>
          <w:highlight w:val="none"/>
        </w:rPr>
        <w:t>林兆雄</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袁振宇</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黄启云</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许燕禄</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焦  帅</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cs="Times New Roman" w:hAnsi="Times New Roman" w:hint="eastAsia"/>
          <w:b w:val="0"/>
          <w:bCs w:val="0"/>
          <w:szCs w:val="21"/>
          <w:lang w:val="en-US" w:eastAsia="zh-CN"/>
          <w:highlight w:val="none"/>
        </w:rPr>
        <w:t>卢  君</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杨  力</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何永彬</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章学军</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林玩君</w:t>
      </w:r>
    </w:p>
    <w:p>
      <w:pPr>
        <w:ind w:leftChars="200" w:left="480" w:firstLineChars="600" w:firstLine="1440"/>
        <w:jc w:val="left"/>
        <w:rPr>
          <w:rFonts w:ascii="Times New Roman" w:eastAsia="宋体" w:cs="Times New Roman" w:hAnsi="Times New Roman"/>
          <w:b w:val="0"/>
          <w:bCs w:val="0"/>
          <w:szCs w:val="21"/>
          <w:lang w:val="en-US" w:eastAsia="zh-CN"/>
          <w:highlight w:val="none"/>
        </w:rPr>
      </w:pPr>
      <w:r>
        <w:rPr>
          <w:rFonts w:ascii="Times New Roman" w:eastAsia="宋体" w:cs="Times New Roman" w:hAnsi="Times New Roman"/>
          <w:b w:val="0"/>
          <w:bCs w:val="0"/>
          <w:szCs w:val="21"/>
          <w:highlight w:val="none"/>
        </w:rPr>
        <w:t>陈  伟</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李  雅</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郑建民</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黄  俭</w:t>
      </w:r>
      <w:r>
        <w:rPr>
          <w:rFonts w:ascii="Times New Roman" w:eastAsia="宋体" w:cs="Times New Roman" w:hAnsi="Times New Roman" w:hint="eastAsia"/>
          <w:b w:val="0"/>
          <w:bCs w:val="0"/>
          <w:szCs w:val="21"/>
          <w:lang w:eastAsia="zh-CN"/>
          <w:highlight w:val="none"/>
        </w:rPr>
        <w:t xml:space="preserve">  </w:t>
      </w:r>
      <w:r>
        <w:rPr>
          <w:rFonts w:ascii="Times New Roman" w:eastAsia="宋体" w:cs="Times New Roman" w:hAnsi="Times New Roman"/>
          <w:b w:val="0"/>
          <w:bCs w:val="0"/>
          <w:szCs w:val="21"/>
          <w:highlight w:val="none"/>
        </w:rPr>
        <w:t>范兴臣</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林超群</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杨建中</w:t>
      </w:r>
      <w:r>
        <w:rPr>
          <w:rFonts w:ascii="Times New Roman" w:eastAsia="宋体" w:cs="Times New Roman" w:hAnsi="Times New Roman" w:hint="eastAsia"/>
          <w:b w:val="0"/>
          <w:bCs w:val="0"/>
          <w:szCs w:val="21"/>
          <w:lang w:eastAsia="zh-CN"/>
          <w:highlight w:val="none"/>
        </w:rPr>
        <w:t xml:space="preserve">  </w:t>
      </w:r>
      <w:r>
        <w:rPr>
          <w:rFonts w:ascii="Times New Roman" w:cs="Times New Roman" w:hAnsi="Times New Roman" w:hint="eastAsia"/>
          <w:b w:val="0"/>
          <w:bCs w:val="0"/>
          <w:szCs w:val="21"/>
          <w:lang w:val="en-US" w:eastAsia="zh-CN"/>
          <w:highlight w:val="none"/>
        </w:rPr>
        <w:t xml:space="preserve">龙  武  </w:t>
      </w:r>
      <w:r>
        <w:rPr>
          <w:rFonts w:ascii="Times New Roman" w:eastAsia="宋体" w:cs="Times New Roman" w:hAnsi="Times New Roman"/>
          <w:b w:val="0"/>
          <w:bCs w:val="0"/>
          <w:szCs w:val="21"/>
          <w:highlight w:val="none"/>
        </w:rPr>
        <w:t>张建生</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陈建祥</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熊  仁</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赖旭俊</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温伟标</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邹金平</w:t>
      </w:r>
      <w:r>
        <w:rPr>
          <w:rFonts w:ascii="Times New Roman" w:cs="Times New Roman" w:hAnsi="Times New Roman" w:hint="eastAsia"/>
          <w:b w:val="0"/>
          <w:bCs w:val="0"/>
          <w:szCs w:val="21"/>
          <w:lang w:val="en-US" w:eastAsia="zh-CN"/>
          <w:highlight w:val="none"/>
        </w:rPr>
        <w:t xml:space="preserve">  </w:t>
      </w:r>
      <w:r>
        <w:rPr>
          <w:rFonts w:ascii="Times New Roman" w:eastAsia="宋体" w:cs="Times New Roman" w:hAnsi="Times New Roman"/>
          <w:b w:val="0"/>
          <w:bCs w:val="0"/>
          <w:szCs w:val="21"/>
          <w:highlight w:val="none"/>
        </w:rPr>
        <w:t>曾康洋</w:t>
      </w:r>
    </w:p>
    <w:p>
      <w:pPr>
        <w:ind w:leftChars="200" w:left="480" w:firstLineChars="600" w:firstLine="1440"/>
        <w:jc w:val="left"/>
        <w:rPr>
          <w:rFonts w:ascii="Times New Roman" w:eastAsia="宋体" w:cs="Times New Roman" w:hAnsi="Times New Roman"/>
          <w:b w:val="0"/>
          <w:bCs w:val="0"/>
          <w:szCs w:val="21"/>
          <w:highlight w:val="none"/>
        </w:rPr>
      </w:pPr>
      <w:r>
        <w:rPr>
          <w:rFonts w:ascii="Times New Roman" w:eastAsia="宋体" w:cs="Times New Roman" w:hAnsi="Times New Roman"/>
          <w:b w:val="0"/>
          <w:bCs w:val="0"/>
          <w:szCs w:val="21"/>
          <w:highlight w:val="none"/>
        </w:rPr>
        <w:t>刘义敏</w:t>
      </w:r>
    </w:p>
    <w:p>
      <w:pPr>
        <w:ind w:leftChars="200" w:left="480" w:firstLineChars="600" w:firstLine="1440"/>
        <w:jc w:val="left"/>
        <w:rPr>
          <w:rFonts w:ascii="Times New Roman" w:eastAsia="宋体" w:cs="Times New Roman" w:hAnsi="Times New Roman"/>
          <w:b w:val="0"/>
          <w:bCs w:val="0"/>
          <w:szCs w:val="21"/>
          <w:lang w:val="en-US" w:eastAsia="zh-CN"/>
          <w:highlight w:val="none"/>
        </w:rPr>
      </w:pPr>
    </w:p>
    <w:p>
      <w:pPr>
        <w:spacing w:line="400" w:lineRule="exact"/>
        <w:ind w:leftChars="200" w:left="480"/>
        <w:jc w:val="left"/>
        <w:rPr>
          <w:rFonts w:ascii="Times New Roman" w:cs="Times New Roman" w:hAnsi="Times New Roman"/>
          <w:highlight w:val="none"/>
        </w:rPr>
      </w:pPr>
      <w:r>
        <w:rPr>
          <w:rFonts w:ascii="Times New Roman" w:eastAsia="黑体" w:cs="Times New Roman" w:hAnsi="Times New Roman"/>
          <w:highlight w:val="none"/>
        </w:rPr>
        <w:t>主要审查人：</w:t>
      </w:r>
    </w:p>
    <w:p>
      <w:pPr>
        <w:keepNext w:val="0"/>
        <w:keepLines w:val="0"/>
        <w:pageBreakBefore w:val="0"/>
        <w:widowControl w:val="0"/>
        <w:tabs>
          <w:tab w:val="left" w:pos="0"/>
        </w:tabs>
        <w:kinsoku/>
        <w:wordWrap/>
        <w:overflowPunct/>
        <w:topLinePunct w:val="0"/>
        <w:autoSpaceDE/>
        <w:autoSpaceDN/>
        <w:bidi w:val="0"/>
        <w:adjustRightInd/>
        <w:snapToGrid/>
        <w:spacing w:beforeLines="100" w:before="312" w:afterLines="100" w:after="312" w:line="360" w:lineRule="auto"/>
        <w:jc w:val="center"/>
        <w:textAlignment w:val="auto"/>
        <w:outlineLvl w:val="0"/>
        <w:rPr>
          <w:rFonts w:ascii="Times New Roman" w:eastAsia="仿宋" w:cs="Times New Roman" w:hAnsi="Times New Roman"/>
          <w:b/>
          <w:sz w:val="32"/>
          <w:szCs w:val="32"/>
          <w:shd w:val="clear" w:color="auto" w:fill="auto"/>
          <w:highlight w:val="none"/>
        </w:rPr>
        <w:sectPr>
          <w:footerReference w:type="default" r:id="rId4"/>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upperRoman" w:start="1"/>
          <w:cols w:num="1" w:space="720"/>
          <w:docGrid w:type="lines" w:linePitch="312" w:charSpace="0"/>
        </w:sectPr>
      </w:pPr>
    </w:p>
    <w:p>
      <w:pPr>
        <w:keepNext w:val="0"/>
        <w:keepLines w:val="0"/>
        <w:pageBreakBefore w:val="0"/>
        <w:widowControl w:val="0"/>
        <w:tabs>
          <w:tab w:val="left" w:pos="0"/>
        </w:tabs>
        <w:kinsoku/>
        <w:wordWrap/>
        <w:overflowPunct/>
        <w:topLinePunct w:val="0"/>
        <w:autoSpaceDE/>
        <w:autoSpaceDN/>
        <w:bidi w:val="0"/>
        <w:adjustRightInd/>
        <w:snapToGrid/>
        <w:spacing w:beforeLines="100" w:before="312" w:afterLines="100" w:after="312" w:line="360" w:lineRule="auto"/>
        <w:jc w:val="center"/>
        <w:textAlignment w:val="auto"/>
        <w:outlineLvl w:val="9"/>
        <w:rPr>
          <w:rFonts w:ascii="Times New Roman" w:eastAsia="宋体" w:cs="Times New Roman" w:hAnsi="Times New Roman"/>
          <w:b/>
          <w:kern w:val="2"/>
          <w:sz w:val="24"/>
          <w:szCs w:val="21"/>
          <w:lang w:val="en-US" w:eastAsia="zh-CN" w:bidi="ar-SA"/>
          <w:highlight w:val="none"/>
        </w:rPr>
      </w:pPr>
      <w:bookmarkStart w:id="6" w:name="_Toc31092"/>
      <w:bookmarkStart w:id="7" w:name="_Toc26931"/>
      <w:bookmarkStart w:id="8" w:name="_Toc20973"/>
      <w:bookmarkStart w:id="9" w:name="_Toc1084156868"/>
      <w:r>
        <w:rPr>
          <w:rFonts w:ascii="Times New Roman" w:eastAsia="仿宋" w:cs="Times New Roman" w:hAnsi="Times New Roman"/>
          <w:b/>
          <w:sz w:val="32"/>
          <w:szCs w:val="32"/>
          <w:shd w:val="clear" w:color="auto" w:fill="auto"/>
          <w:highlight w:val="none"/>
        </w:rPr>
        <w:t>目　　次</w:t>
      </w:r>
      <w:bookmarkEnd w:id="4"/>
      <w:bookmarkEnd w:id="5"/>
      <w:bookmarkEnd w:id="6"/>
      <w:bookmarkEnd w:id="7"/>
      <w:bookmarkEnd w:id="8"/>
      <w:bookmarkEnd w:id="9"/>
      <w:r>
        <w:rPr>
          <w:rFonts w:ascii="Times New Roman" w:cs="Times New Roman" w:hAnsi="Times New Roman"/>
          <w:sz w:val="21"/>
          <w:szCs w:val="21"/>
          <w:highlight w:val="none"/>
        </w:rPr>
        <w:fldChar w:fldCharType="begin"/>
      </w:r>
      <w:r>
        <w:rPr>
          <w:rFonts w:ascii="Times New Roman" w:cs="Times New Roman" w:hAnsi="Times New Roman"/>
          <w:sz w:val="21"/>
          <w:szCs w:val="21"/>
          <w:highlight w:val="none"/>
        </w:rPr>
        <w:instrText xml:space="preserve">TOC \o "1-2" \h \u </w:instrText>
      </w:r>
      <w:r>
        <w:rPr>
          <w:rFonts w:ascii="Times New Roman" w:cs="Times New Roman" w:hAnsi="Times New Roman"/>
          <w:sz w:val="21"/>
          <w:szCs w:val="21"/>
          <w:highlight w:val="none"/>
        </w:rPr>
        <w:fldChar w:fldCharType="separate"/>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_Toc30646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1 </w:t>
      </w:r>
      <w:r>
        <w:rPr>
          <w:rFonts w:ascii="Times New Roman" w:eastAsia="宋体" w:cs="Times New Roman" w:hAnsi="Times New Roman"/>
          <w:lang w:val="en-US" w:eastAsia="zh-CN"/>
          <w:highlight w:val="none"/>
        </w:rPr>
        <w:t>总    则</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_Toc30646 \h </w:instrText>
      </w:r>
      <w:r>
        <w:rPr>
          <w:rFonts w:ascii="Times New Roman" w:eastAsia="宋体" w:cs="Times New Roman" w:hAnsi="Times New Roman"/>
        </w:rPr>
        <w:fldChar w:fldCharType="separate"/>
      </w:r>
      <w:r>
        <w:rPr>
          <w:rFonts w:ascii="Times New Roman" w:eastAsia="宋体" w:cs="Times New Roman" w:hAnsi="Times New Roman"/>
        </w:rPr>
        <w:t>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_Toc2286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2 </w:t>
      </w:r>
      <w:r>
        <w:rPr>
          <w:rFonts w:ascii="Times New Roman" w:eastAsia="宋体" w:cs="Times New Roman" w:hAnsi="Times New Roman"/>
          <w:lang w:val="en-US" w:eastAsia="zh-CN"/>
          <w:highlight w:val="none"/>
        </w:rPr>
        <w:t>术    语</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_Toc2286 \h </w:instrText>
      </w:r>
      <w:r>
        <w:rPr>
          <w:rFonts w:ascii="Times New Roman" w:eastAsia="宋体" w:cs="Times New Roman" w:hAnsi="Times New Roman"/>
        </w:rPr>
        <w:fldChar w:fldCharType="separate"/>
      </w:r>
      <w:r>
        <w:rPr>
          <w:rFonts w:ascii="Times New Roman" w:eastAsia="宋体" w:cs="Times New Roman" w:hAnsi="Times New Roman"/>
        </w:rPr>
        <w:t>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_Toc3534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3 </w:t>
      </w:r>
      <w:r>
        <w:rPr>
          <w:rFonts w:ascii="Times New Roman" w:eastAsia="宋体" w:cs="Times New Roman" w:hAnsi="Times New Roman"/>
          <w:lang w:val="en-US" w:eastAsia="zh-CN"/>
          <w:highlight w:val="none"/>
        </w:rPr>
        <w:t>基本规定</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_Toc3534 \h </w:instrText>
      </w:r>
      <w:r>
        <w:rPr>
          <w:rFonts w:ascii="Times New Roman" w:eastAsia="宋体" w:cs="Times New Roman" w:hAnsi="Times New Roman"/>
        </w:rPr>
        <w:fldChar w:fldCharType="separate"/>
      </w:r>
      <w:r>
        <w:rPr>
          <w:rFonts w:ascii="Times New Roman" w:eastAsia="宋体" w:cs="Times New Roman" w:hAnsi="Times New Roman"/>
        </w:rPr>
        <w:t>4</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_Toc22727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zh-CN" w:eastAsia="zh-CN"/>
        </w:rPr>
        <w:t xml:space="preserve">4 </w:t>
      </w:r>
      <w:r>
        <w:rPr>
          <w:rFonts w:ascii="Times New Roman" w:eastAsia="宋体" w:cs="Times New Roman" w:hAnsi="Times New Roman"/>
          <w:lang w:val="en-US" w:eastAsia="zh-CN"/>
          <w:highlight w:val="none"/>
        </w:rPr>
        <w:t>资源数字化管理</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_Toc22727 \h </w:instrText>
      </w:r>
      <w:r>
        <w:rPr>
          <w:rFonts w:ascii="Times New Roman" w:eastAsia="宋体" w:cs="Times New Roman" w:hAnsi="Times New Roman"/>
        </w:rPr>
        <w:fldChar w:fldCharType="separate"/>
      </w:r>
      <w:r>
        <w:rPr>
          <w:rFonts w:ascii="Times New Roman" w:eastAsia="宋体" w:cs="Times New Roman" w:hAnsi="Times New Roman"/>
        </w:rPr>
        <w:t>8</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_Toc8571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4.1 </w:t>
      </w:r>
      <w:r>
        <w:rPr>
          <w:rFonts w:ascii="Times New Roman" w:eastAsia="宋体" w:cs="Times New Roman" w:hAnsi="Times New Roman"/>
          <w:bCs/>
          <w:szCs w:val="28"/>
          <w:lang w:val="en-US" w:eastAsia="zh-CN"/>
          <w:highlight w:val="none"/>
        </w:rPr>
        <w:t>一般规定</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_Toc8571 \h </w:instrText>
      </w:r>
      <w:r>
        <w:rPr>
          <w:rFonts w:ascii="Times New Roman" w:eastAsia="宋体" w:cs="Times New Roman" w:hAnsi="Times New Roman"/>
        </w:rPr>
        <w:fldChar w:fldCharType="separate"/>
      </w:r>
      <w:r>
        <w:rPr>
          <w:rFonts w:ascii="Times New Roman" w:eastAsia="宋体" w:cs="Times New Roman" w:hAnsi="Times New Roman"/>
        </w:rPr>
        <w:t>8</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_Toc26417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4.2 </w:t>
      </w:r>
      <w:r>
        <w:rPr>
          <w:rFonts w:ascii="Times New Roman" w:eastAsia="宋体" w:cs="Times New Roman" w:hAnsi="Times New Roman"/>
          <w:bCs/>
          <w:szCs w:val="28"/>
          <w:lang w:val="en-US" w:eastAsia="zh-CN"/>
          <w:highlight w:val="none"/>
        </w:rPr>
        <w:t>人员</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_Toc26417 \h </w:instrText>
      </w:r>
      <w:r>
        <w:rPr>
          <w:rFonts w:ascii="Times New Roman" w:eastAsia="宋体" w:cs="Times New Roman" w:hAnsi="Times New Roman"/>
        </w:rPr>
        <w:fldChar w:fldCharType="separate"/>
      </w:r>
      <w:r>
        <w:rPr>
          <w:rFonts w:ascii="Times New Roman" w:eastAsia="宋体" w:cs="Times New Roman" w:hAnsi="Times New Roman"/>
        </w:rPr>
        <w:t>8</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_Toc8330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4.3 </w:t>
      </w:r>
      <w:r>
        <w:rPr>
          <w:rFonts w:ascii="Times New Roman" w:eastAsia="宋体" w:cs="Times New Roman" w:hAnsi="Times New Roman"/>
          <w:bCs/>
          <w:szCs w:val="28"/>
          <w:lang w:val="en-US" w:eastAsia="zh-CN"/>
          <w:highlight w:val="none"/>
        </w:rPr>
        <w:t>设备</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_Toc8330 \h </w:instrText>
      </w:r>
      <w:r>
        <w:rPr>
          <w:rFonts w:ascii="Times New Roman" w:eastAsia="宋体" w:cs="Times New Roman" w:hAnsi="Times New Roman"/>
        </w:rPr>
        <w:fldChar w:fldCharType="separate"/>
      </w:r>
      <w:r>
        <w:rPr>
          <w:rFonts w:ascii="Times New Roman" w:eastAsia="宋体" w:cs="Times New Roman" w:hAnsi="Times New Roman"/>
        </w:rPr>
        <w:t>10</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_Toc22335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4.4 </w:t>
      </w:r>
      <w:r>
        <w:rPr>
          <w:rFonts w:ascii="Times New Roman" w:eastAsia="宋体" w:cs="Times New Roman" w:hAnsi="Times New Roman"/>
          <w:bCs/>
          <w:szCs w:val="28"/>
          <w:lang w:val="en-US" w:eastAsia="zh-CN"/>
          <w:highlight w:val="none"/>
        </w:rPr>
        <w:t>设施和环境</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_Toc22335 \h </w:instrText>
      </w:r>
      <w:r>
        <w:rPr>
          <w:rFonts w:ascii="Times New Roman" w:eastAsia="宋体" w:cs="Times New Roman" w:hAnsi="Times New Roman"/>
        </w:rPr>
        <w:fldChar w:fldCharType="separate"/>
      </w:r>
      <w:r>
        <w:rPr>
          <w:rFonts w:ascii="Times New Roman" w:eastAsia="宋体" w:cs="Times New Roman" w:hAnsi="Times New Roman"/>
        </w:rPr>
        <w:t>12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_Toc17491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4.5 </w:t>
      </w:r>
      <w:r>
        <w:rPr>
          <w:rFonts w:ascii="Times New Roman" w:eastAsia="宋体" w:cs="Times New Roman" w:hAnsi="Times New Roman"/>
          <w:bCs/>
          <w:szCs w:val="28"/>
          <w:lang w:val="en-US" w:eastAsia="zh-CN"/>
          <w:highlight w:val="none"/>
        </w:rPr>
        <w:t>外部服务</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_Toc17491 \h </w:instrText>
      </w:r>
      <w:r>
        <w:rPr>
          <w:rFonts w:ascii="Times New Roman" w:eastAsia="宋体" w:cs="Times New Roman" w:hAnsi="Times New Roman"/>
        </w:rPr>
        <w:fldChar w:fldCharType="separate"/>
      </w:r>
      <w:r>
        <w:rPr>
          <w:rFonts w:ascii="Times New Roman" w:eastAsia="宋体" w:cs="Times New Roman" w:hAnsi="Times New Roman"/>
        </w:rPr>
        <w:t>12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_Toc23859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rPr>
        <w:t xml:space="preserve">5 </w:t>
      </w:r>
      <w:r>
        <w:rPr>
          <w:rFonts w:ascii="Times New Roman" w:eastAsia="宋体" w:cs="Times New Roman" w:hAnsi="Times New Roman"/>
          <w:lang w:val="en-US" w:eastAsia="zh-CN"/>
          <w:highlight w:val="none"/>
        </w:rPr>
        <w:t>过程数字化管理</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_Toc23859 \h </w:instrText>
      </w:r>
      <w:r>
        <w:rPr>
          <w:rFonts w:ascii="Times New Roman" w:eastAsia="宋体" w:cs="Times New Roman" w:hAnsi="Times New Roman"/>
        </w:rPr>
        <w:fldChar w:fldCharType="separate"/>
      </w:r>
      <w:r>
        <w:rPr>
          <w:rFonts w:ascii="Times New Roman" w:eastAsia="宋体" w:cs="Times New Roman" w:hAnsi="Times New Roman"/>
        </w:rPr>
        <w:t>13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_Toc30508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rPr>
        <w:t xml:space="preserve">5.1 </w:t>
      </w:r>
      <w:r>
        <w:rPr>
          <w:rFonts w:ascii="Times New Roman" w:eastAsia="宋体" w:cs="Times New Roman" w:hAnsi="Times New Roman"/>
          <w:bCs/>
          <w:szCs w:val="28"/>
          <w:highlight w:val="none"/>
        </w:rPr>
        <w:t>一般规定</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_Toc30508 \h </w:instrText>
      </w:r>
      <w:r>
        <w:rPr>
          <w:rFonts w:ascii="Times New Roman" w:eastAsia="宋体" w:cs="Times New Roman" w:hAnsi="Times New Roman"/>
        </w:rPr>
        <w:fldChar w:fldCharType="separate"/>
      </w:r>
      <w:r>
        <w:rPr>
          <w:rFonts w:ascii="Times New Roman" w:eastAsia="宋体" w:cs="Times New Roman" w:hAnsi="Times New Roman"/>
        </w:rPr>
        <w:t>13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_Toc11425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rPr>
        <w:t xml:space="preserve">5.2 </w:t>
      </w:r>
      <w:r>
        <w:rPr>
          <w:rFonts w:ascii="Times New Roman" w:eastAsia="宋体" w:cs="Times New Roman" w:hAnsi="Times New Roman"/>
          <w:bCs/>
          <w:szCs w:val="28"/>
          <w:highlight w:val="none"/>
        </w:rPr>
        <w:t>要求、标书和合同评审</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_Toc11425 \h </w:instrText>
      </w:r>
      <w:r>
        <w:rPr>
          <w:rFonts w:ascii="Times New Roman" w:eastAsia="宋体" w:cs="Times New Roman" w:hAnsi="Times New Roman"/>
        </w:rPr>
        <w:fldChar w:fldCharType="separate"/>
      </w:r>
      <w:r>
        <w:rPr>
          <w:rFonts w:ascii="Times New Roman" w:eastAsia="宋体" w:cs="Times New Roman" w:hAnsi="Times New Roman"/>
        </w:rPr>
        <w:t>13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_Toc11922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rPr>
        <w:t xml:space="preserve">5.3 </w:t>
      </w:r>
      <w:r>
        <w:rPr>
          <w:rFonts w:ascii="Times New Roman" w:eastAsia="宋体" w:cs="Times New Roman" w:hAnsi="Times New Roman"/>
          <w:bCs/>
          <w:szCs w:val="28"/>
          <w:highlight w:val="none"/>
        </w:rPr>
        <w:t>方法选择、验证和确认</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_Toc11922 \h </w:instrText>
      </w:r>
      <w:r>
        <w:rPr>
          <w:rFonts w:ascii="Times New Roman" w:eastAsia="宋体" w:cs="Times New Roman" w:hAnsi="Times New Roman"/>
        </w:rPr>
        <w:fldChar w:fldCharType="separate"/>
      </w:r>
      <w:r>
        <w:rPr>
          <w:rFonts w:ascii="Times New Roman" w:eastAsia="宋体" w:cs="Times New Roman" w:hAnsi="Times New Roman"/>
        </w:rPr>
        <w:t>13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_Toc31874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rPr>
        <w:t xml:space="preserve">5.4 </w:t>
      </w:r>
      <w:r>
        <w:rPr>
          <w:rFonts w:ascii="Times New Roman" w:eastAsia="宋体" w:cs="Times New Roman" w:hAnsi="Times New Roman"/>
          <w:bCs/>
          <w:szCs w:val="28"/>
          <w:lang w:val="en-US" w:eastAsia="zh-CN"/>
          <w:highlight w:val="none"/>
        </w:rPr>
        <w:t>抽样</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_Toc31874 \h </w:instrText>
      </w:r>
      <w:r>
        <w:rPr>
          <w:rFonts w:ascii="Times New Roman" w:eastAsia="宋体" w:cs="Times New Roman" w:hAnsi="Times New Roman"/>
        </w:rPr>
        <w:fldChar w:fldCharType="separate"/>
      </w:r>
      <w:r>
        <w:rPr>
          <w:rFonts w:ascii="Times New Roman" w:eastAsia="宋体" w:cs="Times New Roman" w:hAnsi="Times New Roman"/>
        </w:rPr>
        <w:t>14</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_Toc10074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rPr>
        <w:t xml:space="preserve">5.5 </w:t>
      </w:r>
      <w:r>
        <w:rPr>
          <w:rFonts w:ascii="Times New Roman" w:eastAsia="宋体" w:cs="Times New Roman" w:hAnsi="Times New Roman"/>
          <w:bCs/>
          <w:szCs w:val="28"/>
          <w:lang w:val="en-US" w:eastAsia="zh-CN"/>
          <w:highlight w:val="none"/>
        </w:rPr>
        <w:t>检测物品处置</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_Toc10074 \h </w:instrText>
      </w:r>
      <w:r>
        <w:rPr>
          <w:rFonts w:ascii="Times New Roman" w:eastAsia="宋体" w:cs="Times New Roman" w:hAnsi="Times New Roman"/>
        </w:rPr>
        <w:fldChar w:fldCharType="separate"/>
      </w:r>
      <w:r>
        <w:rPr>
          <w:rFonts w:ascii="Times New Roman" w:eastAsia="宋体" w:cs="Times New Roman" w:hAnsi="Times New Roman"/>
        </w:rPr>
        <w:t>14</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_Toc30991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5.6 </w:t>
      </w:r>
      <w:r>
        <w:rPr>
          <w:rFonts w:ascii="Times New Roman" w:eastAsia="宋体" w:cs="Times New Roman" w:hAnsi="Times New Roman"/>
          <w:bCs/>
          <w:szCs w:val="28"/>
          <w:lang w:val="en-US" w:eastAsia="zh-CN"/>
          <w:highlight w:val="none"/>
        </w:rPr>
        <w:t>技术记录</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_Toc30991 \h </w:instrText>
      </w:r>
      <w:r>
        <w:rPr>
          <w:rFonts w:ascii="Times New Roman" w:eastAsia="宋体" w:cs="Times New Roman" w:hAnsi="Times New Roman"/>
        </w:rPr>
        <w:fldChar w:fldCharType="separate"/>
      </w:r>
      <w:r>
        <w:rPr>
          <w:rFonts w:ascii="Times New Roman" w:eastAsia="宋体" w:cs="Times New Roman" w:hAnsi="Times New Roman"/>
        </w:rPr>
        <w:t>15</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_Toc7335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5.7 </w:t>
      </w:r>
      <w:r>
        <w:rPr>
          <w:rFonts w:ascii="Times New Roman" w:eastAsia="宋体" w:cs="Times New Roman" w:hAnsi="Times New Roman"/>
          <w:bCs/>
          <w:szCs w:val="28"/>
          <w:lang w:val="en-US" w:eastAsia="zh-CN"/>
          <w:highlight w:val="none"/>
        </w:rPr>
        <w:t>测量不确定度的评定</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_Toc7335 \h </w:instrText>
      </w:r>
      <w:r>
        <w:rPr>
          <w:rFonts w:ascii="Times New Roman" w:eastAsia="宋体" w:cs="Times New Roman" w:hAnsi="Times New Roman"/>
        </w:rPr>
        <w:fldChar w:fldCharType="separate"/>
      </w:r>
      <w:r>
        <w:rPr>
          <w:rFonts w:ascii="Times New Roman" w:eastAsia="宋体" w:cs="Times New Roman" w:hAnsi="Times New Roman"/>
        </w:rPr>
        <w:t>16</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_Toc31077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lang w:val="en-US" w:eastAsia="zh-CN"/>
        </w:rPr>
        <w:t xml:space="preserve">5.8 </w:t>
      </w:r>
      <w:r>
        <w:rPr>
          <w:rFonts w:ascii="Times New Roman" w:eastAsia="宋体" w:cs="Times New Roman" w:hAnsi="Times New Roman"/>
          <w:bCs/>
          <w:szCs w:val="28"/>
          <w:lang w:val="en-US" w:eastAsia="zh-CN"/>
          <w:highlight w:val="none"/>
        </w:rPr>
        <w:t>确保结果有效性</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_Toc31077 \h </w:instrText>
      </w:r>
      <w:r>
        <w:rPr>
          <w:rFonts w:ascii="Times New Roman" w:eastAsia="宋体" w:cs="Times New Roman" w:hAnsi="Times New Roman"/>
        </w:rPr>
        <w:fldChar w:fldCharType="separate"/>
      </w:r>
      <w:r>
        <w:rPr>
          <w:rFonts w:ascii="Times New Roman" w:eastAsia="宋体" w:cs="Times New Roman" w:hAnsi="Times New Roman"/>
        </w:rPr>
        <w:t>16</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_Toc6024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5.9 </w:t>
      </w:r>
      <w:r>
        <w:rPr>
          <w:rFonts w:ascii="Times New Roman" w:eastAsia="宋体" w:cs="Times New Roman" w:hAnsi="Times New Roman"/>
          <w:bCs/>
          <w:szCs w:val="28"/>
          <w:lang w:val="en-US" w:eastAsia="zh-CN"/>
          <w:highlight w:val="none"/>
        </w:rPr>
        <w:t>报告结果</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_Toc6024 \h </w:instrText>
      </w:r>
      <w:r>
        <w:rPr>
          <w:rFonts w:ascii="Times New Roman" w:eastAsia="宋体" w:cs="Times New Roman" w:hAnsi="Times New Roman"/>
        </w:rPr>
        <w:fldChar w:fldCharType="separate"/>
      </w:r>
      <w:r>
        <w:rPr>
          <w:rFonts w:ascii="Times New Roman" w:eastAsia="宋体" w:cs="Times New Roman" w:hAnsi="Times New Roman"/>
        </w:rPr>
        <w:t>17</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_Toc16182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5.10 </w:t>
      </w:r>
      <w:r>
        <w:rPr>
          <w:rFonts w:ascii="Times New Roman" w:eastAsia="宋体" w:cs="Times New Roman" w:hAnsi="Times New Roman"/>
          <w:bCs/>
          <w:szCs w:val="28"/>
          <w:lang w:val="en-US" w:eastAsia="zh-CN"/>
          <w:highlight w:val="none"/>
        </w:rPr>
        <w:t>投诉</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_Toc16182 \h </w:instrText>
      </w:r>
      <w:r>
        <w:rPr>
          <w:rFonts w:ascii="Times New Roman" w:eastAsia="宋体" w:cs="Times New Roman" w:hAnsi="Times New Roman"/>
        </w:rPr>
        <w:fldChar w:fldCharType="separate"/>
      </w:r>
      <w:r>
        <w:rPr>
          <w:rFonts w:ascii="Times New Roman" w:eastAsia="宋体" w:cs="Times New Roman" w:hAnsi="Times New Roman"/>
        </w:rPr>
        <w:t>17</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_Toc9305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5.11 </w:t>
      </w:r>
      <w:r>
        <w:rPr>
          <w:rFonts w:ascii="Times New Roman" w:eastAsia="宋体" w:cs="Times New Roman" w:hAnsi="Times New Roman"/>
          <w:bCs/>
          <w:szCs w:val="28"/>
          <w:lang w:val="en-US" w:eastAsia="zh-CN"/>
          <w:highlight w:val="none"/>
        </w:rPr>
        <w:t>不符合工作</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_Toc9305 \h </w:instrText>
      </w:r>
      <w:r>
        <w:rPr>
          <w:rFonts w:ascii="Times New Roman" w:eastAsia="宋体" w:cs="Times New Roman" w:hAnsi="Times New Roman"/>
        </w:rPr>
        <w:fldChar w:fldCharType="separate"/>
      </w:r>
      <w:r>
        <w:rPr>
          <w:rFonts w:ascii="Times New Roman" w:eastAsia="宋体" w:cs="Times New Roman" w:hAnsi="Times New Roman"/>
        </w:rPr>
        <w:t>18</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_Toc30997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5.12 </w:t>
      </w:r>
      <w:r>
        <w:rPr>
          <w:rFonts w:ascii="Times New Roman" w:eastAsia="宋体" w:cs="Times New Roman" w:hAnsi="Times New Roman"/>
          <w:bCs/>
          <w:szCs w:val="28"/>
          <w:lang w:val="en-US" w:eastAsia="zh-CN"/>
          <w:highlight w:val="none"/>
        </w:rPr>
        <w:t>数据控制和信息管理</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_Toc30997 \h </w:instrText>
      </w:r>
      <w:r>
        <w:rPr>
          <w:rFonts w:ascii="Times New Roman" w:eastAsia="宋体" w:cs="Times New Roman" w:hAnsi="Times New Roman"/>
        </w:rPr>
        <w:fldChar w:fldCharType="separate"/>
      </w:r>
      <w:r>
        <w:rPr>
          <w:rFonts w:ascii="Times New Roman" w:eastAsia="宋体" w:cs="Times New Roman" w:hAnsi="Times New Roman"/>
        </w:rPr>
        <w:t>18</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_Toc25699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6 </w:t>
      </w:r>
      <w:r>
        <w:rPr>
          <w:rFonts w:ascii="Times New Roman" w:eastAsia="宋体" w:cs="Times New Roman" w:hAnsi="Times New Roman"/>
          <w:lang w:val="en-US" w:eastAsia="zh-CN"/>
          <w:highlight w:val="none"/>
        </w:rPr>
        <w:t>体系数字化管理</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_Toc25699 \h </w:instrText>
      </w:r>
      <w:r>
        <w:rPr>
          <w:rFonts w:ascii="Times New Roman" w:eastAsia="宋体" w:cs="Times New Roman" w:hAnsi="Times New Roman"/>
        </w:rPr>
        <w:fldChar w:fldCharType="separate"/>
      </w:r>
      <w:r>
        <w:rPr>
          <w:rFonts w:ascii="Times New Roman" w:eastAsia="宋体" w:cs="Times New Roman" w:hAnsi="Times New Roman"/>
        </w:rPr>
        <w:t>21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_Toc17444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6.1 </w:t>
      </w:r>
      <w:r>
        <w:rPr>
          <w:rFonts w:ascii="Times New Roman" w:eastAsia="宋体" w:cs="Times New Roman" w:hAnsi="Times New Roman"/>
          <w:bCs/>
          <w:szCs w:val="28"/>
          <w:lang w:val="en-US" w:eastAsia="zh-CN"/>
          <w:highlight w:val="none"/>
        </w:rPr>
        <w:t>一般规定</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_Toc17444 \h </w:instrText>
      </w:r>
      <w:r>
        <w:rPr>
          <w:rFonts w:ascii="Times New Roman" w:eastAsia="宋体" w:cs="Times New Roman" w:hAnsi="Times New Roman"/>
        </w:rPr>
        <w:fldChar w:fldCharType="separate"/>
      </w:r>
      <w:r>
        <w:rPr>
          <w:rFonts w:ascii="Times New Roman" w:eastAsia="宋体" w:cs="Times New Roman" w:hAnsi="Times New Roman"/>
        </w:rPr>
        <w:t>21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_Toc25937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6.2 </w:t>
      </w:r>
      <w:r>
        <w:rPr>
          <w:rFonts w:ascii="Times New Roman" w:eastAsia="宋体" w:cs="Times New Roman" w:hAnsi="Times New Roman"/>
          <w:bCs/>
          <w:szCs w:val="28"/>
          <w:lang w:val="en-US" w:eastAsia="zh-CN"/>
          <w:highlight w:val="none"/>
        </w:rPr>
        <w:t>文件控制</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_Toc25937 \h </w:instrText>
      </w:r>
      <w:r>
        <w:rPr>
          <w:rFonts w:ascii="Times New Roman" w:eastAsia="宋体" w:cs="Times New Roman" w:hAnsi="Times New Roman"/>
        </w:rPr>
        <w:fldChar w:fldCharType="separate"/>
      </w:r>
      <w:r>
        <w:rPr>
          <w:rFonts w:ascii="Times New Roman" w:eastAsia="宋体" w:cs="Times New Roman" w:hAnsi="Times New Roman"/>
        </w:rPr>
        <w:t>21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_Toc4138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6.3 </w:t>
      </w:r>
      <w:r>
        <w:rPr>
          <w:rFonts w:ascii="Times New Roman" w:eastAsia="宋体" w:cs="Times New Roman" w:hAnsi="Times New Roman"/>
          <w:bCs/>
          <w:szCs w:val="28"/>
          <w:lang w:val="en-US" w:eastAsia="zh-CN"/>
          <w:highlight w:val="none"/>
        </w:rPr>
        <w:t>记录</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_Toc4138 \h </w:instrText>
      </w:r>
      <w:r>
        <w:rPr>
          <w:rFonts w:ascii="Times New Roman" w:eastAsia="宋体" w:cs="Times New Roman" w:hAnsi="Times New Roman"/>
        </w:rPr>
        <w:fldChar w:fldCharType="separate"/>
      </w:r>
      <w:r>
        <w:rPr>
          <w:rFonts w:ascii="Times New Roman" w:eastAsia="宋体" w:cs="Times New Roman" w:hAnsi="Times New Roman"/>
        </w:rPr>
        <w:t>21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_Toc13680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6.4 </w:t>
      </w:r>
      <w:r>
        <w:rPr>
          <w:rFonts w:ascii="Times New Roman" w:eastAsia="宋体" w:cs="Times New Roman" w:hAnsi="Times New Roman"/>
          <w:bCs/>
          <w:szCs w:val="28"/>
          <w:lang w:val="en-US" w:eastAsia="zh-CN"/>
          <w:highlight w:val="none"/>
        </w:rPr>
        <w:t>应对风险和机遇的措施</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_Toc13680 \h </w:instrText>
      </w:r>
      <w:r>
        <w:rPr>
          <w:rFonts w:ascii="Times New Roman" w:eastAsia="宋体" w:cs="Times New Roman" w:hAnsi="Times New Roman"/>
        </w:rPr>
        <w:fldChar w:fldCharType="separate"/>
      </w:r>
      <w:r>
        <w:rPr>
          <w:rFonts w:ascii="Times New Roman" w:eastAsia="宋体" w:cs="Times New Roman" w:hAnsi="Times New Roman"/>
        </w:rPr>
        <w:t>22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_Toc8538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6.5 </w:t>
      </w:r>
      <w:r>
        <w:rPr>
          <w:rFonts w:ascii="Times New Roman" w:eastAsia="宋体" w:cs="Times New Roman" w:hAnsi="Times New Roman"/>
          <w:bCs/>
          <w:szCs w:val="28"/>
          <w:lang w:val="en-US" w:eastAsia="zh-CN"/>
          <w:highlight w:val="none"/>
        </w:rPr>
        <w:t>改进</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_Toc8538 \h </w:instrText>
      </w:r>
      <w:r>
        <w:rPr>
          <w:rFonts w:ascii="Times New Roman" w:eastAsia="宋体" w:cs="Times New Roman" w:hAnsi="Times New Roman"/>
        </w:rPr>
        <w:fldChar w:fldCharType="separate"/>
      </w:r>
      <w:r>
        <w:rPr>
          <w:rFonts w:ascii="Times New Roman" w:eastAsia="宋体" w:cs="Times New Roman" w:hAnsi="Times New Roman"/>
        </w:rPr>
        <w:t>22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_Toc8921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6.6 </w:t>
      </w:r>
      <w:r>
        <w:rPr>
          <w:rFonts w:ascii="Times New Roman" w:eastAsia="宋体" w:cs="Times New Roman" w:hAnsi="Times New Roman"/>
          <w:bCs/>
          <w:szCs w:val="28"/>
          <w:lang w:val="en-US" w:eastAsia="zh-CN"/>
          <w:highlight w:val="none"/>
        </w:rPr>
        <w:t>纠正措施</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_Toc8921 \h </w:instrText>
      </w:r>
      <w:r>
        <w:rPr>
          <w:rFonts w:ascii="Times New Roman" w:eastAsia="宋体" w:cs="Times New Roman" w:hAnsi="Times New Roman"/>
        </w:rPr>
        <w:fldChar w:fldCharType="separate"/>
      </w:r>
      <w:r>
        <w:rPr>
          <w:rFonts w:ascii="Times New Roman" w:eastAsia="宋体" w:cs="Times New Roman" w:hAnsi="Times New Roman"/>
        </w:rPr>
        <w:t>22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_Toc1364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6.7 </w:t>
      </w:r>
      <w:r>
        <w:rPr>
          <w:rFonts w:ascii="Times New Roman" w:eastAsia="宋体" w:cs="Times New Roman" w:hAnsi="Times New Roman"/>
          <w:bCs/>
          <w:szCs w:val="28"/>
          <w:lang w:val="en-US" w:eastAsia="zh-CN"/>
          <w:highlight w:val="none"/>
        </w:rPr>
        <w:t>内部审核</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_Toc1364 \h </w:instrText>
      </w:r>
      <w:r>
        <w:rPr>
          <w:rFonts w:ascii="Times New Roman" w:eastAsia="宋体" w:cs="Times New Roman" w:hAnsi="Times New Roman"/>
        </w:rPr>
        <w:fldChar w:fldCharType="separate"/>
      </w:r>
      <w:r>
        <w:rPr>
          <w:rFonts w:ascii="Times New Roman" w:eastAsia="宋体" w:cs="Times New Roman" w:hAnsi="Times New Roman"/>
        </w:rPr>
        <w:t>23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20"/>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_Toc17648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28"/>
          <w:lang w:val="en-US" w:eastAsia="zh-CN"/>
        </w:rPr>
        <w:t xml:space="preserve">6.8 </w:t>
      </w:r>
      <w:r>
        <w:rPr>
          <w:rFonts w:ascii="Times New Roman" w:eastAsia="宋体" w:cs="Times New Roman" w:hAnsi="Times New Roman"/>
          <w:bCs/>
          <w:szCs w:val="28"/>
          <w:lang w:val="en-US" w:eastAsia="zh-CN"/>
          <w:highlight w:val="none"/>
        </w:rPr>
        <w:t>管理评审</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_Toc17648 \h </w:instrText>
      </w:r>
      <w:r>
        <w:rPr>
          <w:rFonts w:ascii="Times New Roman" w:eastAsia="宋体" w:cs="Times New Roman" w:hAnsi="Times New Roman"/>
        </w:rPr>
        <w:fldChar w:fldCharType="separate"/>
      </w:r>
      <w:r>
        <w:rPr>
          <w:rFonts w:ascii="Times New Roman" w:eastAsia="宋体" w:cs="Times New Roman" w:hAnsi="Times New Roman"/>
        </w:rPr>
        <w:t>23</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_Toc15651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7 </w:t>
      </w:r>
      <w:r>
        <w:rPr>
          <w:rFonts w:ascii="Times New Roman" w:eastAsia="宋体" w:cs="Times New Roman" w:hAnsi="Times New Roman"/>
          <w:bCs/>
          <w:szCs w:val="28"/>
          <w:highlight w:val="none"/>
        </w:rPr>
        <w:t>项目</w:t>
      </w:r>
      <w:r>
        <w:rPr>
          <w:rFonts w:ascii="Times New Roman" w:eastAsia="宋体" w:cs="Times New Roman" w:hAnsi="Times New Roman"/>
          <w:bCs/>
          <w:szCs w:val="28"/>
          <w:lang w:val="en-US" w:eastAsia="zh-CN"/>
          <w:highlight w:val="none"/>
        </w:rPr>
        <w:t>数字化</w:t>
      </w:r>
      <w:r>
        <w:rPr>
          <w:rFonts w:ascii="Times New Roman" w:eastAsia="宋体" w:cs="Times New Roman" w:hAnsi="Times New Roman"/>
          <w:bCs/>
          <w:szCs w:val="28"/>
          <w:highlight w:val="none"/>
        </w:rPr>
        <w:t>管理</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_Toc15651 \h </w:instrText>
      </w:r>
      <w:r>
        <w:rPr>
          <w:rFonts w:ascii="Times New Roman" w:eastAsia="宋体" w:cs="Times New Roman" w:hAnsi="Times New Roman"/>
        </w:rPr>
        <w:fldChar w:fldCharType="separate"/>
      </w:r>
      <w:r>
        <w:rPr>
          <w:rFonts w:ascii="Times New Roman" w:eastAsia="宋体" w:cs="Times New Roman" w:hAnsi="Times New Roman"/>
        </w:rPr>
        <w:t>24</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_Toc10979 </w:instrText>
      </w:r>
      <w:r>
        <w:rPr>
          <w:rFonts w:ascii="Times New Roman" w:eastAsia="宋体" w:cs="Times New Roman" w:hAnsi="Times New Roman"/>
          <w:szCs w:val="21"/>
          <w:highlight w:val="none"/>
        </w:rPr>
        <w:fldChar w:fldCharType="separate"/>
      </w:r>
      <w:r>
        <w:rPr>
          <w:rFonts w:ascii="Times New Roman" w:eastAsia="宋体" w:cs="Times New Roman" w:hAnsi="Times New Roman"/>
          <w:bCs/>
          <w:szCs w:val="30"/>
          <w:lang w:val="en-US" w:eastAsia="zh-CN"/>
        </w:rPr>
        <w:t xml:space="preserve">8 </w:t>
      </w:r>
      <w:r>
        <w:rPr>
          <w:rFonts w:ascii="Times New Roman" w:eastAsia="宋体" w:cs="Times New Roman" w:hAnsi="Times New Roman"/>
          <w:bCs/>
          <w:szCs w:val="28"/>
          <w:lang w:val="en-US" w:eastAsia="zh-CN"/>
          <w:highlight w:val="none"/>
        </w:rPr>
        <w:t>数字化</w:t>
      </w:r>
      <w:r>
        <w:rPr>
          <w:rFonts w:ascii="Times New Roman" w:eastAsia="宋体" w:cs="Times New Roman" w:hAnsi="Times New Roman"/>
          <w:bCs/>
          <w:szCs w:val="28"/>
          <w:highlight w:val="none"/>
        </w:rPr>
        <w:t>管理</w:t>
      </w:r>
      <w:r>
        <w:rPr>
          <w:rFonts w:ascii="Times New Roman" w:eastAsia="宋体" w:cs="Times New Roman" w:hAnsi="Times New Roman"/>
          <w:bCs/>
          <w:szCs w:val="28"/>
          <w:lang w:val="en-US" w:eastAsia="zh-CN"/>
          <w:highlight w:val="none"/>
        </w:rPr>
        <w:t>评估</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_Toc10979 \h </w:instrText>
      </w:r>
      <w:r>
        <w:rPr>
          <w:rFonts w:ascii="Times New Roman" w:eastAsia="宋体" w:cs="Times New Roman" w:hAnsi="Times New Roman"/>
        </w:rPr>
        <w:fldChar w:fldCharType="separate"/>
      </w:r>
      <w:r>
        <w:rPr>
          <w:rFonts w:ascii="Times New Roman" w:eastAsia="宋体" w:cs="Times New Roman" w:hAnsi="Times New Roman"/>
        </w:rPr>
        <w:t>26</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cs="Times New Roman" w:hAnsi="Times New Roman" w:hint="eastAsia"/>
          <w:szCs w:val="21"/>
          <w:lang w:val="en-US" w:eastAsia="zh-CN"/>
          <w:highlight w:val="none"/>
        </w:rPr>
        <w:t>本标准</w:t>
      </w: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_Toc11339 </w:instrText>
      </w:r>
      <w:r>
        <w:rPr>
          <w:rFonts w:ascii="Times New Roman" w:eastAsia="宋体" w:cs="Times New Roman" w:hAnsi="Times New Roman"/>
          <w:szCs w:val="21"/>
          <w:highlight w:val="none"/>
        </w:rPr>
        <w:fldChar w:fldCharType="separate"/>
      </w:r>
      <w:r>
        <w:rPr>
          <w:rFonts w:ascii="Times New Roman" w:eastAsia="宋体" w:cs="Times New Roman" w:hAnsi="Times New Roman"/>
          <w:lang w:val="zh-CN"/>
          <w:highlight w:val="none"/>
        </w:rPr>
        <w:t>用词说明</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_Toc11339 \h </w:instrText>
      </w:r>
      <w:r>
        <w:rPr>
          <w:rFonts w:ascii="Times New Roman" w:eastAsia="宋体" w:cs="Times New Roman" w:hAnsi="Times New Roman"/>
        </w:rPr>
        <w:fldChar w:fldCharType="separate"/>
      </w:r>
      <w:r>
        <w:rPr>
          <w:rFonts w:ascii="Times New Roman" w:eastAsia="宋体" w:cs="Times New Roman" w:hAnsi="Times New Roman"/>
        </w:rPr>
        <w:t>31</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pStyle w:val="19"/>
        <w:tabs>
          <w:tab w:val="right" w:leader="dot" w:pos="8306"/>
        </w:tabs>
        <w:rPr>
          <w:rFonts w:ascii="Times New Roman" w:eastAsia="宋体" w:cs="Times New Roman" w:hAnsi="Times New Roman"/>
        </w:rPr>
      </w:pPr>
      <w:r>
        <w:rPr>
          <w:rFonts w:ascii="Times New Roman" w:eastAsia="宋体" w:cs="Times New Roman" w:hAnsi="Times New Roman"/>
          <w:szCs w:val="21"/>
          <w:highlight w:val="none"/>
        </w:rPr>
        <w:fldChar w:fldCharType="begin"/>
      </w:r>
      <w:r>
        <w:rPr>
          <w:rFonts w:ascii="Times New Roman" w:eastAsia="宋体" w:cs="Times New Roman" w:hAnsi="Times New Roman"/>
          <w:szCs w:val="21"/>
          <w:highlight w:val="none"/>
        </w:rPr>
        <w:instrText xml:space="preserve"> HYPERLINK \l _Toc7944 </w:instrText>
      </w:r>
      <w:r>
        <w:rPr>
          <w:rFonts w:ascii="Times New Roman" w:eastAsia="宋体" w:cs="Times New Roman" w:hAnsi="Times New Roman"/>
          <w:szCs w:val="21"/>
          <w:highlight w:val="none"/>
        </w:rPr>
        <w:fldChar w:fldCharType="separate"/>
      </w:r>
      <w:r>
        <w:rPr>
          <w:rFonts w:ascii="Times New Roman" w:eastAsia="宋体" w:cs="Times New Roman" w:hAnsi="Times New Roman"/>
          <w:lang w:val="zh-CN"/>
          <w:highlight w:val="none"/>
        </w:rPr>
        <w:t>引用标准名录</w:t>
      </w:r>
      <w:r>
        <w:rPr>
          <w:rFonts w:ascii="Times New Roman" w:eastAsia="宋体" w:cs="Times New Roman" w:hAnsi="Times New Roman"/>
        </w:rPr>
        <w:tab/>
      </w:r>
      <w:r>
        <w:rPr>
          <w:rFonts w:ascii="Times New Roman" w:eastAsia="宋体" w:cs="Times New Roman" w:hAnsi="Times New Roman"/>
        </w:rPr>
        <w:fldChar w:fldCharType="begin"/>
      </w:r>
      <w:r>
        <w:rPr>
          <w:rFonts w:ascii="Times New Roman" w:eastAsia="宋体" w:cs="Times New Roman" w:hAnsi="Times New Roman"/>
        </w:rPr>
        <w:instrText xml:space="preserve"> PAGEREF _Toc7944 \h </w:instrText>
      </w:r>
      <w:r>
        <w:rPr>
          <w:rFonts w:ascii="Times New Roman" w:eastAsia="宋体" w:cs="Times New Roman" w:hAnsi="Times New Roman"/>
        </w:rPr>
        <w:fldChar w:fldCharType="separate"/>
      </w:r>
      <w:r>
        <w:rPr>
          <w:rFonts w:ascii="Times New Roman" w:eastAsia="宋体" w:cs="Times New Roman" w:hAnsi="Times New Roman"/>
        </w:rPr>
        <w:t>32</w:t>
      </w:r>
      <w:r>
        <w:rPr>
          <w:rFonts w:ascii="Times New Roman" w:eastAsia="宋体" w:cs="Times New Roman" w:hAnsi="Times New Roman"/>
        </w:rPr>
        <w:fldChar w:fldCharType="end"/>
      </w:r>
      <w:r>
        <w:rPr>
          <w:rFonts w:ascii="Times New Roman" w:eastAsia="宋体" w:cs="Times New Roman" w:hAnsi="Times New Roman"/>
          <w:szCs w:val="21"/>
          <w:highlight w:val="none"/>
        </w:rPr>
        <w:fldChar w:fldCharType="end"/>
      </w:r>
    </w:p>
    <w:p>
      <w:pPr>
        <w:keepNext w:val="0"/>
        <w:keepLines w:val="0"/>
        <w:pageBreakBefore w:val="0"/>
        <w:widowControl w:val="0"/>
        <w:tabs>
          <w:tab w:val="left" w:pos="0"/>
        </w:tabs>
        <w:kinsoku/>
        <w:wordWrap/>
        <w:overflowPunct/>
        <w:topLinePunct w:val="0"/>
        <w:autoSpaceDE/>
        <w:autoSpaceDN/>
        <w:bidi w:val="0"/>
        <w:adjustRightInd/>
        <w:snapToGrid/>
        <w:spacing w:beforeLines="100" w:before="312" w:afterLines="100" w:after="312" w:line="360" w:lineRule="auto"/>
        <w:jc w:val="center"/>
        <w:textAlignment w:val="auto"/>
        <w:outlineLvl w:val="0"/>
        <w:rPr>
          <w:rFonts w:ascii="Times New Roman" w:eastAsia="仿宋" w:cs="Times New Roman" w:hAnsi="Times New Roman"/>
          <w:b/>
          <w:sz w:val="32"/>
          <w:szCs w:val="32"/>
          <w:shd w:val="clear" w:color="auto" w:fill="auto"/>
          <w:highlight w:val="none"/>
        </w:rPr>
        <w:sectPr>
          <w:footerReference w:type="default" r:id="rId5"/>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upperRoman" w:start="1"/>
          <w:cols w:num="1" w:space="720"/>
          <w:docGrid w:type="lines" w:linePitch="312" w:charSpace="0"/>
        </w:sectPr>
      </w:pPr>
      <w:r>
        <w:rPr>
          <w:rFonts w:ascii="Times New Roman" w:cs="Times New Roman" w:hAnsi="Times New Roman"/>
          <w:b/>
          <w:szCs w:val="21"/>
          <w:highlight w:val="none"/>
        </w:rPr>
        <w:fldChar w:fldCharType="end"/>
      </w:r>
    </w:p>
    <w:p>
      <w:pPr>
        <w:keepNext w:val="0"/>
        <w:keepLines w:val="0"/>
        <w:pageBreakBefore w:val="0"/>
        <w:widowControl w:val="0"/>
        <w:tabs>
          <w:tab w:val="left" w:pos="0"/>
        </w:tabs>
        <w:kinsoku/>
        <w:wordWrap/>
        <w:overflowPunct/>
        <w:topLinePunct w:val="0"/>
        <w:autoSpaceDE/>
        <w:autoSpaceDN/>
        <w:bidi w:val="0"/>
        <w:adjustRightInd/>
        <w:snapToGrid/>
        <w:spacing w:beforeLines="100" w:before="312" w:afterLines="100" w:after="312" w:line="360" w:lineRule="auto"/>
        <w:jc w:val="center"/>
        <w:textAlignment w:val="auto"/>
        <w:outlineLvl w:val="9"/>
        <w:rPr>
          <w:rFonts w:ascii="Times New Roman" w:eastAsia="宋体" w:cs="Times New Roman" w:hAnsi="Times New Roman"/>
          <w:b/>
          <w:kern w:val="2"/>
          <w:sz w:val="24"/>
          <w:szCs w:val="21"/>
          <w:lang w:val="en-US" w:eastAsia="zh-CN" w:bidi="ar-SA"/>
          <w:highlight w:val="none"/>
        </w:rPr>
      </w:pPr>
      <w:bookmarkStart w:id="10" w:name="_Toc25735681"/>
      <w:bookmarkStart w:id="11" w:name="_Toc30646"/>
      <w:r>
        <w:rPr>
          <w:rFonts w:ascii="Times New Roman" w:eastAsia="仿宋" w:cs="Times New Roman" w:hAnsi="Times New Roman"/>
          <w:b/>
          <w:sz w:val="32"/>
          <w:szCs w:val="32"/>
          <w:shd w:val="clear" w:color="auto" w:fill="auto"/>
          <w:highlight w:val="none"/>
        </w:rPr>
        <w:t>Contents</w:t>
      </w:r>
      <w:r>
        <w:rPr>
          <w:rFonts w:ascii="Times New Roman" w:cs="Times New Roman" w:hAnsi="Times New Roman"/>
          <w:sz w:val="21"/>
          <w:szCs w:val="21"/>
          <w:highlight w:val="none"/>
        </w:rPr>
        <w:fldChar w:fldCharType="begin"/>
      </w:r>
      <w:r>
        <w:rPr>
          <w:rFonts w:ascii="Times New Roman" w:cs="Times New Roman" w:hAnsi="Times New Roman"/>
          <w:sz w:val="21"/>
          <w:szCs w:val="21"/>
          <w:highlight w:val="none"/>
        </w:rPr>
        <w:instrText xml:space="preserve">TOC \o "1-2" \h \u </w:instrText>
      </w:r>
      <w:r>
        <w:rPr>
          <w:rFonts w:ascii="Times New Roman" w:cs="Times New Roman" w:hAnsi="Times New Roman"/>
          <w:sz w:val="21"/>
          <w:szCs w:val="21"/>
          <w:highlight w:val="none"/>
        </w:rPr>
        <w:fldChar w:fldCharType="separate"/>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_Toc30646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1 </w:t>
      </w:r>
      <w:r>
        <w:rPr>
          <w:rFonts w:ascii="Times New Roman" w:eastAsia="宋体" w:cs="Times New Roman" w:hAnsi="Times New Roman"/>
          <w:b w:val="0"/>
          <w:bCs w:val="0"/>
          <w:sz w:val="24"/>
          <w:szCs w:val="24"/>
        </w:rPr>
        <w:t xml:space="preserve">General </w:t>
      </w:r>
      <w:r>
        <w:rPr>
          <w:rFonts w:ascii="Times New Roman" w:eastAsia="宋体" w:cs="Times New Roman" w:hAnsi="Times New Roman"/>
          <w:b w:val="0"/>
          <w:bCs w:val="0"/>
          <w:sz w:val="24"/>
          <w:szCs w:val="24"/>
          <w:lang w:val="en-US" w:eastAsia="zh-CN"/>
        </w:rPr>
        <w:t>p</w:t>
      </w:r>
      <w:r>
        <w:rPr>
          <w:rFonts w:ascii="Times New Roman" w:eastAsia="宋体" w:cs="Times New Roman" w:hAnsi="Times New Roman"/>
          <w:b w:val="0"/>
          <w:bCs w:val="0"/>
          <w:sz w:val="24"/>
          <w:szCs w:val="24"/>
        </w:rPr>
        <w:t>rovisions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_Toc30646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_Toc2286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2 </w:t>
      </w:r>
      <w:r>
        <w:rPr>
          <w:rFonts w:ascii="Times New Roman" w:eastAsia="宋体" w:cs="Times New Roman" w:hAnsi="Times New Roman"/>
          <w:b w:val="0"/>
          <w:bCs w:val="0"/>
          <w:sz w:val="24"/>
          <w:szCs w:val="24"/>
        </w:rPr>
        <w:t>Terms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_Toc2286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_Toc3534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3 </w:t>
      </w:r>
      <w:r>
        <w:rPr>
          <w:rFonts w:ascii="Times New Roman" w:eastAsia="宋体" w:cs="Times New Roman" w:hAnsi="Times New Roman"/>
          <w:b w:val="0"/>
          <w:bCs w:val="0"/>
          <w:sz w:val="24"/>
          <w:szCs w:val="24"/>
        </w:rPr>
        <w:t xml:space="preserve">Basic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equirements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_Toc3534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4</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_Toc22727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zh-CN" w:eastAsia="zh-CN"/>
        </w:rPr>
        <w:t xml:space="preserve">4 </w:t>
      </w:r>
      <w:r>
        <w:rPr>
          <w:rFonts w:ascii="Times New Roman" w:eastAsia="宋体" w:cs="Times New Roman" w:hAnsi="Times New Roman"/>
          <w:b w:val="0"/>
          <w:bCs w:val="0"/>
          <w:sz w:val="24"/>
          <w:szCs w:val="24"/>
        </w:rPr>
        <w:t xml:space="preserve">Digital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of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esources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_Toc22727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8</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_Toc8571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4.1 </w:t>
      </w:r>
      <w:r>
        <w:rPr>
          <w:rFonts w:ascii="Times New Roman" w:eastAsia="宋体" w:cs="Times New Roman" w:hAnsi="Times New Roman"/>
          <w:b w:val="0"/>
          <w:bCs w:val="0"/>
          <w:sz w:val="24"/>
          <w:szCs w:val="24"/>
        </w:rPr>
        <w:t xml:space="preserve">General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equirements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_Toc8571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8</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_Toc26417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4.2 </w:t>
      </w:r>
      <w:r>
        <w:rPr>
          <w:rFonts w:ascii="Times New Roman" w:eastAsia="宋体" w:cs="Times New Roman" w:hAnsi="Times New Roman"/>
          <w:b w:val="0"/>
          <w:bCs w:val="0"/>
          <w:sz w:val="24"/>
          <w:szCs w:val="24"/>
        </w:rPr>
        <w:t>Personnel</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_Toc26417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8</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_Toc8330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4.3 </w:t>
      </w:r>
      <w:r>
        <w:rPr>
          <w:rFonts w:ascii="Times New Roman" w:eastAsia="宋体" w:cs="Times New Roman" w:hAnsi="Times New Roman"/>
          <w:b w:val="0"/>
          <w:bCs w:val="0"/>
          <w:sz w:val="24"/>
          <w:szCs w:val="24"/>
        </w:rPr>
        <w:t>Equipment</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_Toc8330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10</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_Toc22335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4.4 </w:t>
      </w:r>
      <w:r>
        <w:rPr>
          <w:rFonts w:ascii="Times New Roman" w:eastAsia="宋体" w:cs="Times New Roman" w:hAnsi="Times New Roman"/>
          <w:b w:val="0"/>
          <w:bCs w:val="0"/>
          <w:sz w:val="24"/>
          <w:szCs w:val="24"/>
        </w:rPr>
        <w:t xml:space="preserve">Facilities and </w:t>
      </w:r>
      <w:r>
        <w:rPr>
          <w:rFonts w:ascii="Times New Roman" w:eastAsia="宋体" w:cs="Times New Roman" w:hAnsi="Times New Roman"/>
          <w:b w:val="0"/>
          <w:bCs w:val="0"/>
          <w:sz w:val="24"/>
          <w:szCs w:val="24"/>
          <w:lang w:val="en-US" w:eastAsia="zh-CN"/>
        </w:rPr>
        <w:t>e</w:t>
      </w:r>
      <w:r>
        <w:rPr>
          <w:rFonts w:ascii="Times New Roman" w:eastAsia="宋体" w:cs="Times New Roman" w:hAnsi="Times New Roman"/>
          <w:b w:val="0"/>
          <w:bCs w:val="0"/>
          <w:sz w:val="24"/>
          <w:szCs w:val="24"/>
        </w:rPr>
        <w:t>nvironment</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_Toc22335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_Toc17491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4.5 </w:t>
      </w:r>
      <w:r>
        <w:rPr>
          <w:rFonts w:ascii="Times New Roman" w:eastAsia="宋体" w:cs="Times New Roman" w:hAnsi="Times New Roman"/>
          <w:b w:val="0"/>
          <w:bCs w:val="0"/>
          <w:sz w:val="24"/>
          <w:szCs w:val="24"/>
        </w:rPr>
        <w:t xml:space="preserve">External </w:t>
      </w:r>
      <w:r>
        <w:rPr>
          <w:rFonts w:ascii="Times New Roman" w:eastAsia="宋体" w:cs="Times New Roman" w:hAnsi="Times New Roman"/>
          <w:b w:val="0"/>
          <w:bCs w:val="0"/>
          <w:sz w:val="24"/>
          <w:szCs w:val="24"/>
          <w:lang w:val="en-US" w:eastAsia="zh-CN"/>
        </w:rPr>
        <w:t>s</w:t>
      </w:r>
      <w:r>
        <w:rPr>
          <w:rFonts w:ascii="Times New Roman" w:eastAsia="宋体" w:cs="Times New Roman" w:hAnsi="Times New Roman"/>
          <w:b w:val="0"/>
          <w:bCs w:val="0"/>
          <w:sz w:val="24"/>
          <w:szCs w:val="24"/>
        </w:rPr>
        <w:t>ervices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_Toc17491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_Toc23859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rPr>
        <w:t xml:space="preserve">5 </w:t>
      </w:r>
      <w:r>
        <w:rPr>
          <w:rFonts w:ascii="Times New Roman" w:eastAsia="宋体" w:cs="Times New Roman" w:hAnsi="Times New Roman"/>
          <w:b w:val="0"/>
          <w:bCs w:val="0"/>
          <w:sz w:val="24"/>
          <w:szCs w:val="24"/>
        </w:rPr>
        <w:t xml:space="preserve">Digital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of </w:t>
      </w:r>
      <w:r>
        <w:rPr>
          <w:rFonts w:ascii="Times New Roman" w:eastAsia="宋体" w:cs="Times New Roman" w:hAnsi="Times New Roman"/>
          <w:b w:val="0"/>
          <w:bCs w:val="0"/>
          <w:sz w:val="24"/>
          <w:szCs w:val="24"/>
          <w:lang w:val="en-US" w:eastAsia="zh-CN"/>
        </w:rPr>
        <w:t>p</w:t>
      </w:r>
      <w:r>
        <w:rPr>
          <w:rFonts w:ascii="Times New Roman" w:eastAsia="宋体" w:cs="Times New Roman" w:hAnsi="Times New Roman"/>
          <w:b w:val="0"/>
          <w:bCs w:val="0"/>
          <w:sz w:val="24"/>
          <w:szCs w:val="24"/>
        </w:rPr>
        <w:t>rocess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_Toc23859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_Toc30508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rPr>
        <w:t xml:space="preserve">5.1 </w:t>
      </w:r>
      <w:r>
        <w:rPr>
          <w:rFonts w:ascii="Times New Roman" w:eastAsia="宋体" w:cs="Times New Roman" w:hAnsi="Times New Roman"/>
          <w:b w:val="0"/>
          <w:bCs w:val="0"/>
          <w:sz w:val="24"/>
          <w:szCs w:val="24"/>
        </w:rPr>
        <w:t xml:space="preserve">General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equirements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_Toc30508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_Toc11425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rPr>
        <w:t xml:space="preserve">5.2 </w:t>
      </w:r>
      <w:r>
        <w:rPr>
          <w:rFonts w:ascii="Times New Roman" w:eastAsia="宋体" w:cs="Times New Roman" w:hAnsi="Times New Roman"/>
          <w:b w:val="0"/>
          <w:bCs w:val="0"/>
          <w:sz w:val="24"/>
          <w:szCs w:val="24"/>
        </w:rPr>
        <w:t xml:space="preserve">Review of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 xml:space="preserve">equests, </w:t>
      </w:r>
      <w:r>
        <w:rPr>
          <w:rFonts w:ascii="Times New Roman" w:eastAsia="宋体" w:cs="Times New Roman" w:hAnsi="Times New Roman"/>
          <w:b w:val="0"/>
          <w:bCs w:val="0"/>
          <w:sz w:val="24"/>
          <w:szCs w:val="24"/>
          <w:lang w:val="en-US" w:eastAsia="zh-CN"/>
        </w:rPr>
        <w:t>t</w:t>
      </w:r>
      <w:r>
        <w:rPr>
          <w:rFonts w:ascii="Times New Roman" w:eastAsia="宋体" w:cs="Times New Roman" w:hAnsi="Times New Roman"/>
          <w:b w:val="0"/>
          <w:bCs w:val="0"/>
          <w:sz w:val="24"/>
          <w:szCs w:val="24"/>
        </w:rPr>
        <w:t xml:space="preserve">enders and </w:t>
      </w:r>
      <w:r>
        <w:rPr>
          <w:rFonts w:ascii="Times New Roman" w:eastAsia="宋体" w:cs="Times New Roman" w:hAnsi="Times New Roman"/>
          <w:b w:val="0"/>
          <w:bCs w:val="0"/>
          <w:sz w:val="24"/>
          <w:szCs w:val="24"/>
          <w:lang w:val="en-US" w:eastAsia="zh-CN"/>
        </w:rPr>
        <w:t>c</w:t>
      </w:r>
      <w:r>
        <w:rPr>
          <w:rFonts w:ascii="Times New Roman" w:eastAsia="宋体" w:cs="Times New Roman" w:hAnsi="Times New Roman"/>
          <w:b w:val="0"/>
          <w:bCs w:val="0"/>
          <w:sz w:val="24"/>
          <w:szCs w:val="24"/>
        </w:rPr>
        <w:t>ontracts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_Toc11425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_Toc11922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rPr>
        <w:t xml:space="preserve">5.3 </w:t>
      </w:r>
      <w:r>
        <w:rPr>
          <w:rFonts w:ascii="Times New Roman" w:eastAsia="宋体" w:cs="Times New Roman" w:hAnsi="Times New Roman"/>
          <w:b w:val="0"/>
          <w:bCs w:val="0"/>
          <w:sz w:val="24"/>
          <w:szCs w:val="24"/>
        </w:rPr>
        <w:t xml:space="preserve">Selection, </w:t>
      </w:r>
      <w:r>
        <w:rPr>
          <w:rFonts w:ascii="Times New Roman" w:eastAsia="宋体" w:cs="Times New Roman" w:hAnsi="Times New Roman"/>
          <w:b w:val="0"/>
          <w:bCs w:val="0"/>
          <w:sz w:val="24"/>
          <w:szCs w:val="24"/>
          <w:lang w:val="en-US" w:eastAsia="zh-CN"/>
        </w:rPr>
        <w:t>v</w:t>
      </w:r>
      <w:r>
        <w:rPr>
          <w:rFonts w:ascii="Times New Roman" w:eastAsia="宋体" w:cs="Times New Roman" w:hAnsi="Times New Roman"/>
          <w:b w:val="0"/>
          <w:bCs w:val="0"/>
          <w:sz w:val="24"/>
          <w:szCs w:val="24"/>
        </w:rPr>
        <w:t xml:space="preserve">erification and </w:t>
      </w:r>
      <w:r>
        <w:rPr>
          <w:rFonts w:ascii="Times New Roman" w:eastAsia="宋体" w:cs="Times New Roman" w:hAnsi="Times New Roman"/>
          <w:b w:val="0"/>
          <w:bCs w:val="0"/>
          <w:sz w:val="24"/>
          <w:szCs w:val="24"/>
          <w:lang w:val="en-US" w:eastAsia="zh-CN"/>
        </w:rPr>
        <w:t>v</w:t>
      </w:r>
      <w:r>
        <w:rPr>
          <w:rFonts w:ascii="Times New Roman" w:eastAsia="宋体" w:cs="Times New Roman" w:hAnsi="Times New Roman"/>
          <w:b w:val="0"/>
          <w:bCs w:val="0"/>
          <w:sz w:val="24"/>
          <w:szCs w:val="24"/>
        </w:rPr>
        <w:t xml:space="preserve">alidation of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ethods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_Toc11922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_Toc31874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rPr>
        <w:t xml:space="preserve">5.4 </w:t>
      </w:r>
      <w:r>
        <w:rPr>
          <w:rFonts w:ascii="Times New Roman" w:eastAsia="宋体" w:cs="Times New Roman" w:hAnsi="Times New Roman"/>
          <w:b w:val="0"/>
          <w:bCs w:val="0"/>
          <w:sz w:val="24"/>
          <w:szCs w:val="24"/>
        </w:rPr>
        <w:t>Sampling</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_Toc31874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14</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_Toc10074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rPr>
        <w:t xml:space="preserve">5.5 </w:t>
      </w:r>
      <w:r>
        <w:rPr>
          <w:rFonts w:ascii="Times New Roman" w:eastAsia="宋体" w:cs="Times New Roman" w:hAnsi="Times New Roman"/>
          <w:b w:val="0"/>
          <w:bCs w:val="0"/>
          <w:sz w:val="24"/>
          <w:szCs w:val="24"/>
        </w:rPr>
        <w:t>Handling of test items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_Toc10074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14</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_Toc30991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5.6 </w:t>
      </w:r>
      <w:r>
        <w:rPr>
          <w:rFonts w:ascii="Times New Roman" w:eastAsia="宋体" w:cs="Times New Roman" w:hAnsi="Times New Roman"/>
          <w:b w:val="0"/>
          <w:bCs w:val="0"/>
          <w:sz w:val="24"/>
          <w:szCs w:val="24"/>
        </w:rPr>
        <w:t>Technical records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_Toc30991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15</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_Toc7335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5.7 </w:t>
      </w:r>
      <w:r>
        <w:rPr>
          <w:rFonts w:ascii="Times New Roman" w:eastAsia="宋体" w:cs="Times New Roman" w:hAnsi="Times New Roman"/>
          <w:b w:val="0"/>
          <w:bCs w:val="0"/>
          <w:sz w:val="24"/>
          <w:szCs w:val="24"/>
        </w:rPr>
        <w:t>Evaluation of measurement uncertainty</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_Toc7335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16</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_Toc31077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lang w:val="en-US" w:eastAsia="zh-CN"/>
        </w:rPr>
        <w:t xml:space="preserve">5.8 </w:t>
      </w:r>
      <w:r>
        <w:rPr>
          <w:rFonts w:ascii="Times New Roman" w:eastAsia="宋体" w:cs="Times New Roman" w:hAnsi="Times New Roman"/>
          <w:b w:val="0"/>
          <w:bCs w:val="0"/>
          <w:sz w:val="24"/>
          <w:szCs w:val="24"/>
        </w:rPr>
        <w:t>Ensuring the validity of results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_Toc31077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16</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_Toc6024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5.9 </w:t>
      </w:r>
      <w:r>
        <w:rPr>
          <w:rFonts w:ascii="Times New Roman" w:eastAsia="宋体" w:cs="Times New Roman" w:hAnsi="Times New Roman"/>
          <w:b w:val="0"/>
          <w:bCs w:val="0"/>
          <w:sz w:val="24"/>
          <w:szCs w:val="24"/>
        </w:rPr>
        <w:t>Reporting results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_Toc6024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17</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_Toc16182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5.10 </w:t>
      </w:r>
      <w:r>
        <w:rPr>
          <w:rFonts w:ascii="Times New Roman" w:eastAsia="宋体" w:cs="Times New Roman" w:hAnsi="Times New Roman"/>
          <w:b w:val="0"/>
          <w:bCs w:val="0"/>
          <w:sz w:val="24"/>
          <w:szCs w:val="24"/>
        </w:rPr>
        <w:t>Complaints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_Toc16182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17</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_Toc9305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5.11 </w:t>
      </w:r>
      <w:r>
        <w:rPr>
          <w:rFonts w:ascii="Times New Roman" w:eastAsia="宋体" w:cs="Times New Roman" w:hAnsi="Times New Roman"/>
          <w:b w:val="0"/>
          <w:bCs w:val="0"/>
          <w:sz w:val="24"/>
          <w:szCs w:val="24"/>
        </w:rPr>
        <w:t>Nonconforming work</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_Toc9305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18</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_Toc30997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5.12 </w:t>
      </w:r>
      <w:r>
        <w:rPr>
          <w:rFonts w:ascii="Times New Roman" w:eastAsia="宋体" w:cs="Times New Roman" w:hAnsi="Times New Roman"/>
          <w:b w:val="0"/>
          <w:bCs w:val="0"/>
          <w:sz w:val="24"/>
          <w:szCs w:val="24"/>
        </w:rPr>
        <w:t>Control of data and information management</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_Toc30997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18</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_Toc25699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6 </w:t>
      </w:r>
      <w:r>
        <w:rPr>
          <w:rFonts w:ascii="Times New Roman" w:eastAsia="宋体" w:cs="Times New Roman" w:hAnsi="Times New Roman"/>
          <w:b w:val="0"/>
          <w:bCs w:val="0"/>
          <w:sz w:val="24"/>
          <w:szCs w:val="24"/>
        </w:rPr>
        <w:t xml:space="preserve">Digital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of the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w:t>
      </w:r>
      <w:r>
        <w:rPr>
          <w:rFonts w:ascii="Times New Roman" w:eastAsia="宋体" w:cs="Times New Roman" w:hAnsi="Times New Roman"/>
          <w:b w:val="0"/>
          <w:bCs w:val="0"/>
          <w:sz w:val="24"/>
          <w:szCs w:val="24"/>
          <w:lang w:val="en-US" w:eastAsia="zh-CN"/>
        </w:rPr>
        <w:t>s</w:t>
      </w:r>
      <w:r>
        <w:rPr>
          <w:rFonts w:ascii="Times New Roman" w:eastAsia="宋体" w:cs="Times New Roman" w:hAnsi="Times New Roman"/>
          <w:b w:val="0"/>
          <w:bCs w:val="0"/>
          <w:sz w:val="24"/>
          <w:szCs w:val="24"/>
        </w:rPr>
        <w:t>ystem</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_Toc25699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_Toc17444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6.1 </w:t>
      </w:r>
      <w:r>
        <w:rPr>
          <w:rFonts w:ascii="Times New Roman" w:eastAsia="宋体" w:cs="Times New Roman" w:hAnsi="Times New Roman"/>
          <w:b w:val="0"/>
          <w:bCs w:val="0"/>
          <w:sz w:val="24"/>
          <w:szCs w:val="24"/>
        </w:rPr>
        <w:t xml:space="preserve">General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equirements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_Toc17444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_Toc25937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6.2 </w:t>
      </w:r>
      <w:r>
        <w:rPr>
          <w:rFonts w:ascii="Times New Roman" w:eastAsia="宋体" w:cs="Times New Roman" w:hAnsi="Times New Roman"/>
          <w:b w:val="0"/>
          <w:bCs w:val="0"/>
          <w:sz w:val="24"/>
          <w:szCs w:val="24"/>
        </w:rPr>
        <w:t xml:space="preserve">Control of </w:t>
      </w:r>
      <w:r>
        <w:rPr>
          <w:rFonts w:ascii="Times New Roman" w:eastAsia="宋体" w:cs="Times New Roman" w:hAnsi="Times New Roman"/>
          <w:b w:val="0"/>
          <w:bCs w:val="0"/>
          <w:sz w:val="24"/>
          <w:szCs w:val="24"/>
          <w:lang w:val="en-US" w:eastAsia="zh-CN"/>
        </w:rPr>
        <w:t>d</w:t>
      </w:r>
      <w:r>
        <w:rPr>
          <w:rFonts w:ascii="Times New Roman" w:eastAsia="宋体" w:cs="Times New Roman" w:hAnsi="Times New Roman"/>
          <w:b w:val="0"/>
          <w:bCs w:val="0"/>
          <w:sz w:val="24"/>
          <w:szCs w:val="24"/>
        </w:rPr>
        <w:t>ocuments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_Toc25937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_Toc4138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6.3 </w:t>
      </w:r>
      <w:r>
        <w:rPr>
          <w:rFonts w:ascii="Times New Roman" w:eastAsia="宋体" w:cs="Times New Roman" w:hAnsi="Times New Roman"/>
          <w:b w:val="0"/>
          <w:bCs w:val="0"/>
          <w:sz w:val="24"/>
          <w:szCs w:val="24"/>
        </w:rPr>
        <w:t>Records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_Toc4138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_Toc13680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6.4 </w:t>
      </w:r>
      <w:r>
        <w:rPr>
          <w:rFonts w:ascii="Times New Roman" w:eastAsia="宋体" w:cs="Times New Roman" w:hAnsi="Times New Roman"/>
          <w:b w:val="0"/>
          <w:bCs w:val="0"/>
          <w:sz w:val="24"/>
          <w:szCs w:val="24"/>
        </w:rPr>
        <w:t xml:space="preserve">Actions to </w:t>
      </w:r>
      <w:r>
        <w:rPr>
          <w:rFonts w:ascii="Times New Roman" w:eastAsia="宋体" w:cs="Times New Roman" w:hAnsi="Times New Roman"/>
          <w:b w:val="0"/>
          <w:bCs w:val="0"/>
          <w:sz w:val="24"/>
          <w:szCs w:val="24"/>
          <w:lang w:val="en-US" w:eastAsia="zh-CN"/>
        </w:rPr>
        <w:t>a</w:t>
      </w:r>
      <w:r>
        <w:rPr>
          <w:rFonts w:ascii="Times New Roman" w:eastAsia="宋体" w:cs="Times New Roman" w:hAnsi="Times New Roman"/>
          <w:b w:val="0"/>
          <w:bCs w:val="0"/>
          <w:sz w:val="24"/>
          <w:szCs w:val="24"/>
        </w:rPr>
        <w:t xml:space="preserve">ddress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 xml:space="preserve">isks and </w:t>
      </w:r>
      <w:r>
        <w:rPr>
          <w:rFonts w:ascii="Times New Roman" w:eastAsia="宋体" w:cs="Times New Roman" w:hAnsi="Times New Roman"/>
          <w:b w:val="0"/>
          <w:bCs w:val="0"/>
          <w:sz w:val="24"/>
          <w:szCs w:val="24"/>
          <w:lang w:val="en-US" w:eastAsia="zh-CN"/>
        </w:rPr>
        <w:t>o</w:t>
      </w:r>
      <w:r>
        <w:rPr>
          <w:rFonts w:ascii="Times New Roman" w:eastAsia="宋体" w:cs="Times New Roman" w:hAnsi="Times New Roman"/>
          <w:b w:val="0"/>
          <w:bCs w:val="0"/>
          <w:sz w:val="24"/>
          <w:szCs w:val="24"/>
        </w:rPr>
        <w:t>pportunities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_Toc13680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_Toc8538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6.5 </w:t>
      </w:r>
      <w:r>
        <w:rPr>
          <w:rFonts w:ascii="Times New Roman" w:eastAsia="宋体" w:cs="Times New Roman" w:hAnsi="Times New Roman"/>
          <w:b w:val="0"/>
          <w:bCs w:val="0"/>
          <w:sz w:val="24"/>
          <w:szCs w:val="24"/>
        </w:rPr>
        <w:t>Improvement</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_Toc8538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_Toc8921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6.6 </w:t>
      </w:r>
      <w:r>
        <w:rPr>
          <w:rFonts w:ascii="Times New Roman" w:eastAsia="宋体" w:cs="Times New Roman" w:hAnsi="Times New Roman"/>
          <w:b w:val="0"/>
          <w:bCs w:val="0"/>
          <w:sz w:val="24"/>
          <w:szCs w:val="24"/>
        </w:rPr>
        <w:t xml:space="preserve">Corrective </w:t>
      </w:r>
      <w:r>
        <w:rPr>
          <w:rFonts w:ascii="Times New Roman" w:eastAsia="宋体" w:cs="Times New Roman" w:hAnsi="Times New Roman"/>
          <w:b w:val="0"/>
          <w:bCs w:val="0"/>
          <w:sz w:val="24"/>
          <w:szCs w:val="24"/>
          <w:lang w:val="en-US" w:eastAsia="zh-CN"/>
        </w:rPr>
        <w:t>a</w:t>
      </w:r>
      <w:r>
        <w:rPr>
          <w:rFonts w:ascii="Times New Roman" w:eastAsia="宋体" w:cs="Times New Roman" w:hAnsi="Times New Roman"/>
          <w:b w:val="0"/>
          <w:bCs w:val="0"/>
          <w:sz w:val="24"/>
          <w:szCs w:val="24"/>
        </w:rPr>
        <w:t>ctions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_Toc8921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_Toc1364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6.7 </w:t>
      </w:r>
      <w:r>
        <w:rPr>
          <w:rFonts w:ascii="Times New Roman" w:eastAsia="宋体" w:cs="Times New Roman" w:hAnsi="Times New Roman"/>
          <w:b w:val="0"/>
          <w:bCs w:val="0"/>
          <w:sz w:val="24"/>
          <w:szCs w:val="24"/>
        </w:rPr>
        <w:t xml:space="preserve">Internal </w:t>
      </w:r>
      <w:r>
        <w:rPr>
          <w:rFonts w:ascii="Times New Roman" w:eastAsia="宋体" w:cs="Times New Roman" w:hAnsi="Times New Roman"/>
          <w:b w:val="0"/>
          <w:bCs w:val="0"/>
          <w:sz w:val="24"/>
          <w:szCs w:val="24"/>
          <w:lang w:val="en-US" w:eastAsia="zh-CN"/>
        </w:rPr>
        <w:t>a</w:t>
      </w:r>
      <w:r>
        <w:rPr>
          <w:rFonts w:ascii="Times New Roman" w:eastAsia="宋体" w:cs="Times New Roman" w:hAnsi="Times New Roman"/>
          <w:b w:val="0"/>
          <w:bCs w:val="0"/>
          <w:sz w:val="24"/>
          <w:szCs w:val="24"/>
        </w:rPr>
        <w:t>udits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_Toc1364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20"/>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_Toc17648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28"/>
          <w:lang w:val="en-US" w:eastAsia="zh-CN"/>
        </w:rPr>
        <w:t xml:space="preserve">6.8 </w:t>
      </w:r>
      <w:r>
        <w:rPr>
          <w:rFonts w:ascii="Times New Roman" w:eastAsia="宋体" w:cs="Times New Roman" w:hAnsi="Times New Roman"/>
          <w:b w:val="0"/>
          <w:bCs w:val="0"/>
          <w:sz w:val="24"/>
          <w:szCs w:val="24"/>
        </w:rPr>
        <w:t xml:space="preserve">Management </w:t>
      </w:r>
      <w:r>
        <w:rPr>
          <w:rFonts w:ascii="Times New Roman" w:eastAsia="宋体" w:cs="Times New Roman" w:hAnsi="Times New Roman"/>
          <w:b w:val="0"/>
          <w:bCs w:val="0"/>
          <w:sz w:val="24"/>
          <w:szCs w:val="24"/>
          <w:lang w:val="en-US" w:eastAsia="zh-CN"/>
        </w:rPr>
        <w:t>r</w:t>
      </w:r>
      <w:r>
        <w:rPr>
          <w:rFonts w:ascii="Times New Roman" w:eastAsia="宋体" w:cs="Times New Roman" w:hAnsi="Times New Roman"/>
          <w:b w:val="0"/>
          <w:bCs w:val="0"/>
          <w:sz w:val="24"/>
          <w:szCs w:val="24"/>
        </w:rPr>
        <w:t>eview</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_Toc17648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23</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_Toc15651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7 </w:t>
      </w:r>
      <w:r>
        <w:rPr>
          <w:rFonts w:ascii="Times New Roman" w:eastAsia="宋体" w:cs="Times New Roman" w:hAnsi="Times New Roman"/>
          <w:b w:val="0"/>
          <w:bCs w:val="0"/>
          <w:sz w:val="24"/>
          <w:szCs w:val="24"/>
        </w:rPr>
        <w:t xml:space="preserve">Digital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of </w:t>
      </w:r>
      <w:r>
        <w:rPr>
          <w:rFonts w:ascii="Times New Roman" w:eastAsia="宋体" w:cs="Times New Roman" w:hAnsi="Times New Roman"/>
          <w:b w:val="0"/>
          <w:bCs w:val="0"/>
          <w:sz w:val="24"/>
          <w:szCs w:val="24"/>
          <w:lang w:val="en-US" w:eastAsia="zh-CN"/>
        </w:rPr>
        <w:t>p</w:t>
      </w:r>
      <w:r>
        <w:rPr>
          <w:rFonts w:ascii="Times New Roman" w:eastAsia="宋体" w:cs="Times New Roman" w:hAnsi="Times New Roman"/>
          <w:b w:val="0"/>
          <w:bCs w:val="0"/>
          <w:sz w:val="24"/>
          <w:szCs w:val="24"/>
        </w:rPr>
        <w:t>rojects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_Toc15651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24</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_Toc10979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Cs w:val="30"/>
          <w:lang w:val="en-US" w:eastAsia="zh-CN"/>
        </w:rPr>
        <w:t xml:space="preserve">8 </w:t>
      </w:r>
      <w:r>
        <w:rPr>
          <w:rFonts w:ascii="Times New Roman" w:eastAsia="宋体" w:cs="Times New Roman" w:hAnsi="Times New Roman"/>
          <w:b w:val="0"/>
          <w:bCs w:val="0"/>
          <w:sz w:val="24"/>
          <w:szCs w:val="24"/>
        </w:rPr>
        <w:t xml:space="preserve">Digital </w:t>
      </w:r>
      <w:r>
        <w:rPr>
          <w:rFonts w:ascii="Times New Roman" w:eastAsia="宋体" w:cs="Times New Roman" w:hAnsi="Times New Roman"/>
          <w:b w:val="0"/>
          <w:bCs w:val="0"/>
          <w:sz w:val="24"/>
          <w:szCs w:val="24"/>
          <w:lang w:val="en-US" w:eastAsia="zh-CN"/>
        </w:rPr>
        <w:t>m</w:t>
      </w:r>
      <w:r>
        <w:rPr>
          <w:rFonts w:ascii="Times New Roman" w:eastAsia="宋体" w:cs="Times New Roman" w:hAnsi="Times New Roman"/>
          <w:b w:val="0"/>
          <w:bCs w:val="0"/>
          <w:sz w:val="24"/>
          <w:szCs w:val="24"/>
        </w:rPr>
        <w:t xml:space="preserve">anagement </w:t>
      </w:r>
      <w:r>
        <w:rPr>
          <w:rFonts w:ascii="Times New Roman" w:eastAsia="宋体" w:cs="Times New Roman" w:hAnsi="Times New Roman"/>
          <w:b w:val="0"/>
          <w:bCs w:val="0"/>
          <w:sz w:val="24"/>
          <w:szCs w:val="24"/>
          <w:lang w:val="en-US" w:eastAsia="zh-CN"/>
        </w:rPr>
        <w:t>a</w:t>
      </w:r>
      <w:r>
        <w:rPr>
          <w:rFonts w:ascii="Times New Roman" w:eastAsia="宋体" w:cs="Times New Roman" w:hAnsi="Times New Roman"/>
          <w:b w:val="0"/>
          <w:bCs w:val="0"/>
          <w:sz w:val="24"/>
          <w:szCs w:val="24"/>
        </w:rPr>
        <w:t>ssessment</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_Toc10979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26</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_Toc11339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 w:val="24"/>
          <w:szCs w:val="24"/>
        </w:rPr>
        <w:t xml:space="preserve">Explanation of </w:t>
      </w:r>
      <w:r>
        <w:rPr>
          <w:rFonts w:ascii="Times New Roman" w:eastAsia="宋体" w:cs="Times New Roman" w:hAnsi="Times New Roman"/>
          <w:b w:val="0"/>
          <w:bCs w:val="0"/>
          <w:sz w:val="24"/>
          <w:szCs w:val="24"/>
          <w:lang w:val="en-US" w:eastAsia="zh-CN"/>
        </w:rPr>
        <w:t>w</w:t>
      </w:r>
      <w:r>
        <w:rPr>
          <w:rFonts w:ascii="Times New Roman" w:eastAsia="宋体" w:cs="Times New Roman" w:hAnsi="Times New Roman"/>
          <w:b w:val="0"/>
          <w:bCs w:val="0"/>
          <w:sz w:val="24"/>
          <w:szCs w:val="24"/>
        </w:rPr>
        <w:t>ording</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_Toc11339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31</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pStyle w:val="19"/>
        <w:tabs>
          <w:tab w:val="right" w:leader="dot" w:pos="8306"/>
        </w:tabs>
        <w:rPr>
          <w:rFonts w:ascii="Times New Roman" w:eastAsia="宋体" w:cs="Times New Roman" w:hAnsi="Times New Roman"/>
          <w:b w:val="0"/>
          <w:bCs w:val="0"/>
        </w:rPr>
      </w:pPr>
      <w:r>
        <w:rPr>
          <w:rFonts w:ascii="Times New Roman" w:eastAsia="宋体" w:cs="Times New Roman" w:hAnsi="Times New Roman"/>
          <w:b w:val="0"/>
          <w:bCs w:val="0"/>
          <w:szCs w:val="21"/>
          <w:highlight w:val="none"/>
        </w:rPr>
        <w:fldChar w:fldCharType="begin"/>
      </w:r>
      <w:r>
        <w:rPr>
          <w:rFonts w:ascii="Times New Roman" w:eastAsia="宋体" w:cs="Times New Roman" w:hAnsi="Times New Roman"/>
          <w:b w:val="0"/>
          <w:bCs w:val="0"/>
          <w:szCs w:val="21"/>
          <w:highlight w:val="none"/>
        </w:rPr>
        <w:instrText xml:space="preserve"> HYPERLINK \l _Toc7944 </w:instrText>
      </w:r>
      <w:r>
        <w:rPr>
          <w:rFonts w:ascii="Times New Roman" w:eastAsia="宋体" w:cs="Times New Roman" w:hAnsi="Times New Roman"/>
          <w:b w:val="0"/>
          <w:bCs w:val="0"/>
          <w:szCs w:val="21"/>
          <w:highlight w:val="none"/>
        </w:rPr>
        <w:fldChar w:fldCharType="separate"/>
      </w:r>
      <w:r>
        <w:rPr>
          <w:rFonts w:ascii="Times New Roman" w:eastAsia="宋体" w:cs="Times New Roman" w:hAnsi="Times New Roman"/>
          <w:b w:val="0"/>
          <w:bCs w:val="0"/>
          <w:sz w:val="24"/>
          <w:szCs w:val="24"/>
        </w:rPr>
        <w:t xml:space="preserve">List of </w:t>
      </w:r>
      <w:r>
        <w:rPr>
          <w:rFonts w:ascii="Times New Roman" w:eastAsia="宋体" w:cs="Times New Roman" w:hAnsi="Times New Roman"/>
          <w:b w:val="0"/>
          <w:bCs w:val="0"/>
          <w:sz w:val="24"/>
          <w:szCs w:val="24"/>
          <w:lang w:val="en-US" w:eastAsia="zh-CN"/>
        </w:rPr>
        <w:t>q</w:t>
      </w:r>
      <w:r>
        <w:rPr>
          <w:rFonts w:ascii="Times New Roman" w:eastAsia="宋体" w:cs="Times New Roman" w:hAnsi="Times New Roman"/>
          <w:b w:val="0"/>
          <w:bCs w:val="0"/>
          <w:sz w:val="24"/>
          <w:szCs w:val="24"/>
        </w:rPr>
        <w:t xml:space="preserve">uoted </w:t>
      </w:r>
      <w:r>
        <w:rPr>
          <w:rFonts w:ascii="Times New Roman" w:eastAsia="宋体" w:cs="Times New Roman" w:hAnsi="Times New Roman"/>
          <w:b w:val="0"/>
          <w:bCs w:val="0"/>
          <w:sz w:val="24"/>
          <w:szCs w:val="24"/>
          <w:lang w:val="en-US" w:eastAsia="zh-CN"/>
        </w:rPr>
        <w:t>s</w:t>
      </w:r>
      <w:r>
        <w:rPr>
          <w:rFonts w:ascii="Times New Roman" w:eastAsia="宋体" w:cs="Times New Roman" w:hAnsi="Times New Roman"/>
          <w:b w:val="0"/>
          <w:bCs w:val="0"/>
          <w:sz w:val="24"/>
          <w:szCs w:val="24"/>
        </w:rPr>
        <w:t>tandards</w:t>
      </w:r>
      <w:r>
        <w:rPr>
          <w:rFonts w:ascii="Times New Roman" w:eastAsia="宋体" w:cs="Times New Roman" w:hAnsi="Times New Roman"/>
          <w:b w:val="0"/>
          <w:bCs w:val="0"/>
        </w:rPr>
        <w:tab/>
      </w:r>
      <w:r>
        <w:rPr>
          <w:rFonts w:ascii="Times New Roman" w:eastAsia="宋体" w:cs="Times New Roman" w:hAnsi="Times New Roman"/>
          <w:b w:val="0"/>
          <w:bCs w:val="0"/>
        </w:rPr>
        <w:fldChar w:fldCharType="begin"/>
      </w:r>
      <w:r>
        <w:rPr>
          <w:rFonts w:ascii="Times New Roman" w:eastAsia="宋体" w:cs="Times New Roman" w:hAnsi="Times New Roman"/>
          <w:b w:val="0"/>
          <w:bCs w:val="0"/>
        </w:rPr>
        <w:instrText xml:space="preserve"> PAGEREF _Toc7944 \h </w:instrText>
      </w:r>
      <w:r>
        <w:rPr>
          <w:rFonts w:ascii="Times New Roman" w:eastAsia="宋体" w:cs="Times New Roman" w:hAnsi="Times New Roman"/>
          <w:b w:val="0"/>
          <w:bCs w:val="0"/>
        </w:rPr>
        <w:fldChar w:fldCharType="separate"/>
      </w:r>
      <w:r>
        <w:rPr>
          <w:rFonts w:ascii="Times New Roman" w:eastAsia="宋体" w:cs="Times New Roman" w:hAnsi="Times New Roman"/>
          <w:b w:val="0"/>
          <w:bCs w:val="0"/>
        </w:rPr>
        <w:t>32</w:t>
      </w:r>
      <w:r>
        <w:rPr>
          <w:rFonts w:ascii="Times New Roman" w:eastAsia="宋体" w:cs="Times New Roman" w:hAnsi="Times New Roman"/>
          <w:b w:val="0"/>
          <w:bCs w:val="0"/>
        </w:rPr>
        <w:fldChar w:fldCharType="end"/>
      </w:r>
      <w:r>
        <w:rPr>
          <w:rFonts w:ascii="Times New Roman" w:eastAsia="宋体" w:cs="Times New Roman" w:hAnsi="Times New Roman"/>
          <w:b w:val="0"/>
          <w:bCs w:val="0"/>
          <w:szCs w:val="21"/>
          <w:highlight w:val="none"/>
        </w:rPr>
        <w:fldChar w:fldCharType="end"/>
      </w:r>
    </w:p>
    <w:p>
      <w:pPr>
        <w:keepNext w:val="0"/>
        <w:keepLines w:val="0"/>
        <w:pageBreakBefore w:val="0"/>
        <w:widowControl w:val="0"/>
        <w:tabs>
          <w:tab w:val="left" w:pos="0"/>
        </w:tabs>
        <w:kinsoku/>
        <w:wordWrap/>
        <w:overflowPunct/>
        <w:topLinePunct w:val="0"/>
        <w:autoSpaceDE/>
        <w:autoSpaceDN/>
        <w:bidi w:val="0"/>
        <w:adjustRightInd/>
        <w:snapToGrid/>
        <w:spacing w:beforeLines="100" w:before="312" w:afterLines="100" w:after="312" w:line="360" w:lineRule="auto"/>
        <w:jc w:val="center"/>
        <w:textAlignment w:val="auto"/>
        <w:outlineLvl w:val="0"/>
        <w:rPr>
          <w:rFonts w:ascii="Times New Roman" w:eastAsia="仿宋" w:cs="Times New Roman" w:hAnsi="Times New Roman"/>
          <w:b/>
          <w:sz w:val="32"/>
          <w:szCs w:val="32"/>
          <w:shd w:val="clear" w:color="auto" w:fill="auto"/>
          <w:highlight w:val="none"/>
        </w:rPr>
        <w:sectPr>
          <w:footerReference w:type="default" r:id="rId6"/>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fmt="upperRoman" w:start="1"/>
          <w:cols w:num="1" w:space="720"/>
          <w:docGrid w:type="lines" w:linePitch="312" w:charSpace="0"/>
        </w:sectPr>
      </w:pPr>
      <w:r>
        <w:rPr>
          <w:rFonts w:ascii="Times New Roman" w:cs="Times New Roman" w:hAnsi="Times New Roman"/>
          <w:b/>
          <w:szCs w:val="21"/>
          <w:highlight w:val="none"/>
        </w:rPr>
        <w:fldChar w:fldCharType="end"/>
      </w:r>
    </w:p>
    <w:p>
      <w:pPr>
        <w:pStyle w:val="1"/>
        <w:numPr>
          <w:ilvl w:val="0"/>
          <w:numId w:val="1"/>
        </w:numPr>
        <w:bidi w:val="0"/>
        <w:ind w:left="425" w:hanging="425"/>
        <w:rPr>
          <w:rFonts w:ascii="Times New Roman" w:cs="Times New Roman" w:hAnsi="Times New Roman"/>
          <w:lang w:val="en-US" w:eastAsia="zh-CN"/>
          <w:highlight w:val="none"/>
        </w:rPr>
      </w:pPr>
      <w:r>
        <w:rPr>
          <w:rFonts w:ascii="Times New Roman" w:cs="Times New Roman" w:hAnsi="Times New Roman"/>
          <w:lang w:val="en-US" w:eastAsia="zh-CN"/>
          <w:highlight w:val="none"/>
        </w:rPr>
        <w:t>总    则</w:t>
      </w:r>
      <w:bookmarkEnd w:id="10"/>
      <w:bookmarkEnd w:id="11"/>
    </w:p>
    <w:p>
      <w:pPr>
        <w:numPr>
          <w:ilvl w:val="0"/>
          <w:numId w:val="2"/>
        </w:numPr>
        <w:spacing w:line="360" w:lineRule="auto"/>
        <w:ind w:left="0" w:firstLine="0"/>
        <w:rPr>
          <w:rFonts w:ascii="Times New Roman" w:eastAsia="宋体" w:cs="Times New Roman" w:hAnsi="Times New Roman"/>
          <w:sz w:val="24"/>
          <w:lang w:val="en-US" w:eastAsia="zh-CN"/>
          <w:highlight w:val="none"/>
        </w:rPr>
      </w:pPr>
      <w:r>
        <w:rPr>
          <w:rFonts w:ascii="Times New Roman" w:eastAsia="宋体" w:cs="Times New Roman" w:hAnsi="Times New Roman"/>
          <w:sz w:val="24"/>
          <w:lang w:val="en-US" w:eastAsia="zh-CN"/>
          <w:highlight w:val="none"/>
        </w:rPr>
        <w:t>为指导和规范数字化管理在建设工程质量检测中的应用，做到技术先进、经济合理和安全可靠，制定本标准。</w:t>
      </w:r>
    </w:p>
    <w:p>
      <w:pPr>
        <w:tabs>
          <w:tab w:val="left" w:pos="0"/>
        </w:tabs>
        <w:spacing w:line="360" w:lineRule="auto"/>
        <w:rPr>
          <w:rFonts w:ascii="Times New Roman" w:eastAsia="宋体" w:cs="Times New Roman" w:hAnsi="Times New Roman"/>
          <w:b w:val="0"/>
          <w:bCs w:val="0"/>
          <w:color w:val="auto"/>
          <w:sz w:val="24"/>
          <w:szCs w:val="24"/>
          <w:shd w:val="clear" w:color="FFFFFF" w:fill="D9D9D9"/>
          <w:lang w:val="en-US" w:eastAsia="zh-CN"/>
          <w:highlight w:val="none"/>
        </w:rPr>
      </w:pPr>
      <w:r>
        <w:rPr>
          <w:rFonts w:ascii="Times New Roman" w:eastAsia="宋体" w:cs="Times New Roman" w:hAnsi="Times New Roman"/>
          <w:b w:val="0"/>
          <w:bCs w:val="0"/>
          <w:color w:val="auto"/>
          <w:sz w:val="24"/>
          <w:szCs w:val="24"/>
          <w:shd w:val="clear" w:color="FFFFFF" w:fill="D9D9D9"/>
          <w:lang w:val="en-US" w:eastAsia="zh-CN"/>
          <w:highlight w:val="none"/>
        </w:rPr>
        <w:t>【条文说明】建设工程质量检测</w:t>
      </w:r>
      <w:r>
        <w:rPr>
          <w:rFonts w:ascii="Times New Roman" w:cs="Times New Roman" w:hAnsi="Times New Roman" w:hint="eastAsia"/>
          <w:b w:val="0"/>
          <w:bCs w:val="0"/>
          <w:color w:val="auto"/>
          <w:sz w:val="24"/>
          <w:szCs w:val="24"/>
          <w:shd w:val="clear" w:color="FFFFFF" w:fill="D9D9D9"/>
          <w:lang w:val="en-US" w:eastAsia="zh-CN"/>
          <w:highlight w:val="none"/>
        </w:rPr>
        <w:t>管理</w:t>
      </w:r>
      <w:r>
        <w:rPr>
          <w:rFonts w:ascii="Times New Roman" w:eastAsia="宋体" w:cs="Times New Roman" w:hAnsi="Times New Roman"/>
          <w:b w:val="0"/>
          <w:bCs w:val="0"/>
          <w:color w:val="auto"/>
          <w:sz w:val="24"/>
          <w:szCs w:val="24"/>
          <w:shd w:val="clear" w:color="FFFFFF" w:fill="D9D9D9"/>
          <w:lang w:val="en-US" w:eastAsia="zh-CN"/>
          <w:highlight w:val="none"/>
        </w:rPr>
        <w:t>是保障建设工程质量、规范检测市场秩序、促进行业健康发展的核心要素。</w:t>
      </w:r>
      <w:r>
        <w:rPr>
          <w:rFonts w:ascii="Times New Roman" w:cs="Times New Roman" w:hAnsi="Times New Roman" w:hint="eastAsia"/>
          <w:b w:val="0"/>
          <w:bCs w:val="0"/>
          <w:color w:val="auto"/>
          <w:sz w:val="24"/>
          <w:szCs w:val="24"/>
          <w:shd w:val="clear" w:color="FFFFFF" w:fill="D9D9D9"/>
          <w:lang w:val="en-US" w:eastAsia="zh-CN"/>
          <w:highlight w:val="none"/>
        </w:rPr>
        <w:t>目前，</w:t>
      </w:r>
      <w:r>
        <w:rPr>
          <w:rFonts w:ascii="Times New Roman" w:eastAsia="宋体" w:cs="Times New Roman" w:hAnsi="Times New Roman"/>
          <w:b w:val="0"/>
          <w:bCs w:val="0"/>
          <w:color w:val="auto"/>
          <w:sz w:val="24"/>
          <w:szCs w:val="24"/>
          <w:shd w:val="clear" w:color="FFFFFF" w:fill="D9D9D9"/>
          <w:lang w:val="en-US" w:eastAsia="zh-CN"/>
          <w:highlight w:val="none"/>
        </w:rPr>
        <w:t>检测机构与监管平台、检测机构与参建各方之间的系统未能形成统一准则，数字化管理的效果与质量参差不齐。因此，针对检测机构数字化管理运作普遍存在的问题，充分吸收国家和广东省法律法规及标准的有关规定与监管需求，结合检测机构</w:t>
      </w:r>
      <w:r>
        <w:rPr>
          <w:rFonts w:ascii="Times New Roman" w:cs="Times New Roman" w:hAnsi="Times New Roman" w:hint="eastAsia"/>
          <w:b w:val="0"/>
          <w:bCs w:val="0"/>
          <w:color w:val="auto"/>
          <w:sz w:val="24"/>
          <w:szCs w:val="24"/>
          <w:shd w:val="clear" w:color="FFFFFF" w:fill="D9D9D9"/>
          <w:lang w:val="en-US" w:eastAsia="zh-CN"/>
          <w:highlight w:val="none"/>
        </w:rPr>
        <w:t>检测过程</w:t>
      </w:r>
      <w:r>
        <w:rPr>
          <w:rFonts w:ascii="Times New Roman" w:eastAsia="宋体" w:cs="Times New Roman" w:hAnsi="Times New Roman"/>
          <w:b w:val="0"/>
          <w:bCs w:val="0"/>
          <w:color w:val="auto"/>
          <w:sz w:val="24"/>
          <w:szCs w:val="24"/>
          <w:shd w:val="clear" w:color="FFFFFF" w:fill="D9D9D9"/>
          <w:lang w:val="en-US" w:eastAsia="zh-CN"/>
          <w:highlight w:val="none"/>
        </w:rPr>
        <w:t>监管平台与管理体系运作系统等的实施情况，制定</w:t>
      </w:r>
      <w:r>
        <w:rPr>
          <w:rFonts w:ascii="Times New Roman" w:cs="Times New Roman" w:hAnsi="Times New Roman" w:hint="eastAsia"/>
          <w:b w:val="0"/>
          <w:bCs w:val="0"/>
          <w:color w:val="auto"/>
          <w:sz w:val="24"/>
          <w:szCs w:val="24"/>
          <w:shd w:val="clear" w:color="FFFFFF" w:fill="D9D9D9"/>
          <w:lang w:val="en-US" w:eastAsia="zh-CN"/>
          <w:highlight w:val="none"/>
        </w:rPr>
        <w:t>了本标准</w:t>
      </w:r>
      <w:r>
        <w:rPr>
          <w:rFonts w:ascii="Times New Roman" w:eastAsia="宋体" w:cs="Times New Roman" w:hAnsi="Times New Roman"/>
          <w:b w:val="0"/>
          <w:bCs w:val="0"/>
          <w:color w:val="auto"/>
          <w:sz w:val="24"/>
          <w:szCs w:val="24"/>
          <w:shd w:val="clear" w:color="FFFFFF" w:fill="D9D9D9"/>
          <w:lang w:val="en-US" w:eastAsia="zh-CN"/>
          <w:highlight w:val="none"/>
        </w:rPr>
        <w:t>。</w:t>
      </w:r>
    </w:p>
    <w:p>
      <w:pPr>
        <w:numPr>
          <w:ilvl w:val="0"/>
          <w:numId w:val="2"/>
        </w:numPr>
        <w:spacing w:line="360" w:lineRule="auto"/>
        <w:ind w:left="0" w:firstLine="0"/>
        <w:rPr>
          <w:rFonts w:ascii="Times New Roman" w:eastAsia="宋体" w:cs="Times New Roman" w:hAnsi="Times New Roman"/>
          <w:sz w:val="24"/>
          <w:lang w:val="en-US" w:eastAsia="zh-CN"/>
          <w:highlight w:val="none"/>
        </w:rPr>
      </w:pPr>
      <w:r>
        <w:rPr>
          <w:rFonts w:ascii="Times New Roman" w:eastAsia="宋体" w:cs="Times New Roman" w:hAnsi="Times New Roman"/>
          <w:sz w:val="24"/>
          <w:lang w:val="en-US" w:eastAsia="zh-CN"/>
          <w:highlight w:val="none"/>
        </w:rPr>
        <w:t>本标准适用于</w:t>
      </w:r>
      <w:r>
        <w:rPr>
          <w:rFonts w:ascii="Times New Roman" w:cs="Times New Roman" w:hAnsi="Times New Roman" w:hint="eastAsia"/>
          <w:sz w:val="24"/>
          <w:lang w:val="en-US" w:eastAsia="zh-CN"/>
          <w:highlight w:val="none"/>
        </w:rPr>
        <w:t>广东省</w:t>
      </w:r>
      <w:r>
        <w:rPr>
          <w:rFonts w:ascii="Times New Roman" w:eastAsia="宋体" w:cs="Times New Roman" w:hAnsi="Times New Roman"/>
          <w:sz w:val="24"/>
          <w:lang w:val="en-US" w:eastAsia="zh-CN"/>
          <w:highlight w:val="none"/>
        </w:rPr>
        <w:t>建设工程质量检测</w:t>
      </w:r>
      <w:r>
        <w:rPr>
          <w:rFonts w:ascii="Times New Roman" w:cs="Times New Roman" w:hAnsi="Times New Roman" w:hint="eastAsia"/>
          <w:sz w:val="24"/>
          <w:lang w:val="en-US" w:eastAsia="zh-CN"/>
          <w:highlight w:val="none"/>
        </w:rPr>
        <w:t>资源、</w:t>
      </w:r>
      <w:r>
        <w:rPr>
          <w:rFonts w:ascii="Times New Roman" w:eastAsia="宋体" w:cs="Times New Roman" w:hAnsi="Times New Roman"/>
          <w:sz w:val="24"/>
          <w:lang w:val="en-US" w:eastAsia="zh-CN"/>
          <w:highlight w:val="none"/>
        </w:rPr>
        <w:t>检测</w:t>
      </w:r>
      <w:r>
        <w:rPr>
          <w:rFonts w:ascii="Times New Roman" w:cs="Times New Roman" w:hAnsi="Times New Roman" w:hint="eastAsia"/>
          <w:sz w:val="24"/>
          <w:lang w:val="en-US" w:eastAsia="zh-CN"/>
          <w:highlight w:val="none"/>
        </w:rPr>
        <w:t>过程与管理体系的</w:t>
      </w:r>
      <w:r>
        <w:rPr>
          <w:rFonts w:ascii="Times New Roman" w:eastAsia="宋体" w:cs="Times New Roman" w:hAnsi="Times New Roman"/>
          <w:sz w:val="24"/>
          <w:lang w:val="en-US" w:eastAsia="zh-CN"/>
          <w:highlight w:val="none"/>
        </w:rPr>
        <w:t>数字化管理。</w:t>
      </w:r>
    </w:p>
    <w:p>
      <w:pPr>
        <w:numPr>
          <w:ilvl w:val="0"/>
          <w:numId w:val="2"/>
        </w:numPr>
        <w:spacing w:line="360" w:lineRule="auto"/>
        <w:ind w:left="0" w:firstLine="0"/>
        <w:rPr>
          <w:rFonts w:ascii="Times New Roman" w:eastAsia="宋体" w:cs="Times New Roman" w:hAnsi="Times New Roman"/>
          <w:sz w:val="28"/>
          <w:szCs w:val="28"/>
          <w:lang w:val="en-US" w:eastAsia="zh-CN"/>
          <w:highlight w:val="none"/>
        </w:rPr>
      </w:pPr>
      <w:r>
        <w:rPr>
          <w:rFonts w:ascii="Times New Roman" w:eastAsia="宋体" w:cs="Times New Roman" w:hAnsi="Times New Roman"/>
          <w:sz w:val="24"/>
          <w:lang w:val="en-US" w:eastAsia="zh-CN"/>
          <w:highlight w:val="none"/>
        </w:rPr>
        <w:t>建设工程质量检测数字化管理除应符合本标准规定外，尚应符合国家、行业和广东省</w:t>
      </w:r>
      <w:r>
        <w:rPr>
          <w:rFonts w:ascii="Times New Roman" w:cs="Times New Roman" w:hAnsi="Times New Roman" w:hint="eastAsia"/>
          <w:sz w:val="24"/>
          <w:lang w:val="en-US" w:eastAsia="zh-CN"/>
          <w:highlight w:val="none"/>
        </w:rPr>
        <w:t>现行</w:t>
      </w:r>
      <w:r>
        <w:rPr>
          <w:rFonts w:ascii="Times New Roman" w:eastAsia="宋体" w:cs="Times New Roman" w:hAnsi="Times New Roman"/>
          <w:sz w:val="24"/>
          <w:lang w:val="en-US" w:eastAsia="zh-CN"/>
          <w:highlight w:val="none"/>
        </w:rPr>
        <w:t>有关标准的规定。</w:t>
      </w:r>
    </w:p>
    <w:p>
      <w:pPr>
        <w:rPr>
          <w:rFonts w:ascii="Times New Roman" w:eastAsia="宋体" w:cs="Times New Roman" w:hAnsi="Times New Roman"/>
          <w:b/>
          <w:bCs/>
          <w:kern w:val="44"/>
          <w:sz w:val="30"/>
          <w:szCs w:val="30"/>
          <w:lang w:val="en-US" w:eastAsia="zh-CN" w:bidi="ar-SA"/>
          <w:highlight w:val="none"/>
        </w:rPr>
      </w:pPr>
      <w:r>
        <w:rPr>
          <w:rFonts w:ascii="Times New Roman" w:eastAsia="宋体" w:cs="Times New Roman" w:hAnsi="Times New Roman"/>
          <w:b/>
          <w:bCs/>
          <w:kern w:val="44"/>
          <w:sz w:val="30"/>
          <w:szCs w:val="30"/>
          <w:lang w:val="en-US" w:eastAsia="zh-CN" w:bidi="ar-SA"/>
          <w:highlight w:val="none"/>
        </w:rPr>
        <w:br w:type="page"/>
      </w:r>
    </w:p>
    <w:p>
      <w:pPr>
        <w:pStyle w:val="1"/>
        <w:numPr>
          <w:ilvl w:val="0"/>
          <w:numId w:val="1"/>
        </w:numPr>
        <w:bidi w:val="0"/>
        <w:ind w:left="425" w:hanging="425"/>
        <w:rPr>
          <w:rFonts w:ascii="Times New Roman" w:cs="Times New Roman" w:hAnsi="Times New Roman"/>
          <w:lang w:val="en-US" w:eastAsia="zh-CN"/>
          <w:highlight w:val="none"/>
        </w:rPr>
      </w:pPr>
      <w:bookmarkStart w:id="12" w:name="_Toc895377520"/>
      <w:bookmarkStart w:id="13" w:name="_Toc2286"/>
      <w:r>
        <w:rPr>
          <w:rFonts w:ascii="Times New Roman" w:cs="Times New Roman" w:hAnsi="Times New Roman"/>
          <w:lang w:val="en-US" w:eastAsia="zh-CN"/>
          <w:highlight w:val="none"/>
        </w:rPr>
        <w:t>术    语</w:t>
      </w:r>
      <w:bookmarkEnd w:id="12"/>
      <w:bookmarkEnd w:id="13"/>
    </w:p>
    <w:p>
      <w:pPr>
        <w:numPr>
          <w:ilvl w:val="0"/>
          <w:numId w:val="3"/>
        </w:numPr>
        <w:spacing w:line="360" w:lineRule="auto"/>
        <w:ind w:left="0" w:firstLine="0"/>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建设工程质量检测  construction engineering quality testing</w:t>
      </w:r>
    </w:p>
    <w:p>
      <w:pPr>
        <w:spacing w:line="360" w:lineRule="auto"/>
        <w:ind w:firstLine="420"/>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在新建、扩建、改建房屋建筑和市政基础设施工程活动中，建设工程质量检测机构接受委托，依据国家有关法律、法规和标准，对建设工程涉及结构安全、主要使用功能的检测项目，进入施工现场的建筑材料、建筑构配件、设备，以及工程实体质量等进行的检测活动。</w:t>
      </w:r>
    </w:p>
    <w:p>
      <w:pPr>
        <w:spacing w:line="360" w:lineRule="auto"/>
        <w:rPr>
          <w:rFonts w:ascii="Times New Roman" w:cs="Times New Roman" w:hAnsi="Times New Roman" w:hint="eastAsia"/>
          <w:color w:val="auto"/>
          <w:sz w:val="24"/>
          <w:szCs w:val="24"/>
          <w:shd w:val="clear" w:color="FFFFFF" w:fill="D9D9D9"/>
          <w:lang w:val="en-US" w:eastAsia="zh-CN"/>
          <w:highlight w:val="none"/>
        </w:rPr>
      </w:pPr>
      <w:r>
        <w:rPr>
          <w:rFonts w:ascii="Times New Roman" w:cs="Times New Roman" w:hAnsi="Times New Roman" w:hint="eastAsia"/>
          <w:color w:val="auto"/>
          <w:sz w:val="24"/>
          <w:szCs w:val="24"/>
          <w:shd w:val="clear" w:color="FFFFFF" w:fill="D9D9D9"/>
          <w:lang w:val="en-US" w:eastAsia="zh-CN"/>
          <w:highlight w:val="none"/>
        </w:rPr>
        <w:t>【参考引用】57号令原文。</w:t>
      </w:r>
    </w:p>
    <w:p>
      <w:pPr>
        <w:spacing w:line="360" w:lineRule="auto"/>
        <w:rPr>
          <w:rFonts w:ascii="黑体" w:eastAsia="黑体" w:cs="黑体" w:hAnsi="黑体" w:hint="eastAsia"/>
          <w:b/>
          <w:bCs/>
          <w:color w:val="auto"/>
          <w:sz w:val="24"/>
          <w:szCs w:val="24"/>
          <w:shd w:val="clear" w:color="FFFFFF" w:fill="D9D9D9"/>
          <w:lang w:val="en-US" w:eastAsia="zh-CN"/>
          <w:highlight w:val="none"/>
        </w:rPr>
      </w:pPr>
      <w:r>
        <w:rPr>
          <w:rFonts w:ascii="黑体" w:eastAsia="黑体" w:cs="黑体" w:hAnsi="黑体" w:hint="eastAsia"/>
          <w:b/>
          <w:bCs/>
          <w:color w:val="auto"/>
          <w:sz w:val="24"/>
          <w:szCs w:val="24"/>
          <w:shd w:val="clear" w:color="FFFFFF" w:fill="D9D9D9"/>
          <w:lang w:val="en-US" w:eastAsia="zh-CN"/>
          <w:highlight w:val="none"/>
        </w:rPr>
        <w:t>注：【参考引用】仅限于标准编制过程中技术交流与参考资料出处说明，正式稿删除，不作为条文说明。</w:t>
      </w:r>
    </w:p>
    <w:p>
      <w:pPr>
        <w:numPr>
          <w:ilvl w:val="0"/>
          <w:numId w:val="3"/>
        </w:numPr>
        <w:spacing w:line="360" w:lineRule="auto"/>
        <w:ind w:left="0" w:firstLine="0"/>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 xml:space="preserve">数字化管理  </w:t>
      </w:r>
      <w:r>
        <w:rPr>
          <w:rFonts w:ascii="Times New Roman" w:cs="Times New Roman" w:hAnsi="Times New Roman" w:hint="eastAsia"/>
          <w:color w:val="auto"/>
          <w:sz w:val="24"/>
          <w:szCs w:val="24"/>
          <w:lang w:val="en-US" w:eastAsia="zh-CN"/>
          <w:highlight w:val="none"/>
        </w:rPr>
        <w:t xml:space="preserve">digitized </w:t>
      </w:r>
      <w:r>
        <w:rPr>
          <w:rFonts w:ascii="Times New Roman" w:eastAsia="宋体" w:cs="Times New Roman" w:hAnsi="Times New Roman"/>
          <w:color w:val="auto"/>
          <w:sz w:val="24"/>
          <w:szCs w:val="24"/>
          <w:lang w:val="en-US" w:eastAsia="zh-CN"/>
          <w:highlight w:val="none"/>
        </w:rPr>
        <w:t>management</w:t>
      </w:r>
    </w:p>
    <w:p>
      <w:pPr>
        <w:keepNext w:val="0"/>
        <w:keepLines w:val="0"/>
        <w:pageBreakBefore w:val="0"/>
        <w:widowControl w:val="0"/>
        <w:kinsoku/>
        <w:wordWrap/>
        <w:overflowPunct/>
        <w:topLinePunct w:val="0"/>
        <w:autoSpaceDE/>
        <w:autoSpaceDN/>
        <w:bidi w:val="0"/>
        <w:adjustRightInd/>
        <w:snapToGrid/>
        <w:spacing w:before="0" w:after="0" w:line="360" w:lineRule="auto"/>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color w:val="auto"/>
          <w:sz w:val="24"/>
          <w:szCs w:val="24"/>
          <w:lang w:val="en-US" w:eastAsia="zh-CN"/>
          <w:highlight w:val="none"/>
        </w:rPr>
        <w:t>利用</w:t>
      </w:r>
      <w:r>
        <w:rPr>
          <w:rFonts w:ascii="Times New Roman" w:eastAsia="宋体" w:cs="Times New Roman" w:hAnsi="Times New Roman" w:hint="eastAsia"/>
          <w:color w:val="auto"/>
          <w:sz w:val="24"/>
          <w:szCs w:val="24"/>
          <w:lang w:val="en-US" w:eastAsia="zh-CN"/>
          <w:highlight w:val="none"/>
        </w:rPr>
        <w:t>数字化技术</w:t>
      </w:r>
      <w:r>
        <w:rPr>
          <w:rFonts w:ascii="Times New Roman" w:cs="Times New Roman" w:hAnsi="Times New Roman" w:hint="eastAsia"/>
          <w:color w:val="auto"/>
          <w:sz w:val="24"/>
          <w:szCs w:val="24"/>
          <w:lang w:val="en-US" w:eastAsia="zh-CN"/>
          <w:highlight w:val="none"/>
        </w:rPr>
        <w:t>，</w:t>
      </w:r>
      <w:r>
        <w:rPr>
          <w:rFonts w:ascii="Times New Roman" w:cs="Times New Roman" w:hAnsi="Times New Roman"/>
          <w:color w:val="auto"/>
          <w:sz w:val="24"/>
          <w:szCs w:val="24"/>
          <w:lang w:val="en-US" w:eastAsia="zh-CN"/>
          <w:highlight w:val="none"/>
        </w:rPr>
        <w:t>对</w:t>
      </w:r>
      <w:r>
        <w:rPr>
          <w:rFonts w:ascii="Times New Roman" w:cs="Times New Roman" w:hAnsi="Times New Roman" w:hint="eastAsia"/>
          <w:color w:val="auto"/>
          <w:sz w:val="24"/>
          <w:szCs w:val="24"/>
          <w:lang w:val="en-US" w:eastAsia="zh-CN"/>
          <w:highlight w:val="none"/>
        </w:rPr>
        <w:t>检测活动中的数据</w:t>
      </w:r>
      <w:r>
        <w:rPr>
          <w:rFonts w:ascii="Times New Roman" w:cs="Times New Roman" w:hAnsi="Times New Roman"/>
          <w:color w:val="auto"/>
          <w:sz w:val="24"/>
          <w:szCs w:val="24"/>
          <w:lang w:val="en-US" w:eastAsia="zh-CN"/>
          <w:highlight w:val="none"/>
        </w:rPr>
        <w:t>进行</w:t>
      </w:r>
      <w:r>
        <w:rPr>
          <w:rFonts w:ascii="Times New Roman" w:cs="Times New Roman" w:hAnsi="Times New Roman" w:hint="eastAsia"/>
          <w:color w:val="auto"/>
          <w:sz w:val="24"/>
          <w:szCs w:val="24"/>
          <w:lang w:val="en-US" w:eastAsia="zh-CN"/>
          <w:highlight w:val="none"/>
        </w:rPr>
        <w:t>采集</w:t>
      </w:r>
      <w:r>
        <w:rPr>
          <w:rFonts w:ascii="Times New Roman" w:cs="Times New Roman" w:hAnsi="Times New Roman"/>
          <w:color w:val="auto"/>
          <w:sz w:val="24"/>
          <w:szCs w:val="24"/>
          <w:lang w:val="en-US" w:eastAsia="zh-CN"/>
          <w:highlight w:val="none"/>
        </w:rPr>
        <w:t>、分析和应用</w:t>
      </w:r>
      <w:r>
        <w:rPr>
          <w:rFonts w:ascii="Times New Roman" w:cs="Times New Roman" w:hAnsi="Times New Roman" w:hint="eastAsia"/>
          <w:color w:val="auto"/>
          <w:sz w:val="24"/>
          <w:szCs w:val="24"/>
          <w:lang w:val="en-US" w:eastAsia="zh-CN"/>
          <w:highlight w:val="none"/>
        </w:rPr>
        <w:t>的过程</w:t>
      </w:r>
      <w:r>
        <w:rPr>
          <w:rFonts w:ascii="Times New Roman" w:cs="Times New Roman" w:hAnsi="Times New Roman"/>
          <w:color w:val="auto"/>
          <w:sz w:val="24"/>
          <w:szCs w:val="24"/>
          <w:lang w:val="en-US" w:eastAsia="zh-CN"/>
          <w:highlight w:val="none"/>
        </w:rPr>
        <w:t>。</w:t>
      </w:r>
    </w:p>
    <w:p>
      <w:pPr>
        <w:tabs>
          <w:tab w:val="left" w:pos="0"/>
        </w:tabs>
        <w:spacing w:line="360" w:lineRule="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shd w:val="clear" w:color="FFFFFF" w:fill="D9D9D9"/>
          <w:lang w:val="en-US" w:eastAsia="zh-CN"/>
          <w:highlight w:val="none"/>
        </w:rPr>
        <w:t>【条文说明】数字化技术根据核心功能和应用逻辑可分为数据采集与感知技术、数据存储与处理技术、网络与通信技术、人工智能与分析技术四大类技术，数据采集与感知技术包括传感器技术、物联网（IoT）终端技术和图像采集技术等，数据存储与处理技术包括数据存储技术、建筑信息模型（BIM）技术、云计算技术和边缘计算技术等，网络与通信技术包括宽带网络技术、无线网络技术、网络安全技术和身份认证技术等，人工智能与分析技术包括大数据分析技术、图像与识别技术、人工智能（AI）技术和自动化技术等。</w:t>
      </w:r>
    </w:p>
    <w:p>
      <w:pPr>
        <w:numPr>
          <w:ilvl w:val="0"/>
          <w:numId w:val="3"/>
        </w:numPr>
        <w:spacing w:line="360" w:lineRule="auto"/>
        <w:ind w:left="0" w:firstLine="0"/>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建设工程质量检测机构</w:t>
      </w:r>
      <w:r>
        <w:rPr>
          <w:rFonts w:ascii="Times New Roman" w:cs="Times New Roman" w:hAnsi="Times New Roman" w:hint="eastAsia"/>
          <w:color w:val="auto"/>
          <w:sz w:val="24"/>
          <w:szCs w:val="24"/>
          <w:lang w:val="en-US" w:eastAsia="zh-CN"/>
          <w:highlight w:val="none"/>
        </w:rPr>
        <w:t xml:space="preserve"> </w:t>
      </w:r>
      <w:r>
        <w:rPr>
          <w:rFonts w:ascii="Times New Roman" w:eastAsia="宋体" w:cs="Times New Roman" w:hAnsi="Times New Roman"/>
          <w:color w:val="auto"/>
          <w:sz w:val="24"/>
          <w:szCs w:val="24"/>
          <w:lang w:val="en-US" w:eastAsia="zh-CN"/>
          <w:highlight w:val="none"/>
        </w:rPr>
        <w:t xml:space="preserve"> testing </w:t>
      </w:r>
      <w:r>
        <w:rPr>
          <w:rFonts w:ascii="Times New Roman" w:cs="Times New Roman" w:hAnsi="Times New Roman" w:hint="eastAsia"/>
          <w:color w:val="auto"/>
          <w:sz w:val="24"/>
          <w:szCs w:val="24"/>
          <w:lang w:val="en-US" w:eastAsia="zh-CN"/>
          <w:highlight w:val="none"/>
        </w:rPr>
        <w:t>entity for</w:t>
      </w:r>
      <w:r>
        <w:rPr>
          <w:rFonts w:ascii="Times New Roman" w:eastAsia="宋体" w:cs="Times New Roman" w:hAnsi="Times New Roman"/>
          <w:color w:val="auto"/>
          <w:sz w:val="24"/>
          <w:szCs w:val="24"/>
          <w:lang w:val="en-US" w:eastAsia="zh-CN"/>
          <w:highlight w:val="none"/>
        </w:rPr>
        <w:t xml:space="preserve"> quality of construction engineering</w:t>
      </w:r>
    </w:p>
    <w:p>
      <w:pPr>
        <w:spacing w:line="360" w:lineRule="auto"/>
        <w:ind w:firstLine="420"/>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具有法人资格，并取得相应资质</w:t>
      </w:r>
      <w:r>
        <w:rPr>
          <w:rFonts w:ascii="Times New Roman" w:cs="Times New Roman" w:hAnsi="Times New Roman" w:hint="eastAsia"/>
          <w:color w:val="auto"/>
          <w:sz w:val="24"/>
          <w:szCs w:val="24"/>
          <w:lang w:val="en-US" w:eastAsia="zh-CN"/>
          <w:highlight w:val="none"/>
        </w:rPr>
        <w:t>，</w:t>
      </w:r>
      <w:r>
        <w:rPr>
          <w:rFonts w:ascii="Times New Roman" w:eastAsia="宋体" w:cs="Times New Roman" w:hAnsi="Times New Roman"/>
          <w:color w:val="auto"/>
          <w:sz w:val="24"/>
          <w:szCs w:val="24"/>
          <w:lang w:val="en-US" w:eastAsia="zh-CN"/>
          <w:highlight w:val="none"/>
        </w:rPr>
        <w:t>对社会出具工程质量检测数据或检测结论的机构。</w:t>
      </w:r>
    </w:p>
    <w:p>
      <w:pPr>
        <w:spacing w:line="360" w:lineRule="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shd w:val="clear" w:color="FFFFFF" w:fill="D9D9D9"/>
          <w:lang w:val="en-US" w:eastAsia="zh-CN"/>
          <w:highlight w:val="none"/>
        </w:rPr>
        <w:t>【参考引用】GB 50618-2011。</w:t>
      </w:r>
    </w:p>
    <w:p>
      <w:pPr>
        <w:numPr>
          <w:ilvl w:val="0"/>
          <w:numId w:val="3"/>
        </w:numPr>
        <w:spacing w:line="360" w:lineRule="auto"/>
        <w:ind w:left="0" w:firstLine="0"/>
        <w:rPr>
          <w:rFonts w:ascii="Times New Roman" w:hAnsi="Times New Roman"/>
          <w:color w:val="auto"/>
          <w:highlight w:val="none"/>
        </w:rPr>
      </w:pPr>
      <w:r>
        <w:rPr>
          <w:rFonts w:ascii="Times New Roman" w:hAnsi="Times New Roman"/>
          <w:color w:val="auto"/>
          <w:highlight w:val="none"/>
        </w:rPr>
        <w:t>检测人员 testing personnel</w:t>
      </w:r>
    </w:p>
    <w:p>
      <w:pPr>
        <w:tabs>
          <w:tab w:val="left" w:pos="0"/>
        </w:tabs>
        <w:spacing w:line="360" w:lineRule="auto"/>
        <w:ind w:left="0" w:firstLineChars="200" w:firstLine="480"/>
        <w:rPr>
          <w:rFonts w:ascii="Times New Roman" w:hAnsi="Times New Roman"/>
          <w:color w:val="auto"/>
          <w:highlight w:val="none"/>
        </w:rPr>
      </w:pPr>
      <w:r>
        <w:rPr>
          <w:rFonts w:ascii="Times New Roman" w:hAnsi="Times New Roman"/>
          <w:color w:val="auto"/>
          <w:highlight w:val="none"/>
        </w:rPr>
        <w:t>具备工程质量检测知识和专业能力，从事建设工程质量检测技术管理和检测操作人员的总称。</w:t>
      </w:r>
    </w:p>
    <w:p>
      <w:pPr>
        <w:spacing w:line="360" w:lineRule="auto"/>
        <w:ind w:left="0" w:firstLine="0"/>
        <w:rPr>
          <w:rFonts w:ascii="Times New Roman" w:cs="Times New Roman" w:hAnsi="Times New Roman" w:hint="eastAsia"/>
          <w:color w:val="auto"/>
          <w:sz w:val="24"/>
          <w:szCs w:val="24"/>
          <w:shd w:val="clear" w:color="FFFFFF" w:fill="D9D9D9"/>
          <w:lang w:val="en-US" w:eastAsia="zh-CN"/>
          <w:highlight w:val="none"/>
        </w:rPr>
      </w:pPr>
      <w:r>
        <w:rPr>
          <w:rFonts w:ascii="Times New Roman" w:cs="Times New Roman" w:hAnsi="Times New Roman" w:hint="eastAsia"/>
          <w:color w:val="auto"/>
          <w:sz w:val="24"/>
          <w:szCs w:val="24"/>
          <w:shd w:val="clear" w:color="FFFFFF" w:fill="D9D9D9"/>
          <w:lang w:val="en-US" w:eastAsia="zh-CN"/>
          <w:highlight w:val="none"/>
        </w:rPr>
        <w:t>【参考引用】建设工程质量检测管理标准（征求意见稿）。</w:t>
      </w:r>
    </w:p>
    <w:p>
      <w:pPr>
        <w:numPr>
          <w:ilvl w:val="0"/>
          <w:numId w:val="3"/>
        </w:numPr>
        <w:spacing w:line="360" w:lineRule="auto"/>
        <w:ind w:left="0" w:firstLine="0"/>
        <w:rPr>
          <w:rFonts w:ascii="Times New Roman" w:eastAsia="宋体" w:cs="Times New Roman" w:hAnsi="Times New Roman" w:hint="eastAsia"/>
          <w:color w:val="auto"/>
          <w:sz w:val="24"/>
          <w:szCs w:val="24"/>
          <w:lang w:val="en-US" w:eastAsia="zh-CN"/>
          <w:highlight w:val="none"/>
        </w:rPr>
      </w:pPr>
      <w:r>
        <w:rPr>
          <w:rFonts w:ascii="Times New Roman" w:eastAsia="宋体" w:cs="Times New Roman" w:hAnsi="Times New Roman" w:hint="eastAsia"/>
          <w:color w:val="auto"/>
          <w:sz w:val="24"/>
          <w:szCs w:val="24"/>
          <w:lang w:val="en-US" w:eastAsia="zh-CN"/>
          <w:highlight w:val="none"/>
        </w:rPr>
        <w:t>可追溯</w:t>
      </w:r>
      <w:r>
        <w:rPr>
          <w:rFonts w:ascii="Times New Roman" w:cs="Times New Roman" w:hAnsi="Times New Roman" w:hint="eastAsia"/>
          <w:color w:val="auto"/>
          <w:sz w:val="24"/>
          <w:szCs w:val="24"/>
          <w:lang w:val="en-US" w:eastAsia="zh-CN"/>
          <w:highlight w:val="none"/>
        </w:rPr>
        <w:t xml:space="preserve">  </w:t>
      </w:r>
      <w:r>
        <w:rPr>
          <w:rFonts w:ascii="Times New Roman" w:eastAsia="宋体" w:cs="Times New Roman" w:hAnsi="Times New Roman" w:hint="eastAsia"/>
          <w:color w:val="auto"/>
          <w:sz w:val="24"/>
          <w:szCs w:val="24"/>
          <w:lang w:val="en-US" w:eastAsia="zh-CN"/>
          <w:highlight w:val="none"/>
        </w:rPr>
        <w:t>traceability</w:t>
      </w:r>
    </w:p>
    <w:p>
      <w:pPr>
        <w:keepNext w:val="0"/>
        <w:keepLines w:val="0"/>
        <w:pageBreakBefore w:val="0"/>
        <w:widowControl w:val="0"/>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追踪检测全流程中工程部位、样品/检测位置、人员、设备、设施和环境、方法、原始数据及检测报告等要素的来源、流向、状态及交互关系，实现检测过程可还原、数据可查询、责任可界定的能力。</w:t>
      </w:r>
    </w:p>
    <w:p>
      <w:pPr>
        <w:rPr>
          <w:rFonts w:ascii="Times New Roman" w:eastAsia="宋体" w:cs="Times New Roman" w:hAnsi="Times New Roman"/>
          <w:b/>
          <w:bCs/>
          <w:kern w:val="44"/>
          <w:sz w:val="30"/>
          <w:szCs w:val="30"/>
          <w:lang w:val="en-US" w:eastAsia="zh-CN" w:bidi="ar-SA"/>
          <w:highlight w:val="none"/>
        </w:rPr>
      </w:pPr>
      <w:r>
        <w:rPr>
          <w:rFonts w:ascii="Times New Roman" w:eastAsia="宋体" w:cs="Times New Roman" w:hAnsi="Times New Roman"/>
          <w:b/>
          <w:bCs/>
          <w:kern w:val="44"/>
          <w:sz w:val="30"/>
          <w:szCs w:val="30"/>
          <w:lang w:val="en-US" w:eastAsia="zh-CN" w:bidi="ar-SA"/>
          <w:highlight w:val="none"/>
        </w:rPr>
        <w:br w:type="page"/>
      </w:r>
    </w:p>
    <w:p>
      <w:pPr>
        <w:pStyle w:val="1"/>
        <w:numPr>
          <w:ilvl w:val="0"/>
          <w:numId w:val="1"/>
        </w:numPr>
        <w:bidi w:val="0"/>
        <w:ind w:left="425" w:hanging="425"/>
        <w:rPr>
          <w:rFonts w:ascii="Times New Roman" w:cs="Times New Roman" w:hAnsi="Times New Roman"/>
          <w:lang w:val="en-US" w:eastAsia="zh-CN"/>
          <w:highlight w:val="none"/>
        </w:rPr>
      </w:pPr>
      <w:bookmarkStart w:id="14" w:name="_Toc3534"/>
      <w:bookmarkStart w:id="15" w:name="_Toc1192064111"/>
      <w:r>
        <w:rPr>
          <w:rFonts w:ascii="Times New Roman" w:cs="Times New Roman" w:hAnsi="Times New Roman"/>
          <w:lang w:val="en-US" w:eastAsia="zh-CN"/>
          <w:highlight w:val="none"/>
        </w:rPr>
        <w:t>基本规定</w:t>
      </w:r>
      <w:bookmarkEnd w:id="14"/>
      <w:bookmarkEnd w:id="15"/>
    </w:p>
    <w:p>
      <w:pPr>
        <w:numPr>
          <w:ilvl w:val="0"/>
          <w:numId w:val="4"/>
        </w:numPr>
        <w:spacing w:line="360" w:lineRule="auto"/>
        <w:rPr>
          <w:rFonts w:ascii="Times New Roman" w:eastAsia="宋体" w:cs="Times New Roman" w:hAnsi="Times New Roman"/>
          <w:b w:val="0"/>
          <w:bCs w:val="0"/>
          <w:color w:val="auto"/>
          <w:sz w:val="24"/>
          <w:szCs w:val="24"/>
          <w:lang w:val="en-US" w:eastAsia="zh-CN"/>
          <w:highlight w:val="none"/>
        </w:rPr>
      </w:pPr>
      <w:r>
        <w:rPr>
          <w:rFonts w:ascii="Times New Roman" w:eastAsia="宋体" w:cs="Times New Roman" w:hAnsi="Times New Roman"/>
          <w:sz w:val="24"/>
          <w:u w:val="none"/>
          <w:shd w:val="clear" w:color="auto" w:fill="auto"/>
          <w:lang w:val="en-US" w:eastAsia="zh-CN"/>
          <w:highlight w:val="none"/>
        </w:rPr>
        <w:t>建设工程质量检测数字化管理</w:t>
      </w:r>
      <w:r>
        <w:rPr>
          <w:rFonts w:ascii="Times New Roman" w:cs="Times New Roman" w:hAnsi="Times New Roman"/>
          <w:sz w:val="24"/>
          <w:u w:val="none"/>
          <w:shd w:val="clear" w:color="auto" w:fill="auto"/>
          <w:lang w:val="en-US" w:eastAsia="zh-CN"/>
          <w:highlight w:val="none"/>
        </w:rPr>
        <w:t>应</w:t>
      </w:r>
      <w:r>
        <w:rPr>
          <w:rFonts w:ascii="Times New Roman" w:cs="Times New Roman" w:hAnsi="Times New Roman" w:hint="eastAsia"/>
          <w:color w:val="auto"/>
          <w:sz w:val="24"/>
          <w:szCs w:val="24"/>
          <w:lang w:val="en-US" w:eastAsia="zh-CN"/>
          <w:highlight w:val="none"/>
        </w:rPr>
        <w:t>遵循真实完整、安全可靠、可追溯性、互联互通、协同共享、高效智能、持续改进和</w:t>
      </w:r>
      <w:r>
        <w:rPr>
          <w:rFonts w:hint="eastAsia"/>
          <w:sz w:val="24"/>
          <w:szCs w:val="32"/>
          <w:highlight w:val="none"/>
        </w:rPr>
        <w:t>绿色低碳</w:t>
      </w:r>
      <w:r>
        <w:rPr>
          <w:rFonts w:ascii="Times New Roman" w:cs="Times New Roman" w:hAnsi="Times New Roman" w:hint="eastAsia"/>
          <w:color w:val="auto"/>
          <w:sz w:val="24"/>
          <w:szCs w:val="24"/>
          <w:lang w:val="en-US" w:eastAsia="zh-CN"/>
          <w:highlight w:val="none"/>
        </w:rPr>
        <w:t>的基本原则</w:t>
      </w:r>
      <w:r>
        <w:rPr>
          <w:rFonts w:ascii="Times New Roman" w:cs="Times New Roman" w:hAnsi="Times New Roman" w:hint="eastAsia"/>
          <w:sz w:val="24"/>
          <w:u w:val="none"/>
          <w:shd w:val="clear" w:color="auto" w:fill="auto"/>
          <w:lang w:val="en-US" w:eastAsia="zh-CN"/>
          <w:highlight w:val="none"/>
        </w:rPr>
        <w:t>。</w:t>
      </w:r>
    </w:p>
    <w:p>
      <w:pPr>
        <w:tabs>
          <w:tab w:val="left" w:pos="0"/>
        </w:tabs>
        <w:spacing w:line="360" w:lineRule="auto"/>
        <w:rPr>
          <w:rFonts w:ascii="Times New Roman" w:cs="Times New Roman" w:hAnsi="Times New Roman" w:hint="eastAsia"/>
          <w:sz w:val="24"/>
          <w:u w:val="none"/>
          <w:shd w:val="clear" w:color="FFFFFF" w:fill="D9D9D9"/>
          <w:lang w:val="en-US" w:eastAsia="zh-CN"/>
          <w:highlight w:val="none"/>
        </w:rPr>
      </w:pPr>
      <w:r>
        <w:rPr>
          <w:rFonts w:ascii="Times New Roman" w:cs="Times New Roman" w:hAnsi="Times New Roman" w:hint="eastAsia"/>
          <w:sz w:val="24"/>
          <w:u w:val="none"/>
          <w:shd w:val="clear" w:color="FFFFFF" w:fill="D9D9D9"/>
          <w:lang w:val="en-US" w:eastAsia="zh-CN"/>
          <w:highlight w:val="none"/>
        </w:rPr>
        <w:t>【条文说明】本条规定了建设工程质量检测数字化管理基本原则，主要体现在：</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真实完整</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检测数据从生成到归档全程保持原始、准确、无缺失，通过技术手段防止篡改，确保数据处于初始真实状态且内容完备。</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安全可靠</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数字化管理系统具备健全的防护机制，保障数据保密、完整、可用，抵御未授权访问及泄露风险，确保服务持续稳定不中断。</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可追溯</w:t>
      </w:r>
      <w:r>
        <w:rPr>
          <w:rFonts w:ascii="Times New Roman" w:cs="Times New Roman" w:hAnsi="Times New Roman" w:hint="eastAsia"/>
          <w:b w:val="0"/>
          <w:bCs w:val="0"/>
          <w:color w:val="auto"/>
          <w:sz w:val="24"/>
          <w:szCs w:val="24"/>
          <w:shd w:val="clear" w:color="FFFFFF" w:fill="D9D9D9"/>
          <w:lang w:val="en-US" w:eastAsia="zh-CN"/>
          <w:highlight w:val="none"/>
        </w:rPr>
        <w:t>性：</w:t>
      </w:r>
      <w:r>
        <w:rPr>
          <w:rFonts w:ascii="Times New Roman" w:cs="Times New Roman" w:hAnsi="Times New Roman"/>
          <w:b w:val="0"/>
          <w:bCs w:val="0"/>
          <w:color w:val="auto"/>
          <w:sz w:val="24"/>
          <w:szCs w:val="24"/>
          <w:shd w:val="clear" w:color="FFFFFF" w:fill="D9D9D9"/>
          <w:lang w:val="en-US" w:eastAsia="zh-CN"/>
          <w:highlight w:val="none"/>
        </w:rPr>
        <w:t>利用二维码、区块链、数字签名等技术，建立人、机、样、数、报告间的关联链条，实现检测全过程可还原、可查询、可追责。</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互联互通</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数字化管理系统支持内部模块数据无缝对接，并能与外部监管平台及其他业务系统进行规范、顺畅的数据交换和集成。</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协同共享</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通过统一数字化</w:t>
      </w:r>
      <w:r>
        <w:rPr>
          <w:rFonts w:ascii="Times New Roman" w:cs="Times New Roman" w:hAnsi="Times New Roman" w:hint="eastAsia"/>
          <w:b w:val="0"/>
          <w:bCs w:val="0"/>
          <w:color w:val="auto"/>
          <w:sz w:val="24"/>
          <w:szCs w:val="24"/>
          <w:shd w:val="clear" w:color="FFFFFF" w:fill="D9D9D9"/>
          <w:lang w:val="en-US" w:eastAsia="zh-CN"/>
          <w:highlight w:val="none"/>
        </w:rPr>
        <w:t>管理系统</w:t>
      </w:r>
      <w:r>
        <w:rPr>
          <w:rFonts w:ascii="Times New Roman" w:cs="Times New Roman" w:hAnsi="Times New Roman"/>
          <w:b w:val="0"/>
          <w:bCs w:val="0"/>
          <w:color w:val="auto"/>
          <w:sz w:val="24"/>
          <w:szCs w:val="24"/>
          <w:shd w:val="clear" w:color="FFFFFF" w:fill="D9D9D9"/>
          <w:lang w:val="en-US" w:eastAsia="zh-CN"/>
          <w:highlight w:val="none"/>
        </w:rPr>
        <w:t>，实现建设、施工、监理、检测等多方在线协作、信息互通与过程同步，提升整体工作效率。</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持续改进</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通过成熟度评估等机制定期衡量数字化管理效果，并依据结果持续优化数字化管理系统和业务流程。</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高效智能</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运用人工智能、大数据、物联网等技术实现数据自动采集、智能分析和辅助决策，提升检测自动化水平和资源利用效能。</w:t>
      </w:r>
    </w:p>
    <w:p>
      <w:pPr>
        <w:keepNext w:val="0"/>
        <w:keepLines w:val="0"/>
        <w:pageBreakBefore w:val="0"/>
        <w:widowControl w:val="0"/>
        <w:numPr>
          <w:ilvl w:val="0"/>
          <w:numId w:val="5"/>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hint="eastAsia"/>
          <w:b w:val="0"/>
          <w:bCs w:val="0"/>
          <w:color w:val="auto"/>
          <w:sz w:val="24"/>
          <w:szCs w:val="24"/>
          <w:shd w:val="clear" w:color="FFFFFF" w:fill="D9D9D9"/>
          <w:lang w:val="en-US" w:eastAsia="zh-CN"/>
          <w:highlight w:val="none"/>
        </w:rPr>
        <w:t>绿色低碳：通过原始记录与检测报告的无纸化管理和业务流程线上管理，降低能源消耗，符合国家双碳战略。</w:t>
      </w:r>
    </w:p>
    <w:p>
      <w:pPr>
        <w:keepNext w:val="0"/>
        <w:keepLines w:val="0"/>
        <w:pageBreakBefore w:val="0"/>
        <w:widowControl/>
        <w:numPr>
          <w:ilvl w:val="0"/>
          <w:numId w:val="4"/>
        </w:numPr>
        <w:kinsoku/>
        <w:wordWrap/>
        <w:overflowPunct/>
        <w:topLinePunct w:val="0"/>
        <w:autoSpaceDE/>
        <w:autoSpaceDN/>
        <w:bidi w:val="0"/>
        <w:adjustRightInd/>
        <w:snapToGrid/>
        <w:spacing w:before="0" w:after="0" w:line="360" w:lineRule="auto"/>
        <w:ind w:left="0" w:firstLine="0"/>
        <w:textAlignment w:val="auto"/>
        <w:rPr>
          <w:rFonts w:ascii="Times New Roman" w:cs="Times New Roman" w:hAnsi="Times New Roman"/>
          <w:sz w:val="24"/>
          <w:u w:val="none"/>
          <w:shd w:val="clear" w:color="auto" w:fill="auto"/>
          <w:lang w:val="en-US" w:eastAsia="zh-CN"/>
          <w:highlight w:val="none"/>
        </w:rPr>
      </w:pPr>
      <w:r>
        <w:rPr>
          <w:rFonts w:ascii="Times New Roman" w:eastAsia="宋体" w:cs="Times New Roman" w:hAnsi="Times New Roman"/>
          <w:sz w:val="24"/>
          <w:u w:val="none"/>
          <w:shd w:val="clear" w:color="auto" w:fill="auto"/>
          <w:lang w:val="en-US" w:eastAsia="zh-CN"/>
          <w:highlight w:val="none"/>
        </w:rPr>
        <w:t>建设工程质量检测数字化管理应</w:t>
      </w:r>
      <w:r>
        <w:rPr>
          <w:rFonts w:ascii="Times New Roman" w:cs="Times New Roman" w:hAnsi="Times New Roman" w:hint="eastAsia"/>
          <w:sz w:val="24"/>
          <w:u w:val="none"/>
          <w:shd w:val="clear" w:color="auto" w:fill="auto"/>
          <w:lang w:val="en-US" w:eastAsia="zh-CN"/>
          <w:highlight w:val="none"/>
        </w:rPr>
        <w:t>覆盖</w:t>
      </w:r>
      <w:r>
        <w:rPr>
          <w:rFonts w:ascii="Times New Roman" w:eastAsia="宋体" w:cs="Times New Roman" w:hAnsi="Times New Roman"/>
          <w:sz w:val="24"/>
          <w:u w:val="none"/>
          <w:shd w:val="clear" w:color="auto" w:fill="auto"/>
          <w:lang w:val="en-US" w:eastAsia="zh-CN"/>
          <w:highlight w:val="none"/>
        </w:rPr>
        <w:t>资源、过程</w:t>
      </w:r>
      <w:r>
        <w:rPr>
          <w:rFonts w:ascii="Times New Roman" w:cs="Times New Roman" w:hAnsi="Times New Roman" w:hint="eastAsia"/>
          <w:sz w:val="24"/>
          <w:u w:val="none"/>
          <w:shd w:val="clear" w:color="auto" w:fill="auto"/>
          <w:lang w:val="en-US" w:eastAsia="zh-CN"/>
          <w:highlight w:val="none"/>
        </w:rPr>
        <w:t>、</w:t>
      </w:r>
      <w:r>
        <w:rPr>
          <w:rFonts w:ascii="Times New Roman" w:eastAsia="宋体" w:cs="Times New Roman" w:hAnsi="Times New Roman"/>
          <w:sz w:val="24"/>
          <w:u w:val="none"/>
          <w:shd w:val="clear" w:color="auto" w:fill="auto"/>
          <w:lang w:val="en-US" w:eastAsia="zh-CN"/>
          <w:highlight w:val="none"/>
        </w:rPr>
        <w:t>管理体系</w:t>
      </w:r>
      <w:r>
        <w:rPr>
          <w:rFonts w:ascii="Times New Roman" w:cs="Times New Roman" w:hAnsi="Times New Roman" w:hint="eastAsia"/>
          <w:sz w:val="24"/>
          <w:u w:val="none"/>
          <w:shd w:val="clear" w:color="auto" w:fill="auto"/>
          <w:lang w:val="en-US" w:eastAsia="zh-CN"/>
          <w:highlight w:val="none"/>
        </w:rPr>
        <w:t>和项目管理所有环节，各环节的数字化管理应包括管理流程的建立和规范、数据采集、数据分析及数据应用。</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管理流程的建立和规范应符合下列规定：</w:t>
      </w:r>
    </w:p>
    <w:p>
      <w:pPr>
        <w:keepNext w:val="0"/>
        <w:keepLines w:val="0"/>
        <w:pageBreakBefore w:val="0"/>
        <w:widowControl w:val="0"/>
        <w:numPr>
          <w:ilvl w:val="0"/>
          <w:numId w:val="6"/>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管理流程应符合现行国家标准《房屋建筑和市政基础设施工程质量检测技术管理规范》GB 50618和《检测和校准实验室能力的通用要求》GB/T 27025的有关规定；</w:t>
      </w:r>
    </w:p>
    <w:p>
      <w:pPr>
        <w:keepNext w:val="0"/>
        <w:keepLines w:val="0"/>
        <w:pageBreakBefore w:val="0"/>
        <w:widowControl w:val="0"/>
        <w:numPr>
          <w:ilvl w:val="0"/>
          <w:numId w:val="6"/>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应通过数字化技术实现管理流程的标准化、在线化和协同化</w:t>
      </w:r>
      <w:r>
        <w:rPr>
          <w:rFonts w:ascii="Times New Roman" w:eastAsia="宋体" w:cs="Times New Roman" w:hAnsi="Times New Roman"/>
          <w:lang w:val="en-US" w:eastAsia="zh-CN"/>
          <w:highlight w:val="none"/>
        </w:rPr>
        <w:t>，支持模块化模板调用</w:t>
      </w:r>
      <w:r>
        <w:rPr>
          <w:rFonts w:ascii="Times New Roman" w:cs="Times New Roman" w:hAnsi="Times New Roman" w:hint="eastAsia"/>
          <w:sz w:val="24"/>
          <w:u w:val="none"/>
          <w:shd w:val="clear" w:color="auto" w:fill="auto"/>
          <w:lang w:val="en-US" w:eastAsia="zh-CN"/>
          <w:highlight w:val="none"/>
        </w:rPr>
        <w:t>；</w:t>
      </w:r>
    </w:p>
    <w:p>
      <w:pPr>
        <w:keepNext w:val="0"/>
        <w:keepLines w:val="0"/>
        <w:pageBreakBefore w:val="0"/>
        <w:widowControl w:val="0"/>
        <w:numPr>
          <w:ilvl w:val="0"/>
          <w:numId w:val="6"/>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应支持</w:t>
      </w:r>
      <w:r>
        <w:rPr>
          <w:rFonts w:ascii="Times New Roman" w:cs="Times New Roman" w:hAnsi="Times New Roman"/>
          <w:sz w:val="24"/>
          <w:u w:val="none"/>
          <w:shd w:val="clear" w:color="auto" w:fill="auto"/>
          <w:lang w:val="en-US" w:eastAsia="zh-CN"/>
          <w:highlight w:val="none"/>
        </w:rPr>
        <w:t>网页端、</w:t>
      </w:r>
      <w:r>
        <w:rPr>
          <w:rFonts w:ascii="Times New Roman" w:cs="Times New Roman" w:hAnsi="Times New Roman" w:hint="eastAsia"/>
          <w:sz w:val="24"/>
          <w:u w:val="none"/>
          <w:shd w:val="clear" w:color="auto" w:fill="auto"/>
          <w:lang w:val="en-US" w:eastAsia="zh-CN"/>
          <w:highlight w:val="none"/>
        </w:rPr>
        <w:t>设备端、手机</w:t>
      </w:r>
      <w:r>
        <w:rPr>
          <w:rFonts w:ascii="Times New Roman" w:cs="Times New Roman" w:hAnsi="Times New Roman"/>
          <w:sz w:val="24"/>
          <w:u w:val="none"/>
          <w:shd w:val="clear" w:color="auto" w:fill="auto"/>
          <w:lang w:val="en-US" w:eastAsia="zh-CN"/>
          <w:highlight w:val="none"/>
        </w:rPr>
        <w:t>端等多端应用模式</w:t>
      </w:r>
      <w:r>
        <w:rPr>
          <w:rFonts w:ascii="Times New Roman" w:cs="Times New Roman" w:hAnsi="Times New Roman" w:hint="eastAsia"/>
          <w:sz w:val="24"/>
          <w:u w:val="none"/>
          <w:shd w:val="clear" w:color="auto" w:fill="auto"/>
          <w:lang w:val="en-US" w:eastAsia="zh-CN"/>
          <w:highlight w:val="none"/>
        </w:rPr>
        <w:t>；</w:t>
      </w:r>
    </w:p>
    <w:p>
      <w:pPr>
        <w:keepNext w:val="0"/>
        <w:keepLines w:val="0"/>
        <w:pageBreakBefore w:val="0"/>
        <w:widowControl w:val="0"/>
        <w:numPr>
          <w:ilvl w:val="0"/>
          <w:numId w:val="6"/>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各环节管理流程的数据应互联互通。</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数据采集应符合下列规定：</w:t>
      </w:r>
    </w:p>
    <w:p>
      <w:pPr>
        <w:keepNext w:val="0"/>
        <w:keepLines w:val="0"/>
        <w:pageBreakBefore w:val="0"/>
        <w:widowControl w:val="0"/>
        <w:numPr>
          <w:ilvl w:val="0"/>
          <w:numId w:val="7"/>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采集的数据应自动</w:t>
      </w:r>
      <w:r>
        <w:rPr>
          <w:rFonts w:ascii="Times New Roman" w:cs="Times New Roman" w:hAnsi="Times New Roman"/>
          <w:sz w:val="24"/>
          <w:u w:val="none"/>
          <w:shd w:val="clear" w:color="auto" w:fill="auto"/>
          <w:lang w:val="en-US" w:eastAsia="zh-CN"/>
          <w:highlight w:val="none"/>
        </w:rPr>
        <w:t>归档</w:t>
      </w:r>
      <w:r>
        <w:rPr>
          <w:rFonts w:ascii="Times New Roman" w:cs="Times New Roman" w:hAnsi="Times New Roman" w:hint="eastAsia"/>
          <w:sz w:val="24"/>
          <w:u w:val="none"/>
          <w:shd w:val="clear" w:color="auto" w:fill="auto"/>
          <w:lang w:val="en-US" w:eastAsia="zh-CN"/>
          <w:highlight w:val="none"/>
        </w:rPr>
        <w:t>与储存</w:t>
      </w:r>
      <w:r>
        <w:rPr>
          <w:rFonts w:ascii="Times New Roman" w:cs="Times New Roman" w:hAnsi="Times New Roman"/>
          <w:sz w:val="24"/>
          <w:u w:val="none"/>
          <w:shd w:val="clear" w:color="auto" w:fill="auto"/>
          <w:lang w:val="en-US" w:eastAsia="zh-CN"/>
          <w:highlight w:val="none"/>
        </w:rPr>
        <w:t>，</w:t>
      </w:r>
      <w:r>
        <w:rPr>
          <w:lang w:val="zh-CN"/>
        </w:rPr>
        <w:t>数据存储装置应满足行业监管部门的保存时间要求</w:t>
      </w:r>
      <w:r>
        <w:rPr>
          <w:rFonts w:ascii="Times New Roman" w:cs="Times New Roman" w:hAnsi="Times New Roman" w:hint="eastAsia"/>
          <w:sz w:val="24"/>
          <w:u w:val="none"/>
          <w:shd w:val="clear" w:color="auto" w:fill="auto"/>
          <w:lang w:val="en-US" w:eastAsia="zh-CN"/>
          <w:highlight w:val="none"/>
        </w:rPr>
        <w:t>；</w:t>
      </w:r>
    </w:p>
    <w:p>
      <w:pPr>
        <w:keepNext w:val="0"/>
        <w:keepLines w:val="0"/>
        <w:pageBreakBefore w:val="0"/>
        <w:widowControl w:val="0"/>
        <w:numPr>
          <w:ilvl w:val="0"/>
          <w:numId w:val="7"/>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宜采用结构化数据的格式采集数据；</w:t>
      </w:r>
    </w:p>
    <w:p>
      <w:pPr>
        <w:keepNext w:val="0"/>
        <w:keepLines w:val="0"/>
        <w:pageBreakBefore w:val="0"/>
        <w:widowControl w:val="0"/>
        <w:numPr>
          <w:ilvl w:val="0"/>
          <w:numId w:val="7"/>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宜采用自动感知与物联网技术自动采集数据，可通过文件上传的方式；</w:t>
      </w:r>
    </w:p>
    <w:p>
      <w:pPr>
        <w:keepNext w:val="0"/>
        <w:keepLines w:val="0"/>
        <w:pageBreakBefore w:val="0"/>
        <w:widowControl w:val="0"/>
        <w:numPr>
          <w:ilvl w:val="0"/>
          <w:numId w:val="7"/>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w:t>
      </w:r>
      <w:r>
        <w:rPr>
          <w:rFonts w:ascii="Times New Roman" w:cs="Times New Roman" w:hAnsi="Times New Roman"/>
          <w:sz w:val="24"/>
          <w:u w:val="none"/>
          <w:shd w:val="clear" w:color="auto" w:fill="auto"/>
          <w:lang w:val="en-US" w:eastAsia="zh-CN"/>
          <w:highlight w:val="none"/>
        </w:rPr>
        <w:t>采用规范统一的</w:t>
      </w:r>
      <w:r>
        <w:rPr>
          <w:rFonts w:ascii="Times New Roman" w:cs="Times New Roman" w:hAnsi="Times New Roman" w:hint="eastAsia"/>
          <w:sz w:val="24"/>
          <w:u w:val="none"/>
          <w:shd w:val="clear" w:color="auto" w:fill="auto"/>
          <w:lang w:val="en-US" w:eastAsia="zh-CN"/>
          <w:highlight w:val="none"/>
        </w:rPr>
        <w:t>数据采集方式</w:t>
      </w:r>
      <w:r>
        <w:rPr>
          <w:rFonts w:ascii="Times New Roman" w:cs="Times New Roman" w:hAnsi="Times New Roman"/>
          <w:sz w:val="24"/>
          <w:u w:val="none"/>
          <w:shd w:val="clear" w:color="auto" w:fill="auto"/>
          <w:lang w:val="en-US"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line="360" w:lineRule="auto"/>
        <w:textAlignment w:val="auto"/>
        <w:rPr>
          <w:rFonts w:ascii="Times New Roman" w:cs="Times New Roman" w:hAnsi="Times New Roman"/>
          <w:sz w:val="24"/>
          <w:u w:val="none"/>
          <w:shd w:val="clear" w:color="FFFFFF" w:fill="D9D9D9"/>
          <w:lang w:val="en-US" w:eastAsia="zh-CN"/>
          <w:highlight w:val="none"/>
        </w:rPr>
      </w:pPr>
      <w:r>
        <w:rPr>
          <w:rFonts w:ascii="Times New Roman" w:cs="Times New Roman" w:hAnsi="Times New Roman" w:hint="eastAsia"/>
          <w:sz w:val="24"/>
          <w:u w:val="none"/>
          <w:shd w:val="clear" w:color="FFFFFF" w:fill="D9D9D9"/>
          <w:lang w:val="en-US" w:eastAsia="zh-CN"/>
          <w:highlight w:val="none"/>
        </w:rPr>
        <w:t>【条文说明】规范统一的数据采集方式包括接口文件、数据模型与编码体系等的统一。接口文件明确传输标准（如JSON、MQTT），数据模型实现结构化整合（如BIM模型、表-字段结构），编码体系赋予唯一标识（如构件层级编码、采集点编号），保障数据格式统一、可追溯，为后续数字化应用与协同奠定基础。</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数据分析应符合下列规定：</w:t>
      </w:r>
    </w:p>
    <w:p>
      <w:pPr>
        <w:keepNext w:val="0"/>
        <w:keepLines w:val="0"/>
        <w:pageBreakBefore w:val="0"/>
        <w:widowControl w:val="0"/>
        <w:numPr>
          <w:ilvl w:val="0"/>
          <w:numId w:val="8"/>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分析方法应包括数据处理、数据统计、数据比对、关键指标数据计算和信息分析等；</w:t>
      </w:r>
    </w:p>
    <w:p>
      <w:pPr>
        <w:keepNext w:val="0"/>
        <w:keepLines w:val="0"/>
        <w:pageBreakBefore w:val="0"/>
        <w:widowControl w:val="0"/>
        <w:numPr>
          <w:ilvl w:val="0"/>
          <w:numId w:val="8"/>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宜采用数据清洗技术将非结构化数据转为结构化数据；</w:t>
      </w:r>
    </w:p>
    <w:p>
      <w:pPr>
        <w:keepNext w:val="0"/>
        <w:keepLines w:val="0"/>
        <w:pageBreakBefore w:val="0"/>
        <w:widowControl w:val="0"/>
        <w:numPr>
          <w:ilvl w:val="0"/>
          <w:numId w:val="8"/>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w:t>
      </w:r>
      <w:r>
        <w:rPr>
          <w:rFonts w:ascii="Times New Roman" w:cs="Times New Roman" w:hAnsi="Times New Roman"/>
          <w:sz w:val="24"/>
          <w:u w:val="none"/>
          <w:shd w:val="clear" w:color="auto" w:fill="auto"/>
          <w:lang w:val="en-US" w:eastAsia="zh-CN"/>
          <w:highlight w:val="none"/>
        </w:rPr>
        <w:t>建立和维护数据、文档和信息模型之间的关联关系</w:t>
      </w:r>
      <w:r>
        <w:rPr>
          <w:rFonts w:ascii="Times New Roman" w:cs="Times New Roman" w:hAnsi="Times New Roman" w:hint="eastAsia"/>
          <w:sz w:val="24"/>
          <w:u w:val="none"/>
          <w:shd w:val="clear" w:color="auto" w:fill="auto"/>
          <w:lang w:val="en-US" w:eastAsia="zh-CN"/>
          <w:highlight w:val="none"/>
        </w:rPr>
        <w:t>；</w:t>
      </w:r>
    </w:p>
    <w:p>
      <w:pPr>
        <w:keepNext w:val="0"/>
        <w:keepLines w:val="0"/>
        <w:pageBreakBefore w:val="0"/>
        <w:widowControl w:val="0"/>
        <w:numPr>
          <w:ilvl w:val="0"/>
          <w:numId w:val="8"/>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宜采用自然语言处理技术分析文本信息</w:t>
      </w:r>
      <w:r>
        <w:rPr>
          <w:rFonts w:ascii="Times New Roman" w:cs="Times New Roman" w:hAnsi="Times New Roman"/>
          <w:sz w:val="24"/>
          <w:u w:val="none"/>
          <w:shd w:val="clear" w:color="auto" w:fill="auto"/>
          <w:lang w:val="en-US" w:eastAsia="zh-CN"/>
          <w:highlight w:val="none"/>
        </w:rPr>
        <w:t>。</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数据应用应符合下列规定：</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应用方法应包括预警、锁定权限、优化管理流程和辅助管理决策等；</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宜通过自动预警的方式，推送异常情况至管理人员，并锁定相关权限；</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宜通过数据统计结果、关键指标数据与人工智能技术优化管理流程和辅助决策调整。</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b w:val="0"/>
          <w:bCs w:val="0"/>
          <w:color w:val="auto"/>
          <w:sz w:val="24"/>
          <w:szCs w:val="24"/>
          <w:shd w:val="clear" w:color="FFFFFF" w:fill="D9D9D9"/>
          <w:lang w:val="en-US" w:eastAsia="zh-CN"/>
          <w:highlight w:val="none"/>
        </w:rPr>
      </w:pPr>
      <w:r>
        <w:rPr>
          <w:rFonts w:ascii="Times New Roman" w:eastAsia="宋体" w:cs="Times New Roman" w:hAnsi="Times New Roman"/>
          <w:b w:val="0"/>
          <w:bCs w:val="0"/>
          <w:color w:val="auto"/>
          <w:sz w:val="24"/>
          <w:szCs w:val="24"/>
          <w:shd w:val="clear" w:color="FFFFFF" w:fill="D9D9D9"/>
          <w:lang w:val="en-US" w:eastAsia="zh-CN"/>
          <w:highlight w:val="none"/>
        </w:rPr>
        <w:t>【条文说明】通过合理设计数字化管理系统，实现建设工程质量检测数字化管理流程的在线化、标准化与自动化</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支持移动终端访问与操作</w:t>
      </w:r>
      <w:r>
        <w:rPr>
          <w:rFonts w:ascii="Times New Roman" w:eastAsia="宋体" w:cs="Times New Roman" w:hAnsi="Times New Roman"/>
          <w:b w:val="0"/>
          <w:bCs w:val="0"/>
          <w:color w:val="auto"/>
          <w:sz w:val="24"/>
          <w:szCs w:val="24"/>
          <w:shd w:val="clear" w:color="FFFFFF" w:fill="D9D9D9"/>
          <w:lang w:val="en-US" w:eastAsia="zh-CN"/>
          <w:highlight w:val="none"/>
        </w:rPr>
        <w:t>，能够有效减少</w:t>
      </w:r>
      <w:r>
        <w:rPr>
          <w:rFonts w:ascii="Times New Roman" w:cs="Times New Roman" w:hAnsi="Times New Roman" w:hint="eastAsia"/>
          <w:b w:val="0"/>
          <w:bCs w:val="0"/>
          <w:color w:val="auto"/>
          <w:sz w:val="24"/>
          <w:szCs w:val="24"/>
          <w:shd w:val="clear" w:color="FFFFFF" w:fill="D9D9D9"/>
          <w:lang w:val="en-US" w:eastAsia="zh-CN"/>
          <w:highlight w:val="none"/>
        </w:rPr>
        <w:t>不必要的</w:t>
      </w:r>
      <w:r>
        <w:rPr>
          <w:rFonts w:ascii="Times New Roman" w:eastAsia="宋体" w:cs="Times New Roman" w:hAnsi="Times New Roman"/>
          <w:b w:val="0"/>
          <w:bCs w:val="0"/>
          <w:color w:val="auto"/>
          <w:sz w:val="24"/>
          <w:szCs w:val="24"/>
          <w:shd w:val="clear" w:color="FFFFFF" w:fill="D9D9D9"/>
          <w:lang w:val="en-US" w:eastAsia="zh-CN"/>
          <w:highlight w:val="none"/>
        </w:rPr>
        <w:t>人为干预和错误，确保建设工程质量检测</w:t>
      </w:r>
      <w:r>
        <w:rPr>
          <w:rFonts w:ascii="Times New Roman" w:eastAsia="宋体" w:cs="Times New Roman" w:hAnsi="Times New Roman" w:hint="eastAsia"/>
          <w:b w:val="0"/>
          <w:bCs w:val="0"/>
          <w:color w:val="auto"/>
          <w:sz w:val="24"/>
          <w:szCs w:val="24"/>
          <w:shd w:val="clear" w:color="FFFFFF" w:fill="D9D9D9"/>
          <w:lang w:val="en-US" w:eastAsia="zh-CN"/>
          <w:highlight w:val="none"/>
        </w:rPr>
        <w:t>资源、过程与管理体系</w:t>
      </w:r>
      <w:r>
        <w:rPr>
          <w:rFonts w:ascii="Times New Roman" w:eastAsia="宋体" w:cs="Times New Roman" w:hAnsi="Times New Roman"/>
          <w:b w:val="0"/>
          <w:bCs w:val="0"/>
          <w:color w:val="auto"/>
          <w:sz w:val="24"/>
          <w:szCs w:val="24"/>
          <w:shd w:val="clear" w:color="FFFFFF" w:fill="D9D9D9"/>
          <w:lang w:val="en-US" w:eastAsia="zh-CN"/>
          <w:highlight w:val="none"/>
        </w:rPr>
        <w:t>得以顺利实施和持续有效运行，</w:t>
      </w:r>
      <w:r>
        <w:rPr>
          <w:rFonts w:ascii="Times New Roman" w:cs="Times New Roman" w:hAnsi="Times New Roman"/>
          <w:b w:val="0"/>
          <w:bCs w:val="0"/>
          <w:color w:val="auto"/>
          <w:sz w:val="24"/>
          <w:szCs w:val="24"/>
          <w:shd w:val="clear" w:color="FFFFFF" w:fill="D9D9D9"/>
          <w:lang w:val="en-US" w:eastAsia="zh-CN"/>
          <w:highlight w:val="none"/>
        </w:rPr>
        <w:t>提升工作</w:t>
      </w:r>
      <w:r>
        <w:rPr>
          <w:rFonts w:ascii="Times New Roman" w:cs="Times New Roman" w:hAnsi="Times New Roman" w:hint="eastAsia"/>
          <w:b w:val="0"/>
          <w:bCs w:val="0"/>
          <w:color w:val="auto"/>
          <w:sz w:val="24"/>
          <w:szCs w:val="24"/>
          <w:shd w:val="clear" w:color="FFFFFF" w:fill="D9D9D9"/>
          <w:lang w:val="en-US" w:eastAsia="zh-CN"/>
          <w:highlight w:val="none"/>
        </w:rPr>
        <w:t>效率、</w:t>
      </w:r>
      <w:r>
        <w:rPr>
          <w:rFonts w:ascii="Times New Roman" w:cs="Times New Roman" w:hAnsi="Times New Roman"/>
          <w:b w:val="0"/>
          <w:bCs w:val="0"/>
          <w:color w:val="auto"/>
          <w:sz w:val="24"/>
          <w:szCs w:val="24"/>
          <w:shd w:val="clear" w:color="FFFFFF" w:fill="D9D9D9"/>
          <w:lang w:val="en-US" w:eastAsia="zh-CN"/>
          <w:highlight w:val="none"/>
        </w:rPr>
        <w:t>灵活性与业务处理便捷性</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eastAsia="宋体" w:cs="Times New Roman" w:hAnsi="Times New Roman"/>
          <w:b w:val="0"/>
          <w:bCs w:val="0"/>
          <w:color w:val="auto"/>
          <w:sz w:val="24"/>
          <w:szCs w:val="24"/>
          <w:shd w:val="clear" w:color="FFFFFF" w:fill="D9D9D9"/>
          <w:lang w:val="en-US" w:eastAsia="zh-CN"/>
          <w:highlight w:val="none"/>
        </w:rPr>
        <w:t>以适应行业信息化发展趋势，提升自身管理水平。</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cs="Times New Roman" w:hAnsi="Times New Roman"/>
          <w:b w:val="0"/>
          <w:bCs w:val="0"/>
          <w:color w:val="auto"/>
          <w:sz w:val="24"/>
          <w:szCs w:val="24"/>
          <w:shd w:val="clear" w:color="FFFFFF" w:fill="D9D9D9"/>
          <w:lang w:val="en-US" w:eastAsia="zh-CN"/>
          <w:highlight w:val="none"/>
        </w:rPr>
      </w:pPr>
      <w:r>
        <w:rPr>
          <w:rFonts w:ascii="Times New Roman" w:cs="Times New Roman" w:hAnsi="Times New Roman"/>
          <w:b w:val="0"/>
          <w:bCs w:val="0"/>
          <w:color w:val="auto"/>
          <w:sz w:val="24"/>
          <w:szCs w:val="24"/>
          <w:shd w:val="clear" w:color="FFFFFF" w:fill="D9D9D9"/>
          <w:lang w:val="en-US" w:eastAsia="zh-CN"/>
          <w:highlight w:val="none"/>
        </w:rPr>
        <w:t>通过引入人工智能</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AI</w:t>
      </w:r>
      <w:r>
        <w:rPr>
          <w:rFonts w:ascii="Times New Roman" w:cs="Times New Roman" w:hAnsi="Times New Roman" w:hint="eastAsia"/>
          <w:b w:val="0"/>
          <w:bCs w:val="0"/>
          <w:color w:val="auto"/>
          <w:sz w:val="24"/>
          <w:szCs w:val="24"/>
          <w:shd w:val="clear" w:color="FFFFFF" w:fill="D9D9D9"/>
          <w:lang w:val="en-US" w:eastAsia="zh-CN"/>
          <w:highlight w:val="none"/>
        </w:rPr>
        <w:t>）</w:t>
      </w:r>
      <w:r>
        <w:rPr>
          <w:rFonts w:ascii="Times New Roman" w:cs="Times New Roman" w:hAnsi="Times New Roman"/>
          <w:b w:val="0"/>
          <w:bCs w:val="0"/>
          <w:color w:val="auto"/>
          <w:sz w:val="24"/>
          <w:szCs w:val="24"/>
          <w:shd w:val="clear" w:color="FFFFFF" w:fill="D9D9D9"/>
          <w:lang w:val="en-US" w:eastAsia="zh-CN"/>
          <w:highlight w:val="none"/>
        </w:rPr>
        <w:t>、大数据、数字孪生等先进技术，平台可从自动化、可信度与沉浸式管理等方面获得赋能，从而超越传统业务模式的局限，实现交付效率、数据价值和管理水平的跨越式提升。</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建设工程质量检测数字化管理应通过条形码/二维码、区块链、时间戳、数字签名等技术，建立工程部位、样品/检测点、时间、人员、设备、场所、原始记录与检测报告之间的关联逻辑，并赋予样品/检测点与检测报告唯一性标识。</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建设工程质量检测数字化管理应满足下列安全要求：</w:t>
      </w:r>
    </w:p>
    <w:p>
      <w:pPr>
        <w:keepNext w:val="0"/>
        <w:keepLines w:val="0"/>
        <w:pageBreakBefore w:val="0"/>
        <w:widowControl w:val="0"/>
        <w:numPr>
          <w:ilvl w:val="0"/>
          <w:numId w:val="10"/>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系统安全等级不应低于现行国家标准《信息安全技术 网络安全等级保护基本要求》GB/T 22239规定的二级安全保护要求</w:t>
      </w:r>
      <w:r>
        <w:rPr>
          <w:rFonts w:ascii="Times New Roman" w:cs="Times New Roman" w:hAnsi="Times New Roman"/>
          <w:sz w:val="24"/>
          <w:u w:val="none"/>
          <w:shd w:val="clear" w:color="auto" w:fill="auto"/>
          <w:lang w:val="en-US" w:eastAsia="zh-CN"/>
          <w:highlight w:val="none"/>
        </w:rPr>
        <w:t>；</w:t>
      </w:r>
    </w:p>
    <w:p>
      <w:pPr>
        <w:keepNext w:val="0"/>
        <w:keepLines w:val="0"/>
        <w:pageBreakBefore w:val="0"/>
        <w:widowControl w:val="0"/>
        <w:numPr>
          <w:ilvl w:val="0"/>
          <w:numId w:val="10"/>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color w:val="auto"/>
          <w:sz w:val="24"/>
          <w:szCs w:val="24"/>
          <w:lang w:val="en-US" w:eastAsia="zh-CN"/>
          <w:highlight w:val="none"/>
        </w:rPr>
        <w:t>应实时监测与记录网络运行状态和网络安全事件，防范计算机病毒、网络攻击和网络侵入等危害网络安全的行为；</w:t>
      </w:r>
    </w:p>
    <w:p>
      <w:pPr>
        <w:keepNext w:val="0"/>
        <w:keepLines w:val="0"/>
        <w:pageBreakBefore w:val="0"/>
        <w:widowControl w:val="0"/>
        <w:numPr>
          <w:ilvl w:val="0"/>
          <w:numId w:val="10"/>
        </w:numPr>
        <w:kinsoku/>
        <w:wordWrap/>
        <w:overflowPunct/>
        <w:topLinePunct w:val="0"/>
        <w:autoSpaceDE/>
        <w:autoSpaceDN/>
        <w:bidi w:val="0"/>
        <w:adjustRightInd/>
        <w:snapToGrid/>
        <w:spacing w:before="0" w:after="0" w:line="360" w:lineRule="auto"/>
        <w:ind w:left="0" w:firstLineChars="200" w:firstLine="480"/>
        <w:textAlignment w:val="auto"/>
        <w:rPr>
          <w:rFonts w:ascii="Times New Roman" w:hAnsi="Times New Roman"/>
          <w:shd w:val="clear" w:color="FFFFFF" w:fill="D9D9D9"/>
          <w:highlight w:val="none"/>
        </w:rPr>
      </w:pPr>
      <w:r>
        <w:rPr>
          <w:rFonts w:ascii="Times New Roman" w:cs="Times New Roman" w:hAnsi="Times New Roman" w:hint="eastAsia"/>
          <w:sz w:val="24"/>
          <w:u w:val="none"/>
          <w:shd w:val="clear" w:color="auto" w:fill="auto"/>
          <w:lang w:val="en-US" w:eastAsia="zh-CN"/>
          <w:highlight w:val="none"/>
        </w:rPr>
        <w:t>应采用访问权限控制、加密传输与存储、双重身份认证、证书授权中心认证（CA认证）电子签章、安全校验、操作日志记录、防篡改措施、定期备份恢复等技术手段保护数据与信息安全。</w:t>
      </w:r>
    </w:p>
    <w:p>
      <w:pPr>
        <w:tabs>
          <w:tab w:val="left" w:pos="0"/>
        </w:tabs>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【条文说明】安全</w:t>
      </w:r>
      <w:r>
        <w:rPr>
          <w:rFonts w:ascii="Times New Roman" w:hAnsi="Times New Roman" w:hint="eastAsia"/>
          <w:shd w:val="clear" w:color="FFFFFF" w:fill="D9D9D9"/>
          <w:lang w:val="en-US" w:eastAsia="zh-CN"/>
          <w:highlight w:val="none"/>
        </w:rPr>
        <w:t>可靠</w:t>
      </w:r>
      <w:r>
        <w:rPr>
          <w:rFonts w:ascii="Times New Roman" w:hAnsi="Times New Roman"/>
          <w:shd w:val="clear" w:color="FFFFFF" w:fill="D9D9D9"/>
          <w:lang w:val="en-US" w:eastAsia="zh-CN"/>
          <w:highlight w:val="none"/>
        </w:rPr>
        <w:t>是保障检测数据机密性、完整性、可用性以及业务连续性的基石，也是满足国家网络安全、数据安全及个人信息保护法律法规的强制性要求。这些要求共同构成了一个纵深防御的安全体系。</w:t>
      </w:r>
      <w:r>
        <w:rPr>
          <w:rFonts w:ascii="Times New Roman" w:hAnsi="Times New Roman" w:hint="eastAsia"/>
          <w:shd w:val="clear" w:color="FFFFFF" w:fill="D9D9D9"/>
          <w:highlight w:val="none"/>
        </w:rPr>
        <w:t>访问权限控制</w:t>
      </w:r>
      <w:r>
        <w:rPr>
          <w:rFonts w:ascii="Times New Roman" w:hAnsi="Times New Roman"/>
          <w:shd w:val="clear" w:color="FFFFFF" w:fill="D9D9D9"/>
          <w:highlight w:val="none"/>
        </w:rPr>
        <w:t>：按角色分配访问权限，防止越权操作导致的数据污染；加密传输</w:t>
      </w:r>
      <w:r>
        <w:rPr>
          <w:rFonts w:ascii="Times New Roman" w:hAnsi="Times New Roman" w:hint="eastAsia"/>
          <w:shd w:val="clear" w:color="FFFFFF" w:fill="D9D9D9"/>
          <w:highlight w:val="none"/>
        </w:rPr>
        <w:t>与存储</w:t>
      </w:r>
      <w:r>
        <w:rPr>
          <w:rFonts w:ascii="Times New Roman" w:hAnsi="Times New Roman"/>
          <w:shd w:val="clear" w:color="FFFFFF" w:fill="D9D9D9"/>
          <w:highlight w:val="none"/>
        </w:rPr>
        <w:t>：传输层采用TLS协议加密，存储层用AES算法对敏感信息脱敏加密；</w:t>
      </w:r>
      <w:r>
        <w:rPr>
          <w:rFonts w:ascii="Times New Roman" w:hAnsi="Times New Roman" w:hint="eastAsia"/>
          <w:shd w:val="clear" w:color="FFFFFF" w:fill="D9D9D9"/>
          <w:highlight w:val="none"/>
        </w:rPr>
        <w:t>双重身份认证</w:t>
      </w:r>
      <w:r>
        <w:rPr>
          <w:rFonts w:ascii="Times New Roman" w:hAnsi="Times New Roman"/>
          <w:shd w:val="clear" w:color="FFFFFF" w:fill="D9D9D9"/>
          <w:highlight w:val="none"/>
        </w:rPr>
        <w:t>：结合动态验证码、指纹识别等技术强化身份核验，杜绝账号盗用风险；</w:t>
      </w:r>
      <w:r>
        <w:rPr>
          <w:rFonts w:ascii="Times New Roman" w:hAnsi="Times New Roman" w:hint="eastAsia"/>
          <w:shd w:val="clear" w:color="FFFFFF" w:fill="D9D9D9"/>
          <w:highlight w:val="none"/>
        </w:rPr>
        <w:t>证书授权中心认证（CA认证）电子签章</w:t>
      </w:r>
      <w:r>
        <w:rPr>
          <w:rFonts w:ascii="Times New Roman" w:hAnsi="Times New Roman"/>
          <w:shd w:val="clear" w:color="FFFFFF" w:fill="D9D9D9"/>
          <w:highlight w:val="none"/>
        </w:rPr>
        <w:t>：符合《中华人民共和国电子签名法》的电子签名与签章赋予报告法律效力，逐步替代传统纸质签署流程</w:t>
      </w:r>
      <w:r>
        <w:rPr>
          <w:rFonts w:ascii="Times New Roman" w:hAnsi="Times New Roman" w:hint="eastAsia"/>
          <w:shd w:val="clear" w:color="FFFFFF" w:fill="D9D9D9"/>
          <w:lang w:eastAsia="zh-CN"/>
          <w:highlight w:val="none"/>
        </w:rPr>
        <w:t>；操作日志记录：对用户在系统内的操作行为（含操作人、时间、对象、类型及结果）进行全面实时记录并独立存储，防止操作溯源无据导致的责任无法界定；防篡改措施：采用哈希值校验、区块链存证、只读存储等技术，结合操作审批、双人复核机制，防止未经授权修改数据导致的检测数据完整性破坏；定期备份恢复：分级制定备份策略，并建立恢复机制与演练流程，防止数据丢失、系统瘫痪导致的业务连续性中断</w:t>
      </w:r>
      <w:r>
        <w:rPr>
          <w:rFonts w:ascii="Times New Roman" w:hAnsi="Times New Roman"/>
          <w:shd w:val="clear" w:color="FFFFFF" w:fill="D9D9D9"/>
          <w:highlight w:val="none"/>
        </w:rPr>
        <w:t>。</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在满足行业监管要求的前提下，建设工程质量检测数字化管理的文档、记录与报告宜实行无纸化管理。</w:t>
      </w:r>
    </w:p>
    <w:p>
      <w:pPr>
        <w:numPr>
          <w:ilvl w:val="0"/>
          <w:numId w:val="4"/>
        </w:numPr>
        <w:spacing w:line="360" w:lineRule="auto"/>
        <w:rPr>
          <w:rFonts w:ascii="Times New Roman" w:cs="Times New Roman" w:hAnsi="Times New Roman" w:hint="eastAsia"/>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应将资源、过程、体系和项目数字化管理中数据采集、分析与应用情况采用可视化技术通过电子看板展示。</w:t>
      </w:r>
    </w:p>
    <w:p>
      <w:pPr>
        <w:numPr>
          <w:ilvl w:val="0"/>
          <w:numId w:val="4"/>
        </w:numPr>
        <w:spacing w:line="360" w:lineRule="auto"/>
        <w:rPr>
          <w:rFonts w:ascii="Times New Roman" w:cs="Times New Roman" w:hAnsi="Times New Roman"/>
          <w:sz w:val="24"/>
          <w:u w:val="none"/>
          <w:shd w:val="clear" w:color="auto" w:fill="auto"/>
          <w:lang w:val="en-US" w:eastAsia="zh-CN"/>
          <w:highlight w:val="none"/>
        </w:rPr>
      </w:pPr>
      <w:r>
        <w:rPr>
          <w:rFonts w:ascii="Times New Roman" w:cs="Times New Roman" w:hAnsi="Times New Roman" w:hint="eastAsia"/>
          <w:sz w:val="24"/>
          <w:u w:val="none"/>
          <w:shd w:val="clear" w:color="auto" w:fill="auto"/>
          <w:lang w:val="en-US" w:eastAsia="zh-CN"/>
          <w:highlight w:val="none"/>
        </w:rPr>
        <w:t>应根据检测机构组织和管理结构，制定数字化管理组织战略，</w:t>
      </w:r>
      <w:r>
        <w:rPr>
          <w:rFonts w:ascii="Times New Roman" w:cs="Times New Roman" w:hAnsi="Times New Roman"/>
          <w:sz w:val="24"/>
          <w:u w:val="none"/>
          <w:shd w:val="clear" w:color="auto" w:fill="auto"/>
          <w:lang w:val="en-US" w:eastAsia="zh-CN"/>
          <w:highlight w:val="none"/>
        </w:rPr>
        <w:t>建立跨部门、跨岗位的信息共享</w:t>
      </w:r>
      <w:r>
        <w:rPr>
          <w:rFonts w:ascii="Times New Roman" w:cs="Times New Roman" w:hAnsi="Times New Roman" w:hint="eastAsia"/>
          <w:sz w:val="24"/>
          <w:u w:val="none"/>
          <w:shd w:val="clear" w:color="auto" w:fill="auto"/>
          <w:lang w:val="en-US" w:eastAsia="zh-CN"/>
          <w:highlight w:val="none"/>
        </w:rPr>
        <w:t>、权限限制</w:t>
      </w:r>
      <w:r>
        <w:rPr>
          <w:rFonts w:ascii="Times New Roman" w:cs="Times New Roman" w:hAnsi="Times New Roman"/>
          <w:sz w:val="24"/>
          <w:u w:val="none"/>
          <w:shd w:val="clear" w:color="auto" w:fill="auto"/>
          <w:lang w:val="en-US" w:eastAsia="zh-CN"/>
          <w:highlight w:val="none"/>
        </w:rPr>
        <w:t>与协同工作机制</w:t>
      </w:r>
      <w:r>
        <w:rPr>
          <w:rFonts w:ascii="Times New Roman" w:cs="Times New Roman" w:hAnsi="Times New Roman" w:hint="eastAsia"/>
          <w:sz w:val="24"/>
          <w:u w:val="none"/>
          <w:shd w:val="clear" w:color="auto" w:fill="auto"/>
          <w:lang w:val="en-US" w:eastAsia="zh-CN"/>
          <w:highlight w:val="none"/>
        </w:rPr>
        <w:t>，形成数字化管理组织架构。</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b w:val="0"/>
          <w:bCs w:val="0"/>
          <w:color w:val="auto"/>
          <w:sz w:val="24"/>
          <w:szCs w:val="24"/>
          <w:shd w:val="clear" w:color="FFFFFF" w:fill="D9D9D9"/>
          <w:lang w:val="en-US" w:eastAsia="zh-CN"/>
          <w:highlight w:val="none"/>
        </w:rPr>
      </w:pPr>
      <w:r>
        <w:rPr>
          <w:rFonts w:ascii="Times New Roman" w:eastAsia="宋体" w:cs="Times New Roman" w:hAnsi="Times New Roman"/>
          <w:b w:val="0"/>
          <w:bCs w:val="0"/>
          <w:color w:val="auto"/>
          <w:sz w:val="24"/>
          <w:szCs w:val="24"/>
          <w:shd w:val="clear" w:color="FFFFFF" w:fill="D9D9D9"/>
          <w:lang w:val="en-US" w:eastAsia="zh-CN"/>
          <w:highlight w:val="none"/>
        </w:rPr>
        <w:t>【</w:t>
      </w:r>
      <w:r>
        <w:rPr>
          <w:rFonts w:ascii="Times New Roman" w:cs="Times New Roman" w:hAnsi="Times New Roman" w:hint="eastAsia"/>
          <w:b w:val="0"/>
          <w:bCs w:val="0"/>
          <w:color w:val="auto"/>
          <w:sz w:val="24"/>
          <w:szCs w:val="24"/>
          <w:shd w:val="clear" w:color="FFFFFF" w:fill="D9D9D9"/>
          <w:lang w:val="en-US" w:eastAsia="zh-CN"/>
          <w:highlight w:val="none"/>
        </w:rPr>
        <w:t>条文说明</w:t>
      </w:r>
      <w:r>
        <w:rPr>
          <w:rFonts w:ascii="Times New Roman" w:eastAsia="宋体" w:cs="Times New Roman" w:hAnsi="Times New Roman"/>
          <w:b w:val="0"/>
          <w:bCs w:val="0"/>
          <w:color w:val="auto"/>
          <w:sz w:val="24"/>
          <w:szCs w:val="24"/>
          <w:shd w:val="clear" w:color="FFFFFF" w:fill="D9D9D9"/>
          <w:lang w:val="en-US" w:eastAsia="zh-CN"/>
          <w:highlight w:val="none"/>
        </w:rPr>
        <w:t>】通过数字化技术打破部门与岗位间的信息壁垒，</w:t>
      </w:r>
      <w:r>
        <w:rPr>
          <w:rFonts w:ascii="Times New Roman" w:cs="Times New Roman" w:hAnsi="Times New Roman" w:hint="eastAsia"/>
          <w:b w:val="0"/>
          <w:bCs w:val="0"/>
          <w:color w:val="auto"/>
          <w:sz w:val="24"/>
          <w:szCs w:val="24"/>
          <w:shd w:val="clear" w:color="FFFFFF" w:fill="D9D9D9"/>
          <w:lang w:val="en-US" w:eastAsia="zh-CN"/>
          <w:highlight w:val="none"/>
        </w:rPr>
        <w:t>根据以后的组织结构，</w:t>
      </w:r>
      <w:r>
        <w:rPr>
          <w:rFonts w:ascii="Times New Roman" w:eastAsia="宋体" w:cs="Times New Roman" w:hAnsi="Times New Roman"/>
          <w:b w:val="0"/>
          <w:bCs w:val="0"/>
          <w:color w:val="auto"/>
          <w:sz w:val="24"/>
          <w:szCs w:val="24"/>
          <w:shd w:val="clear" w:color="FFFFFF" w:fill="D9D9D9"/>
          <w:lang w:val="en-US" w:eastAsia="zh-CN"/>
          <w:highlight w:val="none"/>
        </w:rPr>
        <w:t>建立跨部门、跨岗位的信息共享、权限限制与协同工作机制，明确信息共享范围</w:t>
      </w:r>
      <w:r>
        <w:rPr>
          <w:rFonts w:ascii="Times New Roman" w:cs="Times New Roman" w:hAnsi="Times New Roman" w:hint="eastAsia"/>
          <w:b w:val="0"/>
          <w:bCs w:val="0"/>
          <w:color w:val="auto"/>
          <w:sz w:val="24"/>
          <w:szCs w:val="24"/>
          <w:shd w:val="clear" w:color="FFFFFF" w:fill="D9D9D9"/>
          <w:lang w:val="en-US" w:eastAsia="zh-CN"/>
          <w:highlight w:val="none"/>
        </w:rPr>
        <w:t>、操作权限</w:t>
      </w:r>
      <w:r>
        <w:rPr>
          <w:rFonts w:ascii="Times New Roman" w:eastAsia="宋体" w:cs="Times New Roman" w:hAnsi="Times New Roman"/>
          <w:b w:val="0"/>
          <w:bCs w:val="0"/>
          <w:color w:val="auto"/>
          <w:sz w:val="24"/>
          <w:szCs w:val="24"/>
          <w:shd w:val="clear" w:color="FFFFFF" w:fill="D9D9D9"/>
          <w:lang w:val="en-US" w:eastAsia="zh-CN"/>
          <w:highlight w:val="none"/>
        </w:rPr>
        <w:t>与协同流程，提升整体工作效率</w:t>
      </w:r>
      <w:r>
        <w:rPr>
          <w:rFonts w:ascii="Times New Roman" w:cs="Times New Roman" w:hAnsi="Times New Roman" w:hint="eastAsia"/>
          <w:b w:val="0"/>
          <w:bCs w:val="0"/>
          <w:color w:val="auto"/>
          <w:sz w:val="24"/>
          <w:szCs w:val="24"/>
          <w:shd w:val="clear" w:color="FFFFFF" w:fill="D9D9D9"/>
          <w:lang w:val="en-US" w:eastAsia="zh-CN"/>
          <w:highlight w:val="none"/>
        </w:rPr>
        <w:t>和体系有效性</w:t>
      </w:r>
      <w:r>
        <w:rPr>
          <w:rFonts w:ascii="Times New Roman" w:eastAsia="宋体" w:cs="Times New Roman" w:hAnsi="Times New Roman"/>
          <w:b w:val="0"/>
          <w:bCs w:val="0"/>
          <w:color w:val="auto"/>
          <w:sz w:val="24"/>
          <w:szCs w:val="24"/>
          <w:shd w:val="clear" w:color="FFFFFF" w:fill="D9D9D9"/>
          <w:lang w:val="en-US" w:eastAsia="zh-CN"/>
          <w:highlight w:val="none"/>
        </w:rPr>
        <w:t>。</w:t>
      </w:r>
    </w:p>
    <w:p>
      <w:pPr>
        <w:numPr>
          <w:ilvl w:val="0"/>
          <w:numId w:val="4"/>
        </w:numPr>
        <w:spacing w:line="360" w:lineRule="auto"/>
        <w:rPr>
          <w:rFonts w:ascii="Times New Roman" w:eastAsia="宋体" w:cs="Times New Roman" w:hAnsi="Times New Roman"/>
          <w:b/>
          <w:bCs/>
          <w:kern w:val="44"/>
          <w:sz w:val="30"/>
          <w:szCs w:val="30"/>
          <w:lang w:val="en-US" w:eastAsia="zh-CN" w:bidi="ar-SA"/>
          <w:highlight w:val="none"/>
        </w:rPr>
      </w:pPr>
      <w:r>
        <w:rPr>
          <w:rFonts w:ascii="Times New Roman" w:cs="Times New Roman" w:hAnsi="Times New Roman" w:hint="eastAsia"/>
          <w:sz w:val="24"/>
          <w:u w:val="none"/>
          <w:shd w:val="clear" w:color="auto" w:fill="auto"/>
          <w:lang w:val="en-US" w:eastAsia="zh-CN"/>
          <w:highlight w:val="none"/>
        </w:rPr>
        <w:t>数字化管理</w:t>
      </w:r>
      <w:r>
        <w:rPr>
          <w:rFonts w:ascii="Times New Roman" w:cs="Times New Roman" w:hAnsi="Times New Roman"/>
          <w:sz w:val="24"/>
          <w:u w:val="none"/>
          <w:shd w:val="clear" w:color="auto" w:fill="auto"/>
          <w:lang w:val="en-US" w:eastAsia="zh-CN"/>
          <w:highlight w:val="none"/>
        </w:rPr>
        <w:t>系统</w:t>
      </w:r>
      <w:r>
        <w:rPr>
          <w:rFonts w:ascii="Times New Roman" w:cs="Times New Roman" w:hAnsi="Times New Roman" w:hint="eastAsia"/>
          <w:sz w:val="24"/>
          <w:u w:val="none"/>
          <w:shd w:val="clear" w:color="auto" w:fill="auto"/>
          <w:lang w:val="en-US" w:eastAsia="zh-CN"/>
          <w:highlight w:val="none"/>
        </w:rPr>
        <w:t>建设</w:t>
      </w:r>
      <w:r>
        <w:rPr>
          <w:rFonts w:ascii="Times New Roman" w:cs="Times New Roman" w:hAnsi="Times New Roman"/>
          <w:sz w:val="24"/>
          <w:u w:val="none"/>
          <w:shd w:val="clear" w:color="auto" w:fill="auto"/>
          <w:lang w:val="en-US" w:eastAsia="zh-CN"/>
          <w:highlight w:val="none"/>
        </w:rPr>
        <w:t>应</w:t>
      </w:r>
      <w:r>
        <w:rPr>
          <w:rFonts w:ascii="Times New Roman" w:cs="Times New Roman" w:hAnsi="Times New Roman" w:hint="eastAsia"/>
          <w:sz w:val="24"/>
          <w:u w:val="none"/>
          <w:shd w:val="clear" w:color="auto" w:fill="auto"/>
          <w:lang w:val="en-US" w:eastAsia="zh-CN"/>
          <w:highlight w:val="none"/>
        </w:rPr>
        <w:t>符合现行国家标准</w:t>
      </w:r>
      <w:r>
        <w:rPr>
          <w:rFonts w:ascii="Times New Roman" w:cs="Times New Roman" w:hAnsi="Times New Roman"/>
          <w:sz w:val="24"/>
          <w:u w:val="none"/>
          <w:shd w:val="clear" w:color="auto" w:fill="auto"/>
          <w:lang w:val="en-US" w:eastAsia="zh-CN"/>
          <w:highlight w:val="none"/>
        </w:rPr>
        <w:t>《信息技术软件生存周期过程》GB/T 8566</w:t>
      </w:r>
      <w:r>
        <w:rPr>
          <w:rFonts w:ascii="Times New Roman" w:cs="Times New Roman" w:hAnsi="Times New Roman" w:hint="eastAsia"/>
          <w:sz w:val="24"/>
          <w:u w:val="none"/>
          <w:shd w:val="clear" w:color="auto" w:fill="auto"/>
          <w:lang w:val="en-US" w:eastAsia="zh-CN"/>
          <w:highlight w:val="none"/>
        </w:rPr>
        <w:t>、《数字化转型管理 参考架构》GB/T 45341、《数字化转型管理 能力体系建设要求》GB/T 45988等的有关规定。</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b/>
          <w:bCs/>
          <w:kern w:val="44"/>
          <w:sz w:val="30"/>
          <w:szCs w:val="30"/>
          <w:lang w:val="en-US" w:eastAsia="zh-CN" w:bidi="ar-SA"/>
          <w:highlight w:val="none"/>
        </w:rPr>
      </w:pPr>
      <w:r>
        <w:rPr>
          <w:rFonts w:ascii="Times New Roman" w:eastAsia="宋体" w:cs="Times New Roman" w:hAnsi="Times New Roman"/>
          <w:b/>
          <w:bCs/>
          <w:kern w:val="44"/>
          <w:sz w:val="30"/>
          <w:szCs w:val="30"/>
          <w:lang w:val="en-US" w:eastAsia="zh-CN" w:bidi="ar-SA"/>
          <w:highlight w:val="none"/>
        </w:rPr>
        <w:br w:type="page"/>
      </w:r>
    </w:p>
    <w:p>
      <w:pPr>
        <w:pStyle w:val="1"/>
        <w:numPr>
          <w:ilvl w:val="0"/>
          <w:numId w:val="1"/>
        </w:numPr>
        <w:bidi w:val="0"/>
        <w:ind w:left="425" w:hanging="425"/>
        <w:rPr>
          <w:rFonts w:ascii="Times New Roman" w:cs="Times New Roman" w:hAnsi="Times New Roman" w:hint="eastAsia"/>
          <w:lang w:val="zh-CN" w:eastAsia="zh-CN"/>
          <w:highlight w:val="none"/>
        </w:rPr>
      </w:pPr>
      <w:bookmarkStart w:id="16" w:name="_Toc1146570714"/>
      <w:bookmarkStart w:id="17" w:name="_Toc22727"/>
      <w:r>
        <w:rPr>
          <w:rFonts w:cs="Times New Roman" w:hint="eastAsia"/>
          <w:lang w:val="en-US" w:eastAsia="zh-CN"/>
          <w:highlight w:val="none"/>
        </w:rPr>
        <w:t>资源</w:t>
      </w:r>
      <w:bookmarkEnd w:id="16"/>
      <w:r>
        <w:rPr>
          <w:rFonts w:cs="Times New Roman" w:hint="eastAsia"/>
          <w:lang w:val="en-US" w:eastAsia="zh-CN"/>
          <w:highlight w:val="none"/>
        </w:rPr>
        <w:t>数字化管理</w:t>
      </w:r>
      <w:bookmarkEnd w:id="17"/>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hint="eastAsia"/>
          <w:b/>
          <w:bCs/>
          <w:color w:val="auto"/>
          <w:sz w:val="28"/>
          <w:szCs w:val="28"/>
          <w:lang w:val="en-US" w:eastAsia="zh-CN"/>
          <w:highlight w:val="none"/>
        </w:rPr>
      </w:pPr>
      <w:bookmarkStart w:id="18" w:name="_Toc1043225667"/>
      <w:bookmarkStart w:id="19" w:name="_Toc8571"/>
      <w:r>
        <w:rPr>
          <w:rFonts w:ascii="Times New Roman" w:eastAsia="黑体" w:cs="Times New Roman" w:hAnsi="Times New Roman" w:hint="eastAsia"/>
          <w:b/>
          <w:bCs/>
          <w:color w:val="auto"/>
          <w:sz w:val="28"/>
          <w:szCs w:val="28"/>
          <w:lang w:val="en-US" w:eastAsia="zh-CN"/>
          <w:highlight w:val="none"/>
        </w:rPr>
        <w:t>一般规定</w:t>
      </w:r>
      <w:bookmarkEnd w:id="18"/>
      <w:bookmarkEnd w:id="19"/>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检测资源的数字化管理应包括人员、设备、场所和外部服务的数字化管理。</w:t>
      </w:r>
    </w:p>
    <w:p>
      <w:pPr>
        <w:numPr>
          <w:ilvl w:val="2"/>
          <w:numId w:val="1"/>
        </w:numPr>
        <w:ind w:left="0" w:firstLine="0"/>
        <w:rPr>
          <w:rFonts w:ascii="Times New Roman" w:hAnsi="Times New Roman" w:hint="eastAsia"/>
          <w:lang w:val="en-US" w:eastAsia="zh-CN"/>
          <w:highlight w:val="none"/>
        </w:rPr>
      </w:pPr>
      <w:r>
        <w:rPr>
          <w:rFonts w:ascii="Times New Roman" w:hAnsi="Times New Roman" w:hint="eastAsia"/>
          <w:lang w:val="en-US" w:eastAsia="zh-CN"/>
          <w:highlight w:val="none"/>
        </w:rPr>
        <w:t>应实时更新资质信息，核查检测资源是否满足资质管理相关要求，明确检测资质认定范围内的检测项目清单、检测参数范围、依据标准及有效期限，并建立检测资质动态管理机制。</w:t>
      </w:r>
    </w:p>
    <w:p>
      <w:pPr>
        <w:tabs>
          <w:tab w:val="left" w:pos="0"/>
        </w:tabs>
        <w:rPr>
          <w:rFonts w:ascii="Times New Roman" w:eastAsia="宋体" w:cs="Times New Roman" w:hAnsi="Times New Roman"/>
          <w:b w:val="0"/>
          <w:bCs w:val="0"/>
          <w:color w:val="auto"/>
          <w:sz w:val="24"/>
          <w:szCs w:val="24"/>
          <w:shd w:val="clear" w:color="FFFFFF" w:fill="D9D9D9"/>
          <w:lang w:val="en-US" w:eastAsia="zh-CN"/>
          <w:highlight w:val="none"/>
        </w:rPr>
      </w:pPr>
      <w:r>
        <w:rPr>
          <w:rFonts w:ascii="Times New Roman" w:hAnsi="Times New Roman"/>
          <w:shd w:val="clear" w:color="FFFFFF" w:fill="D9D9D9"/>
          <w:highlight w:val="none"/>
        </w:rPr>
        <w:t>【条文说明】</w:t>
      </w:r>
      <w:r>
        <w:rPr>
          <w:rFonts w:ascii="Times New Roman" w:hAnsi="Times New Roman" w:hint="eastAsia"/>
          <w:shd w:val="clear" w:color="FFFFFF" w:fill="D9D9D9"/>
          <w:highlight w:val="none"/>
        </w:rPr>
        <w:t>根据</w:t>
      </w:r>
      <w:r>
        <w:rPr>
          <w:rFonts w:ascii="Times New Roman" w:hAnsi="Times New Roman" w:hint="eastAsia"/>
          <w:shd w:val="clear" w:color="FFFFFF" w:fill="D9D9D9"/>
          <w:lang w:eastAsia="zh-CN"/>
          <w:highlight w:val="none"/>
        </w:rPr>
        <w:t>《检测和校准实验室能力的通用要求》</w:t>
      </w:r>
      <w:r>
        <w:rPr>
          <w:rFonts w:ascii="Times New Roman" w:hAnsi="Times New Roman" w:hint="eastAsia"/>
          <w:shd w:val="clear" w:color="FFFFFF" w:fill="D9D9D9"/>
          <w:highlight w:val="none"/>
        </w:rPr>
        <w:t>GB/T 27025-2019及《建设工程质量检测管理办法》（住建部令第57号）相关要求，本条款针对建设工程质量检测机构资质的数字化管理提出明确要求，旨在通过系统化手段实现资质信息的规范管控与动态更新</w:t>
      </w:r>
      <w:r>
        <w:rPr>
          <w:rFonts w:ascii="Times New Roman" w:hAnsi="Times New Roman" w:hint="eastAsia"/>
          <w:shd w:val="clear" w:color="FFFFFF" w:fill="D9D9D9"/>
          <w:lang w:val="en-US" w:eastAsia="zh-CN"/>
          <w:highlight w:val="none"/>
        </w:rPr>
        <w:t>，形成与实际检测能力匹配的资质信息库</w:t>
      </w:r>
      <w:r>
        <w:rPr>
          <w:rFonts w:ascii="Times New Roman" w:hAnsi="Times New Roman" w:hint="eastAsia"/>
          <w:shd w:val="clear" w:color="FFFFFF" w:fill="D9D9D9"/>
          <w:highlight w:val="none"/>
        </w:rPr>
        <w:t>，确保检测业务始终在合规范围内开展</w:t>
      </w:r>
      <w:r>
        <w:rPr>
          <w:rFonts w:ascii="Times New Roman" w:hAnsi="Times New Roman" w:hint="eastAsia"/>
          <w:shd w:val="clear" w:color="FFFFFF" w:fill="D9D9D9"/>
          <w:lang w:val="en-US" w:eastAsia="zh-CN"/>
          <w:highlight w:val="none"/>
        </w:rPr>
        <w:t>，确保资质能力范围与检测业务开展始终保持合规一致</w:t>
      </w:r>
      <w:r>
        <w:rPr>
          <w:rFonts w:ascii="Times New Roman" w:hAnsi="Times New Roman" w:hint="eastAsia"/>
          <w:shd w:val="clear" w:color="FFFFFF" w:fill="D9D9D9"/>
          <w:highlight w:val="none"/>
        </w:rPr>
        <w:t>。</w:t>
      </w:r>
      <w:r>
        <w:rPr>
          <w:rFonts w:ascii="Times New Roman" w:eastAsia="宋体" w:cs="Times New Roman" w:hAnsi="Times New Roman"/>
          <w:b w:val="0"/>
          <w:bCs w:val="0"/>
          <w:color w:val="auto"/>
          <w:sz w:val="24"/>
          <w:szCs w:val="24"/>
          <w:shd w:val="clear" w:color="FFFFFF" w:fill="D9D9D9"/>
          <w:lang w:val="en-US" w:eastAsia="zh-CN"/>
          <w:highlight w:val="none"/>
        </w:rPr>
        <w:t>通过数字化技术构建资源与《建设工程质量检测机构资质标准》及相关检测标准要求的自动比对机制，确保机构资源配置始终符合资质存续与检测活动开展的法定条件，是检测机构规避合规风险、保障检测数据有效性的关键支撑。</w:t>
      </w:r>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b/>
          <w:bCs/>
          <w:color w:val="auto"/>
          <w:sz w:val="28"/>
          <w:szCs w:val="28"/>
          <w:lang w:val="en-US" w:eastAsia="zh-CN"/>
          <w:highlight w:val="none"/>
        </w:rPr>
      </w:pPr>
      <w:bookmarkStart w:id="20" w:name="_Toc1437291161"/>
      <w:bookmarkStart w:id="21" w:name="_Toc24426"/>
      <w:bookmarkStart w:id="22" w:name="_Toc26417"/>
      <w:bookmarkStart w:id="23" w:name="_Toc17901"/>
      <w:bookmarkStart w:id="24" w:name="_Toc13770"/>
      <w:r>
        <w:rPr>
          <w:rFonts w:ascii="Times New Roman" w:eastAsia="黑体" w:cs="Times New Roman" w:hAnsi="Times New Roman" w:hint="eastAsia"/>
          <w:b/>
          <w:bCs/>
          <w:color w:val="auto"/>
          <w:sz w:val="28"/>
          <w:szCs w:val="28"/>
          <w:lang w:val="en-US" w:eastAsia="zh-CN"/>
          <w:highlight w:val="none"/>
        </w:rPr>
        <w:t>人员</w:t>
      </w:r>
      <w:bookmarkStart w:id="25" w:name="_Toc135650301"/>
      <w:bookmarkStart w:id="26" w:name="_Toc19544"/>
      <w:bookmarkEnd w:id="20"/>
      <w:bookmarkEnd w:id="21"/>
      <w:bookmarkEnd w:id="22"/>
      <w:bookmarkEnd w:id="23"/>
      <w:bookmarkEnd w:id="24"/>
    </w:p>
    <w:p>
      <w:pPr>
        <w:numPr>
          <w:ilvl w:val="2"/>
          <w:numId w:val="1"/>
        </w:numPr>
        <w:ind w:left="0" w:firstLine="0"/>
        <w:rPr>
          <w:rFonts w:ascii="Times New Roman" w:hAnsi="Times New Roman"/>
          <w:highlight w:val="none"/>
        </w:rPr>
      </w:pPr>
      <w:bookmarkStart w:id="27" w:name="OLE_LINK60"/>
      <w:bookmarkStart w:id="28" w:name="_Toc22971"/>
      <w:bookmarkStart w:id="29" w:name="_Toc27290"/>
      <w:bookmarkStart w:id="30" w:name="_Toc5792"/>
      <w:r>
        <w:rPr>
          <w:rFonts w:ascii="Times New Roman" w:hAnsi="Times New Roman" w:hint="eastAsia"/>
          <w:highlight w:val="none"/>
        </w:rPr>
        <w:t>人员数字化管理应</w:t>
      </w:r>
      <w:r>
        <w:rPr>
          <w:rFonts w:ascii="Times New Roman" w:hAnsi="Times New Roman" w:hint="eastAsia"/>
          <w:lang w:val="en-US" w:eastAsia="zh-CN"/>
          <w:highlight w:val="none"/>
        </w:rPr>
        <w:t>包括人员培训、人员</w:t>
      </w:r>
      <w:r>
        <w:rPr>
          <w:rFonts w:ascii="Times New Roman" w:hAnsi="Times New Roman" w:hint="eastAsia"/>
          <w:color w:val="auto"/>
          <w:lang w:val="en-US" w:eastAsia="zh-CN"/>
          <w:highlight w:val="none"/>
        </w:rPr>
        <w:t>监督与能力监控</w:t>
      </w:r>
      <w:r>
        <w:rPr>
          <w:rFonts w:ascii="Times New Roman" w:hAnsi="Times New Roman" w:hint="eastAsia"/>
          <w:lang w:val="en-US" w:eastAsia="zh-CN"/>
          <w:highlight w:val="none"/>
        </w:rPr>
        <w:t>、人员能力</w:t>
      </w:r>
      <w:r>
        <w:rPr>
          <w:rFonts w:ascii="Times New Roman" w:hAnsi="Times New Roman" w:hint="eastAsia"/>
          <w:color w:val="auto"/>
          <w:lang w:val="en-US" w:eastAsia="zh-CN"/>
          <w:highlight w:val="none"/>
        </w:rPr>
        <w:t>确认与授权</w:t>
      </w:r>
      <w:r>
        <w:rPr>
          <w:rFonts w:ascii="Times New Roman" w:hAnsi="Times New Roman" w:hint="eastAsia"/>
          <w:lang w:val="en-US" w:eastAsia="zh-CN"/>
          <w:highlight w:val="none"/>
        </w:rPr>
        <w:t>及人员档案的数字化管理</w:t>
      </w:r>
      <w:r>
        <w:rPr>
          <w:rFonts w:ascii="Times New Roman" w:hAnsi="Times New Roman" w:hint="eastAsia"/>
          <w:lang w:eastAsia="zh-CN"/>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bookmarkStart w:id="31" w:name="_Toc6259"/>
      <w:bookmarkStart w:id="32" w:name="_Toc4811"/>
      <w:bookmarkEnd w:id="25"/>
      <w:bookmarkEnd w:id="26"/>
      <w:bookmarkEnd w:id="27"/>
      <w:bookmarkEnd w:id="28"/>
      <w:bookmarkEnd w:id="29"/>
      <w:bookmarkEnd w:id="30"/>
      <w:r>
        <w:rPr>
          <w:rFonts w:ascii="Times New Roman" w:hAnsi="Times New Roman" w:hint="eastAsia"/>
          <w:color w:val="auto"/>
          <w:lang w:val="en-US" w:eastAsia="zh-CN"/>
          <w:highlight w:val="none"/>
        </w:rPr>
        <w:t>人员培训</w:t>
      </w:r>
      <w:r>
        <w:rPr>
          <w:rFonts w:ascii="Times New Roman" w:hAnsi="Times New Roman" w:hint="eastAsia"/>
          <w:color w:val="auto"/>
          <w:lang w:eastAsia="zh-CN"/>
          <w:highlight w:val="none"/>
        </w:rPr>
        <w:t>的</w:t>
      </w:r>
      <w:r>
        <w:rPr>
          <w:rFonts w:ascii="Times New Roman" w:eastAsia="宋体" w:cs="Times New Roman" w:hAnsi="Times New Roman" w:hint="eastAsia"/>
          <w:color w:val="auto"/>
          <w:sz w:val="24"/>
          <w:szCs w:val="24"/>
          <w:lang w:val="en-US" w:eastAsia="zh-CN"/>
          <w:highlight w:val="none"/>
        </w:rPr>
        <w:t>数字化管理</w:t>
      </w:r>
      <w:r>
        <w:rPr>
          <w:rFonts w:ascii="Times New Roman" w:cs="Times New Roman" w:hAnsi="Times New Roman" w:hint="eastAsia"/>
          <w:color w:val="auto"/>
          <w:sz w:val="24"/>
          <w:szCs w:val="24"/>
          <w:lang w:val="en-US" w:eastAsia="zh-CN"/>
          <w:highlight w:val="none"/>
        </w:rPr>
        <w:t>应符合下列规定</w:t>
      </w:r>
      <w:r>
        <w:rPr>
          <w:rFonts w:ascii="Times New Roman" w:eastAsia="宋体" w:cs="Times New Roman" w:hAnsi="Times New Roman" w:hint="eastAsia"/>
          <w:color w:val="auto"/>
          <w:sz w:val="24"/>
          <w:szCs w:val="24"/>
          <w:lang w:val="en-US" w:eastAsia="zh-CN"/>
          <w:highlight w:val="none"/>
        </w:rPr>
        <w:t>：</w:t>
      </w:r>
    </w:p>
    <w:p>
      <w:pPr>
        <w:keepNext w:val="0"/>
        <w:keepLines w:val="0"/>
        <w:pageBreakBefore w:val="0"/>
        <w:widowControl w:val="0"/>
        <w:numPr>
          <w:ilvl w:val="0"/>
          <w:numId w:val="11"/>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hint="eastAsia"/>
          <w:color w:val="auto"/>
          <w:shd w:val="clear" w:color="auto" w:fill="auto"/>
          <w:lang w:val="en-US" w:eastAsia="zh-CN"/>
          <w:highlight w:val="none"/>
        </w:rPr>
        <w:t>应建立和规范人员培训计划、实施、考核和评价的管理流程，并将评价结果应用于</w:t>
      </w:r>
      <w:r>
        <w:rPr>
          <w:rFonts w:ascii="Times New Roman" w:hAnsi="Times New Roman" w:hint="eastAsia"/>
          <w:color w:val="auto"/>
          <w:lang w:val="en-US" w:eastAsia="zh-CN"/>
          <w:highlight w:val="none"/>
        </w:rPr>
        <w:t>人员能力确认与授权</w:t>
      </w:r>
      <w:r>
        <w:rPr>
          <w:rFonts w:ascii="Times New Roman" w:hAnsi="Times New Roman" w:hint="eastAsia"/>
          <w:color w:val="auto"/>
          <w:shd w:val="clear" w:color="auto" w:fill="auto"/>
          <w:lang w:val="en-US" w:eastAsia="zh-CN"/>
          <w:highlight w:val="none"/>
        </w:rPr>
        <w:t>管理；</w:t>
      </w:r>
    </w:p>
    <w:p>
      <w:pPr>
        <w:keepNext w:val="0"/>
        <w:keepLines w:val="0"/>
        <w:pageBreakBefore w:val="0"/>
        <w:widowControl w:val="0"/>
        <w:numPr>
          <w:ilvl w:val="0"/>
          <w:numId w:val="11"/>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w:t>
      </w:r>
      <w:r>
        <w:rPr>
          <w:rFonts w:ascii="Times New Roman" w:hAnsi="Times New Roman" w:hint="eastAsia"/>
          <w:color w:val="auto"/>
          <w:shd w:val="clear" w:color="auto" w:fill="auto"/>
          <w:lang w:eastAsia="zh-CN"/>
          <w:highlight w:val="none"/>
        </w:rPr>
        <w:t>采集</w:t>
      </w:r>
      <w:r>
        <w:rPr>
          <w:rFonts w:ascii="Times New Roman" w:hAnsi="Times New Roman"/>
          <w:color w:val="auto"/>
          <w:shd w:val="clear" w:color="auto" w:fill="auto"/>
          <w:highlight w:val="none"/>
        </w:rPr>
        <w:t>人员培训</w:t>
      </w:r>
      <w:r>
        <w:rPr>
          <w:rFonts w:ascii="Times New Roman" w:hAnsi="Times New Roman" w:hint="eastAsia"/>
          <w:color w:val="auto"/>
          <w:shd w:val="clear" w:color="auto" w:fill="auto"/>
          <w:lang w:val="en-US" w:eastAsia="zh-CN"/>
          <w:highlight w:val="none"/>
        </w:rPr>
        <w:t>信息，包括</w:t>
      </w:r>
      <w:r>
        <w:rPr>
          <w:rFonts w:ascii="Times New Roman" w:hAnsi="Times New Roman"/>
          <w:color w:val="auto"/>
          <w:shd w:val="clear" w:color="auto" w:fill="auto"/>
          <w:highlight w:val="none"/>
        </w:rPr>
        <w:t>培训名称、培训类型、培训时间</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考核形式</w:t>
      </w:r>
      <w:r>
        <w:rPr>
          <w:rFonts w:ascii="Times New Roman" w:hAnsi="Times New Roman"/>
          <w:color w:val="auto"/>
          <w:shd w:val="clear" w:color="auto" w:fill="auto"/>
          <w:highlight w:val="none"/>
        </w:rPr>
        <w:t>与培训评价；</w:t>
      </w:r>
    </w:p>
    <w:p>
      <w:pPr>
        <w:keepNext w:val="0"/>
        <w:keepLines w:val="0"/>
        <w:pageBreakBefore w:val="0"/>
        <w:widowControl w:val="0"/>
        <w:numPr>
          <w:ilvl w:val="0"/>
          <w:numId w:val="11"/>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应根据培训评价</w:t>
      </w:r>
      <w:r>
        <w:rPr>
          <w:rFonts w:ascii="Times New Roman" w:hAnsi="Times New Roman" w:hint="eastAsia"/>
          <w:color w:val="auto"/>
          <w:shd w:val="clear" w:color="auto" w:fill="auto"/>
          <w:lang w:val="en-US" w:eastAsia="zh-CN"/>
          <w:highlight w:val="none"/>
        </w:rPr>
        <w:t>和</w:t>
      </w:r>
      <w:r>
        <w:rPr>
          <w:rFonts w:ascii="Times New Roman" w:hAnsi="Times New Roman"/>
          <w:color w:val="auto"/>
          <w:shd w:val="clear" w:color="auto" w:fill="auto"/>
          <w:highlight w:val="none"/>
        </w:rPr>
        <w:t>考核成绩评估培训效果，识别培训需求缺口；</w:t>
      </w:r>
    </w:p>
    <w:p>
      <w:pPr>
        <w:keepNext w:val="0"/>
        <w:keepLines w:val="0"/>
        <w:pageBreakBefore w:val="0"/>
        <w:widowControl w:val="0"/>
        <w:numPr>
          <w:ilvl w:val="0"/>
          <w:numId w:val="1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w:t>
      </w:r>
      <w:r>
        <w:rPr>
          <w:rFonts w:ascii="Times New Roman" w:hAnsi="Times New Roman"/>
          <w:color w:val="auto"/>
          <w:shd w:val="clear" w:color="auto" w:fill="auto"/>
          <w:highlight w:val="none"/>
        </w:rPr>
        <w:t>结合培训需求缺口</w:t>
      </w:r>
      <w:r>
        <w:rPr>
          <w:rFonts w:ascii="Times New Roman" w:hAnsi="Times New Roman" w:hint="eastAsia"/>
          <w:color w:val="auto"/>
          <w:shd w:val="clear" w:color="auto" w:fill="auto"/>
          <w:lang w:val="en-US" w:eastAsia="zh-CN"/>
          <w:highlight w:val="none"/>
        </w:rPr>
        <w:t>调整</w:t>
      </w:r>
      <w:r>
        <w:rPr>
          <w:rFonts w:ascii="Times New Roman" w:hAnsi="Times New Roman"/>
          <w:color w:val="auto"/>
          <w:shd w:val="clear" w:color="auto" w:fill="auto"/>
          <w:highlight w:val="none"/>
        </w:rPr>
        <w:t>培训计划。</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hAnsi="Times New Roman" w:hint="eastAsia"/>
          <w:color w:val="auto"/>
          <w:lang w:val="en-US" w:eastAsia="zh-CN"/>
          <w:highlight w:val="none"/>
        </w:rPr>
        <w:t>人员监督与能力监控</w:t>
      </w:r>
      <w:r>
        <w:rPr>
          <w:rFonts w:ascii="Times New Roman" w:hAnsi="Times New Roman" w:hint="eastAsia"/>
          <w:color w:val="auto"/>
          <w:lang w:eastAsia="zh-CN"/>
          <w:highlight w:val="none"/>
        </w:rPr>
        <w:t>的</w:t>
      </w:r>
      <w:r>
        <w:rPr>
          <w:rFonts w:ascii="Times New Roman" w:eastAsia="宋体" w:cs="Times New Roman" w:hAnsi="Times New Roman" w:hint="eastAsia"/>
          <w:color w:val="auto"/>
          <w:sz w:val="24"/>
          <w:szCs w:val="24"/>
          <w:lang w:val="en-US" w:eastAsia="zh-CN"/>
          <w:highlight w:val="none"/>
        </w:rPr>
        <w:t>数字化管理</w:t>
      </w:r>
      <w:r>
        <w:rPr>
          <w:rFonts w:ascii="Times New Roman" w:cs="Times New Roman" w:hAnsi="Times New Roman" w:hint="eastAsia"/>
          <w:color w:val="auto"/>
          <w:sz w:val="24"/>
          <w:szCs w:val="24"/>
          <w:lang w:val="en-US" w:eastAsia="zh-CN"/>
          <w:highlight w:val="none"/>
        </w:rPr>
        <w:t>应符合下列规定</w:t>
      </w:r>
      <w:r>
        <w:rPr>
          <w:rFonts w:ascii="Times New Roman" w:eastAsia="宋体" w:cs="Times New Roman" w:hAnsi="Times New Roman" w:hint="eastAsia"/>
          <w:color w:val="auto"/>
          <w:sz w:val="24"/>
          <w:szCs w:val="24"/>
          <w:lang w:val="en-US" w:eastAsia="zh-CN"/>
          <w:highlight w:val="none"/>
        </w:rPr>
        <w:t>：</w:t>
      </w:r>
    </w:p>
    <w:p>
      <w:pPr>
        <w:keepNext w:val="0"/>
        <w:keepLines w:val="0"/>
        <w:pageBreakBefore w:val="0"/>
        <w:widowControl w:val="0"/>
        <w:numPr>
          <w:ilvl w:val="0"/>
          <w:numId w:val="1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hint="eastAsia"/>
          <w:color w:val="auto"/>
          <w:shd w:val="clear" w:color="auto" w:fill="auto"/>
          <w:lang w:val="en-US" w:eastAsia="zh-CN"/>
          <w:highlight w:val="none"/>
        </w:rPr>
        <w:t>应建立和规范</w:t>
      </w:r>
      <w:r>
        <w:rPr>
          <w:rFonts w:ascii="Times New Roman" w:hAnsi="Times New Roman" w:hint="eastAsia"/>
          <w:color w:val="auto"/>
          <w:lang w:val="en-US" w:eastAsia="zh-CN"/>
          <w:highlight w:val="none"/>
        </w:rPr>
        <w:t>人员监督与能力监控计划制订、批准、实施、结果的</w:t>
      </w:r>
      <w:r>
        <w:rPr>
          <w:rFonts w:ascii="Times New Roman" w:hAnsi="Times New Roman" w:hint="eastAsia"/>
          <w:color w:val="auto"/>
          <w:shd w:val="clear" w:color="auto" w:fill="auto"/>
          <w:lang w:val="en-US" w:eastAsia="zh-CN"/>
          <w:highlight w:val="none"/>
        </w:rPr>
        <w:t>管理流程，并将结果应用于</w:t>
      </w:r>
      <w:r>
        <w:rPr>
          <w:rFonts w:ascii="Times New Roman" w:hAnsi="Times New Roman" w:hint="eastAsia"/>
          <w:color w:val="auto"/>
          <w:lang w:val="en-US" w:eastAsia="zh-CN"/>
          <w:highlight w:val="none"/>
        </w:rPr>
        <w:t>人员能力确认与授权</w:t>
      </w:r>
      <w:r>
        <w:rPr>
          <w:rFonts w:ascii="Times New Roman" w:hAnsi="Times New Roman" w:hint="eastAsia"/>
          <w:color w:val="auto"/>
          <w:shd w:val="clear" w:color="auto" w:fill="auto"/>
          <w:lang w:val="en-US" w:eastAsia="zh-CN"/>
          <w:highlight w:val="none"/>
        </w:rPr>
        <w:t>管理；</w:t>
      </w:r>
    </w:p>
    <w:p>
      <w:pPr>
        <w:keepNext w:val="0"/>
        <w:keepLines w:val="0"/>
        <w:pageBreakBefore w:val="0"/>
        <w:widowControl w:val="0"/>
        <w:numPr>
          <w:ilvl w:val="0"/>
          <w:numId w:val="1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w:t>
      </w:r>
      <w:r>
        <w:rPr>
          <w:rFonts w:ascii="Times New Roman" w:hAnsi="Times New Roman" w:hint="eastAsia"/>
          <w:color w:val="auto"/>
          <w:shd w:val="clear" w:color="auto" w:fill="auto"/>
          <w:lang w:eastAsia="zh-CN"/>
          <w:highlight w:val="none"/>
        </w:rPr>
        <w:t>采集</w:t>
      </w:r>
      <w:r>
        <w:rPr>
          <w:rFonts w:ascii="Times New Roman" w:hAnsi="Times New Roman"/>
          <w:color w:val="auto"/>
          <w:shd w:val="clear" w:color="auto" w:fill="auto"/>
          <w:highlight w:val="none"/>
        </w:rPr>
        <w:t>检测人员的监督信息，包括监督编号、监督内容、监督类型、监督实施日期、监督结论与监督员；</w:t>
      </w:r>
    </w:p>
    <w:p>
      <w:pPr>
        <w:keepNext w:val="0"/>
        <w:keepLines w:val="0"/>
        <w:pageBreakBefore w:val="0"/>
        <w:widowControl w:val="0"/>
        <w:numPr>
          <w:ilvl w:val="0"/>
          <w:numId w:val="1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应根据持证有效性、培训完成率及监督合格率评估检测人员的能力状态；</w:t>
      </w:r>
    </w:p>
    <w:p>
      <w:pPr>
        <w:keepNext w:val="0"/>
        <w:keepLines w:val="0"/>
        <w:pageBreakBefore w:val="0"/>
        <w:widowControl w:val="0"/>
        <w:numPr>
          <w:ilvl w:val="0"/>
          <w:numId w:val="12"/>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w:t>
      </w:r>
      <w:r>
        <w:rPr>
          <w:rFonts w:ascii="Times New Roman" w:hAnsi="Times New Roman"/>
          <w:color w:val="auto"/>
          <w:shd w:val="clear" w:color="auto" w:fill="auto"/>
          <w:highlight w:val="none"/>
        </w:rPr>
        <w:t>对重复出现的违规行为暂停授权，并追溯培训及授权流程合规性</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宜</w:t>
      </w:r>
      <w:r>
        <w:rPr>
          <w:rFonts w:ascii="Times New Roman" w:hAnsi="Times New Roman"/>
          <w:color w:val="auto"/>
          <w:shd w:val="clear" w:color="auto" w:fill="auto"/>
          <w:highlight w:val="none"/>
        </w:rPr>
        <w:t>将人员绩效与监督结论</w:t>
      </w:r>
      <w:r>
        <w:rPr>
          <w:rFonts w:ascii="Times New Roman" w:hAnsi="Times New Roman" w:hint="eastAsia"/>
          <w:color w:val="auto"/>
          <w:shd w:val="clear" w:color="auto" w:fill="auto"/>
          <w:lang w:val="en-US" w:eastAsia="zh-CN"/>
          <w:highlight w:val="none"/>
        </w:rPr>
        <w:t>和</w:t>
      </w:r>
      <w:r>
        <w:rPr>
          <w:rFonts w:ascii="Times New Roman" w:hAnsi="Times New Roman"/>
          <w:color w:val="auto"/>
          <w:shd w:val="clear" w:color="auto" w:fill="auto"/>
          <w:highlight w:val="none"/>
        </w:rPr>
        <w:t>能力状态关联。</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hAnsi="Times New Roman" w:hint="eastAsia"/>
          <w:color w:val="auto"/>
          <w:lang w:val="en-US" w:eastAsia="zh-CN"/>
          <w:highlight w:val="none"/>
        </w:rPr>
        <w:t>人员能力确认与授权</w:t>
      </w:r>
      <w:r>
        <w:rPr>
          <w:rFonts w:ascii="Times New Roman" w:hAnsi="Times New Roman" w:hint="eastAsia"/>
          <w:color w:val="auto"/>
          <w:lang w:eastAsia="zh-CN"/>
          <w:highlight w:val="none"/>
        </w:rPr>
        <w:t>的</w:t>
      </w:r>
      <w:r>
        <w:rPr>
          <w:rFonts w:ascii="Times New Roman" w:eastAsia="宋体" w:cs="Times New Roman" w:hAnsi="Times New Roman" w:hint="eastAsia"/>
          <w:color w:val="auto"/>
          <w:sz w:val="24"/>
          <w:szCs w:val="24"/>
          <w:lang w:val="en-US" w:eastAsia="zh-CN"/>
          <w:highlight w:val="none"/>
        </w:rPr>
        <w:t>数字化管理</w:t>
      </w:r>
      <w:r>
        <w:rPr>
          <w:rFonts w:ascii="Times New Roman" w:cs="Times New Roman" w:hAnsi="Times New Roman" w:hint="eastAsia"/>
          <w:color w:val="auto"/>
          <w:sz w:val="24"/>
          <w:szCs w:val="24"/>
          <w:lang w:val="en-US" w:eastAsia="zh-CN"/>
          <w:highlight w:val="none"/>
        </w:rPr>
        <w:t>应符合下列规定</w:t>
      </w:r>
      <w:r>
        <w:rPr>
          <w:rFonts w:ascii="Times New Roman" w:eastAsia="宋体" w:cs="Times New Roman" w:hAnsi="Times New Roman" w:hint="eastAsia"/>
          <w:color w:val="auto"/>
          <w:sz w:val="24"/>
          <w:szCs w:val="24"/>
          <w:lang w:val="en-US" w:eastAsia="zh-CN"/>
          <w:highlight w:val="none"/>
        </w:rPr>
        <w:t>：</w:t>
      </w:r>
    </w:p>
    <w:p>
      <w:pPr>
        <w:keepNext w:val="0"/>
        <w:keepLines w:val="0"/>
        <w:pageBreakBefore w:val="0"/>
        <w:widowControl w:val="0"/>
        <w:numPr>
          <w:ilvl w:val="0"/>
          <w:numId w:val="1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hint="eastAsia"/>
          <w:color w:val="auto"/>
          <w:shd w:val="clear" w:color="auto" w:fill="auto"/>
          <w:lang w:val="en-US" w:eastAsia="zh-CN"/>
          <w:highlight w:val="none"/>
        </w:rPr>
        <w:t>应建立和规范</w:t>
      </w:r>
      <w:r>
        <w:rPr>
          <w:rFonts w:ascii="Times New Roman" w:hAnsi="Times New Roman" w:hint="eastAsia"/>
          <w:color w:val="auto"/>
          <w:lang w:val="en-US" w:eastAsia="zh-CN"/>
          <w:highlight w:val="none"/>
        </w:rPr>
        <w:t>能力确认与授权的管理流程，形成能力确认记录与授权记录，授权内容宜包括检测场所、岗位、设备使用、检测能力、结果分析、方法验证/确认等内容；</w:t>
      </w:r>
    </w:p>
    <w:p>
      <w:pPr>
        <w:keepNext w:val="0"/>
        <w:keepLines w:val="0"/>
        <w:pageBreakBefore w:val="0"/>
        <w:widowControl w:val="0"/>
        <w:numPr>
          <w:ilvl w:val="0"/>
          <w:numId w:val="1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w:t>
      </w:r>
      <w:r>
        <w:rPr>
          <w:rFonts w:ascii="Times New Roman" w:hAnsi="Times New Roman" w:hint="eastAsia"/>
          <w:color w:val="auto"/>
          <w:shd w:val="clear" w:color="auto" w:fill="auto"/>
          <w:lang w:eastAsia="zh-CN"/>
          <w:highlight w:val="none"/>
        </w:rPr>
        <w:t>采集</w:t>
      </w:r>
      <w:r>
        <w:rPr>
          <w:rFonts w:ascii="Times New Roman" w:hAnsi="Times New Roman"/>
          <w:color w:val="auto"/>
          <w:shd w:val="clear" w:color="auto" w:fill="auto"/>
          <w:highlight w:val="none"/>
        </w:rPr>
        <w:t>检测人员的授权信息，包括授权人、授权类型、授权依据、授权场所</w:t>
      </w:r>
      <w:r>
        <w:rPr>
          <w:rFonts w:ascii="Times New Roman" w:hAnsi="Times New Roman" w:hint="eastAsia"/>
          <w:color w:val="auto"/>
          <w:shd w:val="clear" w:color="auto" w:fill="auto"/>
          <w:lang w:val="en-US" w:eastAsia="zh-CN"/>
          <w:highlight w:val="none"/>
        </w:rPr>
        <w:t>和</w:t>
      </w:r>
      <w:r>
        <w:rPr>
          <w:rFonts w:ascii="Times New Roman" w:hAnsi="Times New Roman"/>
          <w:color w:val="auto"/>
          <w:shd w:val="clear" w:color="auto" w:fill="auto"/>
          <w:highlight w:val="none"/>
        </w:rPr>
        <w:t>授权参数；</w:t>
      </w:r>
    </w:p>
    <w:p>
      <w:pPr>
        <w:keepNext w:val="0"/>
        <w:keepLines w:val="0"/>
        <w:pageBreakBefore w:val="0"/>
        <w:widowControl w:val="0"/>
        <w:numPr>
          <w:ilvl w:val="0"/>
          <w:numId w:val="1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color w:val="auto"/>
          <w:shd w:val="clear" w:color="auto" w:fill="auto"/>
          <w:highlight w:val="none"/>
        </w:rPr>
      </w:pPr>
      <w:r>
        <w:rPr>
          <w:rFonts w:ascii="Times New Roman" w:hAnsi="Times New Roman"/>
          <w:color w:val="auto"/>
          <w:shd w:val="clear" w:color="auto" w:fill="auto"/>
          <w:highlight w:val="none"/>
        </w:rPr>
        <w:t>应监控授权合规性，</w:t>
      </w:r>
      <w:r>
        <w:rPr>
          <w:rFonts w:ascii="Times New Roman" w:hAnsi="Times New Roman" w:hint="eastAsia"/>
          <w:color w:val="auto"/>
          <w:shd w:val="clear" w:color="auto" w:fill="auto"/>
          <w:lang w:val="en-US" w:eastAsia="zh-CN"/>
          <w:highlight w:val="none"/>
        </w:rPr>
        <w:t>校验授权人、授权场所和</w:t>
      </w:r>
      <w:r>
        <w:rPr>
          <w:rFonts w:ascii="Times New Roman" w:hAnsi="Times New Roman"/>
          <w:color w:val="auto"/>
          <w:shd w:val="clear" w:color="auto" w:fill="auto"/>
          <w:highlight w:val="none"/>
        </w:rPr>
        <w:t>授权参数与实际检测任务的匹配度；</w:t>
      </w:r>
    </w:p>
    <w:p>
      <w:pPr>
        <w:keepNext w:val="0"/>
        <w:keepLines w:val="0"/>
        <w:pageBreakBefore w:val="0"/>
        <w:widowControl w:val="0"/>
        <w:numPr>
          <w:ilvl w:val="0"/>
          <w:numId w:val="13"/>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lang w:val="en-US" w:eastAsia="zh-CN"/>
          <w:highlight w:val="none"/>
        </w:rPr>
      </w:pPr>
      <w:r>
        <w:rPr>
          <w:rFonts w:ascii="Times New Roman" w:hAnsi="Times New Roman"/>
          <w:color w:val="auto"/>
          <w:shd w:val="clear" w:color="auto" w:fill="auto"/>
          <w:highlight w:val="none"/>
        </w:rPr>
        <w:t>应根据能力矩阵动态调整检测人员授权范围，对能力不足人员暂停相应参数授权并触发复训流程。</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color w:val="auto"/>
          <w:sz w:val="24"/>
          <w:szCs w:val="24"/>
          <w:shd w:val="clear" w:color="FFFFFF" w:fill="D9D9D9"/>
          <w:lang w:val="en-US" w:eastAsia="zh-CN"/>
          <w:highlight w:val="none"/>
        </w:rPr>
      </w:pPr>
      <w:r>
        <w:rPr>
          <w:rFonts w:ascii="Times New Roman" w:hAnsi="Times New Roman" w:hint="eastAsia"/>
          <w:color w:val="auto"/>
          <w:shd w:val="clear" w:color="FFFFFF" w:fill="D9D9D9"/>
          <w:lang w:val="en-US" w:eastAsia="zh-CN"/>
          <w:highlight w:val="none"/>
        </w:rPr>
        <w:t>【条文说明】授权类型包括检验检测参数、方法验证、方法确认等。授权依据包括面试、笔试、查询档案、历史资料、监督结果等。</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bookmarkStart w:id="33" w:name="_Hlk143850600"/>
      <w:bookmarkEnd w:id="31"/>
      <w:bookmarkEnd w:id="32"/>
      <w:r>
        <w:rPr>
          <w:rFonts w:ascii="Times New Roman" w:hAnsi="Times New Roman" w:hint="eastAsia"/>
          <w:color w:val="auto"/>
          <w:lang w:val="en-US" w:eastAsia="zh-CN"/>
          <w:highlight w:val="none"/>
        </w:rPr>
        <w:t>人员档案</w:t>
      </w:r>
      <w:r>
        <w:rPr>
          <w:rFonts w:ascii="Times New Roman" w:hAnsi="Times New Roman" w:hint="eastAsia"/>
          <w:color w:val="auto"/>
          <w:lang w:eastAsia="zh-CN"/>
          <w:highlight w:val="none"/>
        </w:rPr>
        <w:t>的</w:t>
      </w:r>
      <w:r>
        <w:rPr>
          <w:rFonts w:ascii="Times New Roman" w:eastAsia="宋体" w:cs="Times New Roman" w:hAnsi="Times New Roman" w:hint="eastAsia"/>
          <w:color w:val="auto"/>
          <w:sz w:val="24"/>
          <w:szCs w:val="24"/>
          <w:lang w:val="en-US" w:eastAsia="zh-CN"/>
          <w:highlight w:val="none"/>
        </w:rPr>
        <w:t>数字化管理</w:t>
      </w:r>
      <w:r>
        <w:rPr>
          <w:rFonts w:ascii="Times New Roman" w:cs="Times New Roman" w:hAnsi="Times New Roman" w:hint="eastAsia"/>
          <w:color w:val="auto"/>
          <w:sz w:val="24"/>
          <w:szCs w:val="24"/>
          <w:lang w:val="en-US" w:eastAsia="zh-CN"/>
          <w:highlight w:val="none"/>
        </w:rPr>
        <w:t>应符合下列规定</w:t>
      </w:r>
      <w:r>
        <w:rPr>
          <w:rFonts w:ascii="Times New Roman" w:eastAsia="宋体" w:cs="Times New Roman" w:hAnsi="Times New Roman" w:hint="eastAsia"/>
          <w:color w:val="auto"/>
          <w:sz w:val="24"/>
          <w:szCs w:val="24"/>
          <w:lang w:val="en-US" w:eastAsia="zh-CN"/>
          <w:highlight w:val="none"/>
        </w:rPr>
        <w:t>：</w:t>
      </w:r>
    </w:p>
    <w:p>
      <w:pPr>
        <w:keepNext w:val="0"/>
        <w:keepLines w:val="0"/>
        <w:pageBreakBefore w:val="0"/>
        <w:widowControl w:val="0"/>
        <w:numPr>
          <w:ilvl w:val="0"/>
          <w:numId w:val="14"/>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应建立和规范人员的基本信息、培训、监督与能力监控、能力确认与授权记录的归档流程；</w:t>
      </w:r>
    </w:p>
    <w:p>
      <w:pPr>
        <w:keepNext w:val="0"/>
        <w:keepLines w:val="0"/>
        <w:pageBreakBefore w:val="0"/>
        <w:widowControl w:val="0"/>
        <w:numPr>
          <w:ilvl w:val="0"/>
          <w:numId w:val="14"/>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入职时</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任职期间</w:t>
      </w:r>
      <w:r>
        <w:rPr>
          <w:rFonts w:ascii="Times New Roman" w:hAnsi="Times New Roman" w:hint="eastAsia"/>
          <w:color w:val="auto"/>
          <w:shd w:val="clear" w:color="auto" w:fill="auto"/>
          <w:lang w:val="en-US" w:eastAsia="zh-CN"/>
          <w:highlight w:val="none"/>
        </w:rPr>
        <w:t>和离职时应分别</w:t>
      </w:r>
      <w:r>
        <w:rPr>
          <w:rFonts w:ascii="Times New Roman" w:hAnsi="Times New Roman" w:hint="eastAsia"/>
          <w:color w:val="auto"/>
          <w:shd w:val="clear" w:color="auto" w:fill="auto"/>
          <w:highlight w:val="none"/>
        </w:rPr>
        <w:t>完成</w:t>
      </w:r>
      <w:r>
        <w:rPr>
          <w:rFonts w:ascii="Times New Roman" w:hAnsi="Times New Roman" w:hint="eastAsia"/>
          <w:color w:val="auto"/>
          <w:shd w:val="clear" w:color="auto" w:fill="auto"/>
          <w:lang w:val="en-US" w:eastAsia="zh-CN"/>
          <w:highlight w:val="none"/>
        </w:rPr>
        <w:t>人员</w:t>
      </w:r>
      <w:r>
        <w:rPr>
          <w:rFonts w:ascii="Times New Roman" w:hAnsi="Times New Roman" w:hint="eastAsia"/>
          <w:color w:val="auto"/>
          <w:lang w:val="en-US" w:eastAsia="zh-CN"/>
          <w:highlight w:val="none"/>
        </w:rPr>
        <w:t>档案的建立</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动态更新</w:t>
      </w:r>
      <w:r>
        <w:rPr>
          <w:rFonts w:ascii="Times New Roman" w:hAnsi="Times New Roman" w:hint="eastAsia"/>
          <w:color w:val="auto"/>
          <w:shd w:val="clear" w:color="auto" w:fill="auto"/>
          <w:lang w:val="en-US" w:eastAsia="zh-CN"/>
          <w:highlight w:val="none"/>
        </w:rPr>
        <w:t>与离职</w:t>
      </w:r>
      <w:r>
        <w:rPr>
          <w:rFonts w:ascii="Times New Roman" w:hAnsi="Times New Roman" w:hint="eastAsia"/>
          <w:color w:val="auto"/>
          <w:shd w:val="clear" w:color="auto" w:fill="auto"/>
          <w:highlight w:val="none"/>
        </w:rPr>
        <w:t>归档</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人员档案应包括基本信息、培训信息、</w:t>
      </w:r>
      <w:r>
        <w:rPr>
          <w:rFonts w:ascii="Times New Roman" w:cs="Times New Roman" w:hAnsi="Times New Roman" w:hint="eastAsia"/>
          <w:color w:val="auto"/>
          <w:sz w:val="24"/>
          <w:szCs w:val="24"/>
          <w:shd w:val="clear" w:color="auto" w:fill="auto"/>
          <w:lang w:val="en-US" w:eastAsia="zh-CN"/>
          <w:highlight w:val="none"/>
        </w:rPr>
        <w:t>监督与能力监控</w:t>
      </w:r>
      <w:r>
        <w:rPr>
          <w:rFonts w:ascii="Times New Roman" w:hAnsi="Times New Roman"/>
          <w:color w:val="auto"/>
          <w:shd w:val="clear" w:color="auto" w:fill="auto"/>
          <w:highlight w:val="none"/>
        </w:rPr>
        <w:t>信息</w:t>
      </w:r>
      <w:r>
        <w:rPr>
          <w:rFonts w:ascii="Times New Roman" w:hAnsi="Times New Roman" w:hint="eastAsia"/>
          <w:color w:val="auto"/>
          <w:shd w:val="clear" w:color="auto" w:fill="auto"/>
          <w:lang w:eastAsia="zh-CN"/>
          <w:highlight w:val="none"/>
        </w:rPr>
        <w:t>、</w:t>
      </w:r>
      <w:r>
        <w:rPr>
          <w:rFonts w:ascii="Times New Roman" w:cs="Times New Roman" w:hAnsi="Times New Roman" w:hint="eastAsia"/>
          <w:color w:val="auto"/>
          <w:sz w:val="24"/>
          <w:szCs w:val="24"/>
          <w:shd w:val="clear" w:color="auto" w:fill="auto"/>
          <w:lang w:val="en-US" w:eastAsia="zh-CN"/>
          <w:highlight w:val="none"/>
        </w:rPr>
        <w:t>能力确认与授权</w:t>
      </w:r>
      <w:r>
        <w:rPr>
          <w:rFonts w:ascii="Times New Roman" w:hAnsi="Times New Roman" w:hint="eastAsia"/>
          <w:color w:val="auto"/>
          <w:shd w:val="clear" w:color="auto" w:fill="auto"/>
          <w:lang w:val="en-US" w:eastAsia="zh-CN"/>
          <w:highlight w:val="none"/>
        </w:rPr>
        <w:t>信息，基本信息应包括</w:t>
      </w:r>
      <w:r>
        <w:rPr>
          <w:rFonts w:ascii="Times New Roman" w:hAnsi="Times New Roman" w:hint="eastAsia"/>
          <w:color w:val="auto"/>
          <w:shd w:val="clear" w:color="auto" w:fill="auto"/>
          <w:highlight w:val="none"/>
        </w:rPr>
        <w:t>姓名、联系方式、</w:t>
      </w:r>
      <w:r>
        <w:rPr>
          <w:rFonts w:ascii="Times New Roman" w:hAnsi="Times New Roman" w:hint="eastAsia"/>
          <w:color w:val="auto"/>
          <w:shd w:val="clear" w:color="auto" w:fill="auto"/>
          <w:lang w:val="en-US" w:eastAsia="zh-CN"/>
          <w:highlight w:val="none"/>
        </w:rPr>
        <w:t>年龄、</w:t>
      </w:r>
      <w:r>
        <w:rPr>
          <w:rFonts w:ascii="Times New Roman" w:hAnsi="Times New Roman" w:hint="eastAsia"/>
          <w:color w:val="auto"/>
          <w:shd w:val="clear" w:color="auto" w:fill="auto"/>
          <w:highlight w:val="none"/>
        </w:rPr>
        <w:t>工作单位、</w:t>
      </w:r>
      <w:r>
        <w:rPr>
          <w:rFonts w:ascii="Times New Roman" w:hAnsi="Times New Roman" w:hint="eastAsia"/>
          <w:color w:val="auto"/>
          <w:shd w:val="clear" w:color="auto" w:fill="auto"/>
          <w:lang w:val="en-US" w:eastAsia="zh-CN"/>
          <w:highlight w:val="none"/>
        </w:rPr>
        <w:t>部门、岗位、</w:t>
      </w:r>
      <w:r>
        <w:rPr>
          <w:rFonts w:ascii="Times New Roman" w:hAnsi="Times New Roman" w:hint="eastAsia"/>
          <w:color w:val="auto"/>
          <w:shd w:val="clear" w:color="auto" w:fill="auto"/>
          <w:highlight w:val="none"/>
        </w:rPr>
        <w:t>职称级别、职称专业、最高学历、学历专业、检测年限、入职时间、</w:t>
      </w:r>
      <w:r>
        <w:rPr>
          <w:rFonts w:ascii="Times New Roman" w:hAnsi="Times New Roman" w:hint="eastAsia"/>
          <w:color w:val="auto"/>
          <w:shd w:val="clear" w:color="auto" w:fill="auto"/>
          <w:lang w:val="en-US" w:eastAsia="zh-CN"/>
          <w:highlight w:val="none"/>
        </w:rPr>
        <w:t>合同起止时间、持证</w:t>
      </w:r>
      <w:r>
        <w:rPr>
          <w:rFonts w:ascii="Times New Roman" w:hAnsi="Times New Roman" w:hint="eastAsia"/>
          <w:color w:val="auto"/>
          <w:shd w:val="clear" w:color="auto" w:fill="auto"/>
          <w:highlight w:val="none"/>
        </w:rPr>
        <w:t>证书名称、证书类型、证书级别与证书专业；</w:t>
      </w:r>
    </w:p>
    <w:p>
      <w:pPr>
        <w:keepNext w:val="0"/>
        <w:keepLines w:val="0"/>
        <w:pageBreakBefore w:val="0"/>
        <w:widowControl w:val="0"/>
        <w:numPr>
          <w:ilvl w:val="0"/>
          <w:numId w:val="14"/>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应统计平均日检测量、监督任务量及待岗时长，分析人员资源负荷，识别超负荷或资源浪费情况，</w:t>
      </w:r>
      <w:r>
        <w:rPr>
          <w:rFonts w:ascii="Times New Roman" w:hAnsi="Times New Roman" w:hint="eastAsia"/>
          <w:color w:val="auto"/>
          <w:shd w:val="clear" w:color="auto" w:fill="auto"/>
          <w:lang w:val="en-US" w:eastAsia="zh-CN"/>
          <w:highlight w:val="none"/>
        </w:rPr>
        <w:t>校验</w:t>
      </w:r>
      <w:r>
        <w:rPr>
          <w:rFonts w:ascii="Times New Roman" w:hAnsi="Times New Roman"/>
          <w:color w:val="auto"/>
          <w:shd w:val="clear" w:color="auto" w:fill="auto"/>
          <w:highlight w:val="none"/>
        </w:rPr>
        <w:t>证书有效期</w:t>
      </w:r>
      <w:r>
        <w:rPr>
          <w:rFonts w:ascii="Times New Roman" w:hAnsi="Times New Roman" w:hint="eastAsia"/>
          <w:color w:val="auto"/>
          <w:shd w:val="clear" w:color="auto" w:fill="auto"/>
          <w:highlight w:val="none"/>
        </w:rPr>
        <w:t>；</w:t>
      </w:r>
    </w:p>
    <w:p>
      <w:pPr>
        <w:keepNext w:val="0"/>
        <w:keepLines w:val="0"/>
        <w:pageBreakBefore w:val="0"/>
        <w:widowControl w:val="0"/>
        <w:numPr>
          <w:ilvl w:val="0"/>
          <w:numId w:val="14"/>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w:t>
      </w:r>
      <w:r>
        <w:rPr>
          <w:rFonts w:ascii="Times New Roman" w:hAnsi="Times New Roman" w:hint="eastAsia"/>
          <w:color w:val="auto"/>
          <w:shd w:val="clear" w:color="auto" w:fill="auto"/>
          <w:lang w:val="en-US" w:eastAsia="zh-CN"/>
          <w:highlight w:val="none"/>
        </w:rPr>
        <w:t>触发人员</w:t>
      </w:r>
      <w:r>
        <w:rPr>
          <w:rFonts w:ascii="Times New Roman" w:hAnsi="Times New Roman" w:hint="eastAsia"/>
          <w:color w:val="auto"/>
          <w:shd w:val="clear" w:color="auto" w:fill="auto"/>
          <w:highlight w:val="none"/>
        </w:rPr>
        <w:t>证书即将过期、超期未培训</w:t>
      </w:r>
      <w:r>
        <w:rPr>
          <w:rFonts w:ascii="Times New Roman" w:hAnsi="Times New Roman" w:hint="eastAsia"/>
          <w:color w:val="auto"/>
          <w:shd w:val="clear" w:color="auto" w:fill="auto"/>
          <w:lang w:val="en-US" w:eastAsia="zh-CN"/>
          <w:highlight w:val="none"/>
        </w:rPr>
        <w:t>和合同</w:t>
      </w:r>
      <w:r>
        <w:rPr>
          <w:rFonts w:ascii="Times New Roman" w:hAnsi="Times New Roman" w:hint="eastAsia"/>
          <w:color w:val="auto"/>
          <w:shd w:val="clear" w:color="auto" w:fill="auto"/>
          <w:highlight w:val="none"/>
        </w:rPr>
        <w:t>即将</w:t>
      </w:r>
      <w:r>
        <w:rPr>
          <w:rFonts w:ascii="Times New Roman" w:hAnsi="Times New Roman" w:hint="eastAsia"/>
          <w:color w:val="auto"/>
          <w:shd w:val="clear" w:color="auto" w:fill="auto"/>
          <w:lang w:val="en-US" w:eastAsia="zh-CN"/>
          <w:highlight w:val="none"/>
        </w:rPr>
        <w:t>过期的预警</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宜根据人员负荷分析结果优化任务分配，更新任务分配计划。</w:t>
      </w:r>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b/>
          <w:bCs/>
          <w:color w:val="auto"/>
          <w:sz w:val="28"/>
          <w:szCs w:val="28"/>
          <w:lang w:val="en-US" w:eastAsia="zh-CN"/>
          <w:highlight w:val="none"/>
        </w:rPr>
      </w:pPr>
      <w:bookmarkStart w:id="34" w:name="_Toc13248"/>
      <w:bookmarkStart w:id="35" w:name="_Toc31901"/>
      <w:bookmarkStart w:id="36" w:name="_Toc8330"/>
      <w:bookmarkStart w:id="37" w:name="OLE_LINK68"/>
      <w:bookmarkStart w:id="38" w:name="_Toc14104"/>
      <w:bookmarkStart w:id="39" w:name="_Toc1656481471"/>
      <w:bookmarkEnd w:id="33"/>
      <w:r>
        <w:rPr>
          <w:rFonts w:ascii="Times New Roman" w:eastAsia="黑体" w:cs="Times New Roman" w:hAnsi="Times New Roman" w:hint="eastAsia"/>
          <w:b/>
          <w:bCs/>
          <w:color w:val="auto"/>
          <w:sz w:val="28"/>
          <w:szCs w:val="28"/>
          <w:lang w:val="en-US" w:eastAsia="zh-CN"/>
          <w:highlight w:val="none"/>
        </w:rPr>
        <w:t>设备</w:t>
      </w:r>
      <w:bookmarkEnd w:id="34"/>
      <w:bookmarkEnd w:id="35"/>
      <w:bookmarkEnd w:id="36"/>
      <w:bookmarkEnd w:id="37"/>
      <w:bookmarkEnd w:id="38"/>
      <w:bookmarkEnd w:id="39"/>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bookmarkStart w:id="40" w:name="_Toc22658"/>
      <w:bookmarkStart w:id="41" w:name="_Toc28395"/>
      <w:bookmarkStart w:id="42" w:name="_Toc9151"/>
      <w:r>
        <w:rPr>
          <w:rFonts w:ascii="Times New Roman" w:hAnsi="Times New Roman" w:hint="eastAsia"/>
          <w:lang w:val="en-US" w:eastAsia="zh-CN"/>
          <w:highlight w:val="none"/>
        </w:rPr>
        <w:t>设备的</w:t>
      </w:r>
      <w:r>
        <w:rPr>
          <w:rFonts w:ascii="Times New Roman" w:hAnsi="Times New Roman" w:hint="eastAsia"/>
          <w:highlight w:val="none"/>
        </w:rPr>
        <w:t>数字化管理应</w:t>
      </w:r>
      <w:r>
        <w:rPr>
          <w:rFonts w:ascii="Times New Roman" w:hAnsi="Times New Roman" w:hint="eastAsia"/>
          <w:lang w:val="en-US" w:eastAsia="zh-CN"/>
          <w:highlight w:val="none"/>
        </w:rPr>
        <w:t>包括</w:t>
      </w:r>
      <w:r>
        <w:rPr>
          <w:rFonts w:ascii="Times New Roman" w:eastAsia="宋体" w:cs="Times New Roman" w:hAnsi="Times New Roman" w:hint="eastAsia"/>
          <w:color w:val="auto"/>
          <w:sz w:val="24"/>
          <w:szCs w:val="24"/>
          <w:lang w:val="en-US" w:eastAsia="zh-CN"/>
          <w:highlight w:val="none"/>
        </w:rPr>
        <w:t>设备</w:t>
      </w:r>
      <w:r>
        <w:rPr>
          <w:rFonts w:ascii="Times New Roman" w:cs="Times New Roman" w:hAnsi="Times New Roman" w:hint="eastAsia"/>
          <w:color w:val="auto"/>
          <w:sz w:val="24"/>
          <w:szCs w:val="24"/>
          <w:lang w:val="en-US" w:eastAsia="zh-CN"/>
          <w:highlight w:val="none"/>
        </w:rPr>
        <w:t>使用、设备维护、设备计量溯源、设备期间核查和设备档案</w:t>
      </w:r>
      <w:r>
        <w:rPr>
          <w:rFonts w:ascii="Times New Roman" w:hAnsi="Times New Roman" w:hint="eastAsia"/>
          <w:color w:val="auto"/>
          <w:lang w:val="en-US" w:eastAsia="zh-CN"/>
          <w:highlight w:val="none"/>
        </w:rPr>
        <w:t>的</w:t>
      </w:r>
      <w:r>
        <w:rPr>
          <w:rFonts w:ascii="Times New Roman" w:hAnsi="Times New Roman" w:hint="eastAsia"/>
          <w:highlight w:val="none"/>
        </w:rPr>
        <w:t>数字化管理</w:t>
      </w:r>
      <w:r>
        <w:rPr>
          <w:rFonts w:ascii="Times New Roman" w:cs="Times New Roman" w:hAnsi="Times New Roman" w:hint="eastAsia"/>
          <w:color w:val="auto"/>
          <w:sz w:val="24"/>
          <w:szCs w:val="24"/>
          <w:lang w:val="en-US" w:eastAsia="zh-CN"/>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设备使用的数字化管理应符合下列规定：</w:t>
      </w:r>
    </w:p>
    <w:p>
      <w:pPr>
        <w:keepNext w:val="0"/>
        <w:keepLines w:val="0"/>
        <w:pageBreakBefore w:val="0"/>
        <w:widowControl w:val="0"/>
        <w:numPr>
          <w:ilvl w:val="0"/>
          <w:numId w:val="15"/>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应建立和规范设备出入库、使用和功能核查的管理流程；</w:t>
      </w:r>
    </w:p>
    <w:p>
      <w:pPr>
        <w:keepNext w:val="0"/>
        <w:keepLines w:val="0"/>
        <w:pageBreakBefore w:val="0"/>
        <w:widowControl w:val="0"/>
        <w:numPr>
          <w:ilvl w:val="0"/>
          <w:numId w:val="15"/>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采集设备的使用信息，包括名称、编号、型号、所属部门、存放地点、使用日期、工程名称、检测项目、使用前状态、使用后状态、使用人与使用部门，现场检测项目尚应采集设备出入库信息，包括外用地点、领用日期、预计归还日期、实际归还日期、领用状态、归还状态和出入库状态</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15"/>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w:t>
      </w:r>
      <w:r>
        <w:rPr>
          <w:rFonts w:ascii="Times New Roman" w:hAnsi="Times New Roman" w:hint="eastAsia"/>
          <w:color w:val="auto"/>
          <w:shd w:val="clear" w:color="auto" w:fill="auto"/>
          <w:highlight w:val="none"/>
        </w:rPr>
        <w:t>统计设备使用频次、检测项目分布</w:t>
      </w:r>
      <w:r>
        <w:rPr>
          <w:rFonts w:ascii="Times New Roman" w:hAnsi="Times New Roman" w:hint="eastAsia"/>
          <w:color w:val="auto"/>
          <w:shd w:val="clear" w:color="auto" w:fill="auto"/>
          <w:lang w:val="en-US" w:eastAsia="zh-CN"/>
          <w:highlight w:val="none"/>
        </w:rPr>
        <w:t>和</w:t>
      </w:r>
      <w:r>
        <w:rPr>
          <w:rFonts w:ascii="Times New Roman" w:hAnsi="Times New Roman" w:hint="eastAsia"/>
          <w:color w:val="auto"/>
          <w:shd w:val="clear" w:color="auto" w:fill="auto"/>
          <w:highlight w:val="none"/>
        </w:rPr>
        <w:t>使用时长，</w:t>
      </w:r>
      <w:r>
        <w:rPr>
          <w:rFonts w:ascii="Times New Roman" w:hAnsi="Times New Roman" w:hint="eastAsia"/>
          <w:color w:val="auto"/>
          <w:shd w:val="clear" w:color="auto" w:fill="auto"/>
          <w:lang w:val="en-US" w:eastAsia="zh-CN"/>
          <w:highlight w:val="none"/>
        </w:rPr>
        <w:t>应校验</w:t>
      </w:r>
      <w:r>
        <w:rPr>
          <w:rFonts w:ascii="Times New Roman" w:hAnsi="Times New Roman" w:hint="eastAsia"/>
          <w:color w:val="auto"/>
          <w:shd w:val="clear" w:color="auto" w:fill="auto"/>
          <w:highlight w:val="none"/>
        </w:rPr>
        <w:t>使用人</w:t>
      </w:r>
      <w:r>
        <w:rPr>
          <w:rFonts w:ascii="Times New Roman" w:hAnsi="Times New Roman" w:hint="eastAsia"/>
          <w:color w:val="auto"/>
          <w:shd w:val="clear" w:color="auto" w:fill="auto"/>
          <w:lang w:val="en-US" w:eastAsia="zh-CN"/>
          <w:highlight w:val="none"/>
        </w:rPr>
        <w:t>授权参数</w:t>
      </w:r>
      <w:r>
        <w:rPr>
          <w:rFonts w:ascii="Times New Roman" w:hAnsi="Times New Roman" w:hint="eastAsia"/>
          <w:color w:val="auto"/>
          <w:shd w:val="clear" w:color="auto" w:fill="auto"/>
          <w:highlight w:val="none"/>
        </w:rPr>
        <w:t>与检测项目的匹配性</w:t>
      </w:r>
      <w:r>
        <w:rPr>
          <w:rFonts w:ascii="Times New Roman" w:hAnsi="Times New Roman" w:hint="eastAsia"/>
          <w:color w:val="auto"/>
          <w:shd w:val="clear" w:color="auto" w:fill="auto"/>
          <w:lang w:val="en-US" w:eastAsia="zh-CN"/>
          <w:highlight w:val="none"/>
        </w:rPr>
        <w:t>；</w:t>
      </w:r>
    </w:p>
    <w:p>
      <w:pPr>
        <w:keepNext w:val="0"/>
        <w:keepLines w:val="0"/>
        <w:pageBreakBefore w:val="0"/>
        <w:widowControl w:val="0"/>
        <w:numPr>
          <w:ilvl w:val="0"/>
          <w:numId w:val="15"/>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w:t>
      </w:r>
      <w:r>
        <w:rPr>
          <w:rFonts w:ascii="Times New Roman" w:hAnsi="Times New Roman" w:hint="eastAsia"/>
          <w:color w:val="auto"/>
          <w:shd w:val="clear" w:color="auto" w:fill="auto"/>
          <w:lang w:val="en-US" w:eastAsia="zh-CN"/>
          <w:highlight w:val="none"/>
        </w:rPr>
        <w:t>触发</w:t>
      </w:r>
      <w:r>
        <w:rPr>
          <w:rFonts w:ascii="Times New Roman" w:hAnsi="Times New Roman" w:hint="eastAsia"/>
          <w:color w:val="auto"/>
          <w:shd w:val="clear" w:color="auto" w:fill="auto"/>
          <w:highlight w:val="none"/>
        </w:rPr>
        <w:t>超期未归还</w:t>
      </w:r>
      <w:r>
        <w:rPr>
          <w:rFonts w:ascii="Times New Roman" w:hAnsi="Times New Roman" w:hint="eastAsia"/>
          <w:color w:val="auto"/>
          <w:shd w:val="clear" w:color="auto" w:fill="auto"/>
          <w:lang w:val="en-US" w:eastAsia="zh-CN"/>
          <w:highlight w:val="none"/>
        </w:rPr>
        <w:t>和非授权使用</w:t>
      </w:r>
      <w:r>
        <w:rPr>
          <w:rFonts w:ascii="Times New Roman" w:hAnsi="Times New Roman" w:hint="eastAsia"/>
          <w:color w:val="auto"/>
          <w:shd w:val="clear" w:color="auto" w:fill="auto"/>
          <w:highlight w:val="none"/>
        </w:rPr>
        <w:t>设备</w:t>
      </w:r>
      <w:r>
        <w:rPr>
          <w:rFonts w:ascii="Times New Roman" w:hAnsi="Times New Roman" w:hint="eastAsia"/>
          <w:color w:val="auto"/>
          <w:shd w:val="clear" w:color="auto" w:fill="auto"/>
          <w:lang w:eastAsia="zh-CN"/>
          <w:highlight w:val="none"/>
        </w:rPr>
        <w:t>的</w:t>
      </w:r>
      <w:r>
        <w:rPr>
          <w:rFonts w:ascii="Times New Roman" w:hAnsi="Times New Roman" w:hint="eastAsia"/>
          <w:color w:val="auto"/>
          <w:shd w:val="clear" w:color="auto" w:fill="auto"/>
          <w:lang w:val="en-US" w:eastAsia="zh-CN"/>
          <w:highlight w:val="none"/>
        </w:rPr>
        <w:t>预警</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应</w:t>
      </w:r>
      <w:r>
        <w:rPr>
          <w:rFonts w:ascii="Times New Roman" w:hAnsi="Times New Roman" w:hint="eastAsia"/>
          <w:color w:val="auto"/>
          <w:shd w:val="clear" w:color="auto" w:fill="auto"/>
          <w:highlight w:val="none"/>
        </w:rPr>
        <w:t>限制未获授权人员的设备操作权限</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宜根据设备使用频次与负载率，优化设备调度与维护计划</w:t>
      </w:r>
      <w:r>
        <w:rPr>
          <w:rFonts w:ascii="Times New Roman" w:hAnsi="Times New Roman" w:hint="eastAsia"/>
          <w:color w:val="auto"/>
          <w:shd w:val="clear" w:color="auto" w:fill="auto"/>
          <w:lang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hint="eastAsia"/>
          <w:color w:val="auto"/>
          <w:sz w:val="24"/>
          <w:szCs w:val="24"/>
          <w:shd w:val="clear" w:color="FFFFFF" w:fill="D9D9D9"/>
          <w:lang w:val="en-US" w:eastAsia="zh-CN"/>
          <w:highlight w:val="none"/>
        </w:rPr>
      </w:pPr>
      <w:r>
        <w:rPr>
          <w:rFonts w:ascii="Times New Roman" w:hAnsi="Times New Roman" w:hint="eastAsia"/>
          <w:color w:val="auto"/>
          <w:shd w:val="clear" w:color="FFFFFF" w:fill="D9D9D9"/>
          <w:lang w:val="en-US" w:eastAsia="zh-CN"/>
          <w:highlight w:val="none"/>
        </w:rPr>
        <w:t>【条文说明】设备状态包括正常和异常。设备使用的</w:t>
      </w:r>
      <w:r>
        <w:rPr>
          <w:rFonts w:ascii="Times New Roman" w:hAnsi="Times New Roman" w:hint="eastAsia"/>
          <w:color w:val="auto"/>
          <w:shd w:val="clear" w:color="FFFFFF" w:fill="D9D9D9"/>
          <w:highlight w:val="none"/>
        </w:rPr>
        <w:t>异常情况</w:t>
      </w:r>
      <w:r>
        <w:rPr>
          <w:rFonts w:ascii="Times New Roman" w:hAnsi="Times New Roman" w:hint="eastAsia"/>
          <w:color w:val="auto"/>
          <w:shd w:val="clear" w:color="FFFFFF" w:fill="D9D9D9"/>
          <w:lang w:val="en-US" w:eastAsia="zh-CN"/>
          <w:highlight w:val="none"/>
        </w:rPr>
        <w:t>包括</w:t>
      </w:r>
      <w:r>
        <w:rPr>
          <w:rFonts w:ascii="Times New Roman" w:hAnsi="Times New Roman" w:hint="eastAsia"/>
          <w:color w:val="auto"/>
          <w:shd w:val="clear" w:color="FFFFFF" w:fill="D9D9D9"/>
          <w:highlight w:val="none"/>
        </w:rPr>
        <w:t>使用前状态异常、使用后状态异常、超期使用、未按规程操作</w:t>
      </w:r>
      <w:r>
        <w:rPr>
          <w:rFonts w:ascii="Times New Roman" w:hAnsi="Times New Roman" w:hint="eastAsia"/>
          <w:color w:val="auto"/>
          <w:shd w:val="clear" w:color="FFFFFF" w:fill="D9D9D9"/>
          <w:lang w:eastAsia="zh-CN"/>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hint="eastAsia"/>
          <w:color w:val="auto"/>
          <w:sz w:val="24"/>
          <w:szCs w:val="24"/>
          <w:lang w:val="en-US" w:eastAsia="zh-CN"/>
          <w:highlight w:val="none"/>
        </w:rPr>
        <w:t>设备</w:t>
      </w:r>
      <w:r>
        <w:rPr>
          <w:rFonts w:ascii="Times New Roman" w:cs="Times New Roman" w:hAnsi="Times New Roman" w:hint="eastAsia"/>
          <w:color w:val="auto"/>
          <w:sz w:val="24"/>
          <w:szCs w:val="24"/>
          <w:lang w:val="en-US" w:eastAsia="zh-CN"/>
          <w:highlight w:val="none"/>
        </w:rPr>
        <w:t>维护的</w:t>
      </w:r>
      <w:r>
        <w:rPr>
          <w:rFonts w:ascii="Times New Roman" w:hAnsi="Times New Roman" w:hint="eastAsia"/>
          <w:highlight w:val="none"/>
        </w:rPr>
        <w:t>数字化管理</w:t>
      </w:r>
      <w:r>
        <w:rPr>
          <w:rFonts w:ascii="Times New Roman" w:hAnsi="Times New Roman" w:hint="eastAsia"/>
          <w:lang w:val="en-US" w:eastAsia="zh-CN"/>
          <w:highlight w:val="none"/>
        </w:rPr>
        <w:t>应符合下列规定：</w:t>
      </w:r>
    </w:p>
    <w:p>
      <w:pPr>
        <w:keepNext w:val="0"/>
        <w:keepLines w:val="0"/>
        <w:pageBreakBefore w:val="0"/>
        <w:widowControl w:val="0"/>
        <w:numPr>
          <w:ilvl w:val="0"/>
          <w:numId w:val="16"/>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应建立和规范设备保养、维修、停用和报废的管理流程；</w:t>
      </w:r>
    </w:p>
    <w:p>
      <w:pPr>
        <w:keepNext w:val="0"/>
        <w:keepLines w:val="0"/>
        <w:pageBreakBefore w:val="0"/>
        <w:widowControl w:val="0"/>
        <w:numPr>
          <w:ilvl w:val="0"/>
          <w:numId w:val="16"/>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采集维护设备的名称、编号、型号、所属部门、存放地点、保养信息和维修/停用/报废信息，保养信息应包括保养要求、保养周期、计划保养日期、实际保养日期、设备状态、管养员和保养内容，维修/停用/报废信息应包括维修/停用/报废的日期、原因、申请人和处理结果</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16"/>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hint="eastAsia"/>
          <w:color w:val="auto"/>
          <w:shd w:val="clear" w:color="auto" w:fill="auto"/>
          <w:highlight w:val="none"/>
        </w:rPr>
        <w:t>应统计保养计划完成率、维修次数、维修时长、停用累计时长、报废设备数量及原因分布</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应</w:t>
      </w:r>
      <w:r>
        <w:rPr>
          <w:rFonts w:ascii="Times New Roman" w:hAnsi="Times New Roman" w:hint="eastAsia"/>
          <w:color w:val="auto"/>
          <w:shd w:val="clear" w:color="auto" w:fill="auto"/>
          <w:highlight w:val="none"/>
        </w:rPr>
        <w:t>分析保养逾期、维修超时、重复故障、保养后状态异常情况；</w:t>
      </w:r>
    </w:p>
    <w:p>
      <w:pPr>
        <w:keepNext w:val="0"/>
        <w:keepLines w:val="0"/>
        <w:pageBreakBefore w:val="0"/>
        <w:widowControl w:val="0"/>
        <w:numPr>
          <w:ilvl w:val="0"/>
          <w:numId w:val="16"/>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color w:val="auto"/>
          <w:highlight w:val="none"/>
        </w:rPr>
        <w:t>应</w:t>
      </w:r>
      <w:r>
        <w:rPr>
          <w:rFonts w:ascii="Times New Roman" w:hAnsi="Times New Roman" w:hint="eastAsia"/>
          <w:color w:val="auto"/>
          <w:lang w:val="en-US" w:eastAsia="zh-CN"/>
          <w:highlight w:val="none"/>
        </w:rPr>
        <w:t>触发</w:t>
      </w:r>
      <w:r>
        <w:rPr>
          <w:rFonts w:ascii="Times New Roman" w:hAnsi="Times New Roman"/>
          <w:color w:val="auto"/>
          <w:highlight w:val="none"/>
        </w:rPr>
        <w:t>逾期未保养</w:t>
      </w:r>
      <w:r>
        <w:rPr>
          <w:rFonts w:ascii="Times New Roman" w:hAnsi="Times New Roman" w:hint="eastAsia"/>
          <w:color w:val="auto"/>
          <w:lang w:val="en-US" w:eastAsia="zh-CN"/>
          <w:highlight w:val="none"/>
        </w:rPr>
        <w:t>和</w:t>
      </w:r>
      <w:r>
        <w:rPr>
          <w:rFonts w:ascii="Times New Roman" w:hAnsi="Times New Roman"/>
          <w:color w:val="auto"/>
          <w:highlight w:val="none"/>
        </w:rPr>
        <w:t>维修超时设备</w:t>
      </w:r>
      <w:r>
        <w:rPr>
          <w:rFonts w:ascii="Times New Roman" w:hAnsi="Times New Roman" w:hint="eastAsia"/>
          <w:color w:val="auto"/>
          <w:shd w:val="clear" w:color="auto" w:fill="auto"/>
          <w:lang w:eastAsia="zh-CN"/>
          <w:highlight w:val="none"/>
        </w:rPr>
        <w:t>的</w:t>
      </w:r>
      <w:r>
        <w:rPr>
          <w:rFonts w:ascii="Times New Roman" w:hAnsi="Times New Roman" w:hint="eastAsia"/>
          <w:color w:val="auto"/>
          <w:shd w:val="clear" w:color="auto" w:fill="auto"/>
          <w:lang w:val="en-US" w:eastAsia="zh-CN"/>
          <w:highlight w:val="none"/>
        </w:rPr>
        <w:t>预警</w:t>
      </w:r>
      <w:r>
        <w:rPr>
          <w:rFonts w:ascii="Times New Roman" w:hAnsi="Times New Roman" w:hint="eastAsia"/>
          <w:color w:val="auto"/>
          <w:lang w:eastAsia="zh-CN"/>
          <w:highlight w:val="none"/>
        </w:rPr>
        <w:t>，</w:t>
      </w:r>
      <w:r>
        <w:rPr>
          <w:rFonts w:ascii="Times New Roman" w:hAnsi="Times New Roman" w:hint="eastAsia"/>
          <w:color w:val="auto"/>
          <w:lang w:val="en-US" w:eastAsia="zh-CN"/>
          <w:highlight w:val="none"/>
        </w:rPr>
        <w:t>应</w:t>
      </w:r>
      <w:r>
        <w:rPr>
          <w:rFonts w:ascii="Times New Roman" w:hAnsi="Times New Roman"/>
          <w:color w:val="auto"/>
          <w:highlight w:val="none"/>
        </w:rPr>
        <w:t>根据</w:t>
      </w:r>
      <w:r>
        <w:rPr>
          <w:rFonts w:ascii="Times New Roman" w:hAnsi="Times New Roman" w:hint="eastAsia"/>
          <w:color w:val="auto"/>
          <w:lang w:val="en-US" w:eastAsia="zh-CN"/>
          <w:highlight w:val="none"/>
        </w:rPr>
        <w:t>统计与分析结果</w:t>
      </w:r>
      <w:r>
        <w:rPr>
          <w:rFonts w:ascii="Times New Roman" w:hAnsi="Times New Roman"/>
          <w:color w:val="auto"/>
          <w:highlight w:val="none"/>
        </w:rPr>
        <w:t>优化</w:t>
      </w:r>
      <w:r>
        <w:rPr>
          <w:rFonts w:ascii="Times New Roman" w:hAnsi="Times New Roman" w:hint="eastAsia"/>
          <w:color w:val="auto"/>
          <w:lang w:val="en-US" w:eastAsia="zh-CN"/>
          <w:highlight w:val="none"/>
        </w:rPr>
        <w:t>设备</w:t>
      </w:r>
      <w:r>
        <w:rPr>
          <w:rFonts w:ascii="Times New Roman" w:hAnsi="Times New Roman" w:hint="eastAsia"/>
          <w:color w:val="auto"/>
          <w:shd w:val="clear" w:color="auto" w:fill="auto"/>
          <w:highlight w:val="none"/>
        </w:rPr>
        <w:t>保养周期</w:t>
      </w:r>
      <w:r>
        <w:rPr>
          <w:rFonts w:ascii="Times New Roman" w:hAnsi="Times New Roman" w:hint="eastAsia"/>
          <w:color w:val="auto"/>
          <w:shd w:val="clear" w:color="auto" w:fill="auto"/>
          <w:lang w:val="en-US" w:eastAsia="zh-CN"/>
          <w:highlight w:val="none"/>
        </w:rPr>
        <w:t>和</w:t>
      </w:r>
      <w:r>
        <w:rPr>
          <w:rFonts w:ascii="Times New Roman" w:hAnsi="Times New Roman" w:hint="eastAsia"/>
          <w:color w:val="auto"/>
          <w:shd w:val="clear" w:color="auto" w:fill="auto"/>
          <w:lang w:eastAsia="zh-CN"/>
          <w:highlight w:val="none"/>
        </w:rPr>
        <w:t>设备采购选型标准</w:t>
      </w:r>
      <w:r>
        <w:rPr>
          <w:rFonts w:ascii="Times New Roman" w:hAnsi="Times New Roman" w:hint="eastAsia"/>
          <w:color w:val="auto"/>
          <w:shd w:val="clear" w:color="auto" w:fill="auto"/>
          <w:lang w:val="en-US"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color w:val="auto"/>
          <w:sz w:val="24"/>
          <w:szCs w:val="24"/>
          <w:shd w:val="clear" w:color="FFFFFF" w:fill="D9D9D9"/>
          <w:lang w:val="en-US" w:eastAsia="zh-CN"/>
          <w:highlight w:val="none"/>
        </w:rPr>
      </w:pPr>
      <w:r>
        <w:rPr>
          <w:rFonts w:ascii="Times New Roman" w:hAnsi="Times New Roman" w:hint="eastAsia"/>
          <w:color w:val="auto"/>
          <w:shd w:val="clear" w:color="FFFFFF" w:fill="D9D9D9"/>
          <w:lang w:val="en-US" w:eastAsia="zh-CN"/>
          <w:highlight w:val="none"/>
        </w:rPr>
        <w:t>【条文说明】</w:t>
      </w:r>
      <w:r>
        <w:rPr>
          <w:rFonts w:ascii="Times New Roman" w:cs="Times New Roman" w:hAnsi="Times New Roman" w:hint="eastAsia"/>
          <w:color w:val="auto"/>
          <w:sz w:val="24"/>
          <w:szCs w:val="24"/>
          <w:shd w:val="clear" w:color="FFFFFF" w:fill="D9D9D9"/>
          <w:lang w:val="en-US" w:eastAsia="zh-CN"/>
          <w:highlight w:val="none"/>
        </w:rPr>
        <w:t>停用管理包括</w:t>
      </w:r>
      <w:r>
        <w:rPr>
          <w:rFonts w:ascii="Times New Roman" w:eastAsia="宋体" w:cs="Times New Roman" w:hAnsi="Times New Roman"/>
          <w:color w:val="auto"/>
          <w:sz w:val="24"/>
          <w:szCs w:val="24"/>
          <w:shd w:val="clear" w:color="FFFFFF" w:fill="D9D9D9"/>
          <w:lang w:val="en-US" w:eastAsia="zh-CN"/>
          <w:highlight w:val="none"/>
        </w:rPr>
        <w:t>包括申请、批准、停用标识、恢复使用。保养管理</w:t>
      </w:r>
      <w:r>
        <w:rPr>
          <w:rFonts w:ascii="Times New Roman" w:cs="Times New Roman" w:hAnsi="Times New Roman" w:hint="eastAsia"/>
          <w:color w:val="auto"/>
          <w:sz w:val="24"/>
          <w:szCs w:val="24"/>
          <w:shd w:val="clear" w:color="FFFFFF" w:fill="D9D9D9"/>
          <w:lang w:val="en-US" w:eastAsia="zh-CN"/>
          <w:highlight w:val="none"/>
        </w:rPr>
        <w:t>包括保养</w:t>
      </w:r>
      <w:r>
        <w:rPr>
          <w:rFonts w:ascii="Times New Roman" w:eastAsia="宋体" w:cs="Times New Roman" w:hAnsi="Times New Roman"/>
          <w:color w:val="auto"/>
          <w:sz w:val="24"/>
          <w:szCs w:val="24"/>
          <w:shd w:val="clear" w:color="FFFFFF" w:fill="D9D9D9"/>
          <w:lang w:val="en-US" w:eastAsia="zh-CN"/>
          <w:highlight w:val="none"/>
        </w:rPr>
        <w:t>计划制定、批准、实施、结果应用。维修管理包括故障报告、维修申请、批准、实施、验收、恢复使用。</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hint="eastAsia"/>
          <w:color w:val="auto"/>
          <w:sz w:val="24"/>
          <w:szCs w:val="24"/>
          <w:lang w:val="en-US" w:eastAsia="zh-CN"/>
          <w:highlight w:val="none"/>
        </w:rPr>
        <w:t>设备</w:t>
      </w:r>
      <w:r>
        <w:rPr>
          <w:rFonts w:ascii="Times New Roman" w:cs="Times New Roman" w:hAnsi="Times New Roman" w:hint="eastAsia"/>
          <w:color w:val="auto"/>
          <w:sz w:val="24"/>
          <w:szCs w:val="24"/>
          <w:lang w:val="en-US" w:eastAsia="zh-CN"/>
          <w:highlight w:val="none"/>
        </w:rPr>
        <w:t>计量溯源的</w:t>
      </w:r>
      <w:r>
        <w:rPr>
          <w:rFonts w:ascii="Times New Roman" w:hAnsi="Times New Roman" w:hint="eastAsia"/>
          <w:highlight w:val="none"/>
        </w:rPr>
        <w:t>数字化管理</w:t>
      </w:r>
      <w:r>
        <w:rPr>
          <w:rFonts w:ascii="Times New Roman" w:hAnsi="Times New Roman" w:hint="eastAsia"/>
          <w:lang w:val="en-US" w:eastAsia="zh-CN"/>
          <w:highlight w:val="none"/>
        </w:rPr>
        <w:t>应符合下列规定：</w:t>
      </w:r>
    </w:p>
    <w:p>
      <w:pPr>
        <w:keepNext w:val="0"/>
        <w:keepLines w:val="0"/>
        <w:pageBreakBefore w:val="0"/>
        <w:widowControl w:val="0"/>
        <w:numPr>
          <w:ilvl w:val="0"/>
          <w:numId w:val="17"/>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应建立和规范计量溯源计划、实施、结果确认和结果应用的管理流程；</w:t>
      </w:r>
    </w:p>
    <w:p>
      <w:pPr>
        <w:keepNext w:val="0"/>
        <w:keepLines w:val="0"/>
        <w:pageBreakBefore w:val="0"/>
        <w:widowControl w:val="0"/>
        <w:numPr>
          <w:ilvl w:val="0"/>
          <w:numId w:val="17"/>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hint="eastAsia"/>
          <w:color w:val="auto"/>
          <w:shd w:val="clear" w:color="auto" w:fill="auto"/>
          <w:lang w:val="en-US" w:eastAsia="zh-CN"/>
          <w:highlight w:val="none"/>
        </w:rPr>
        <w:t>应采集期间</w:t>
      </w:r>
      <w:r>
        <w:rPr>
          <w:rFonts w:ascii="Times New Roman" w:cs="Times New Roman" w:hAnsi="Times New Roman" w:hint="eastAsia"/>
          <w:color w:val="auto"/>
          <w:sz w:val="24"/>
          <w:szCs w:val="24"/>
          <w:lang w:val="en-US" w:eastAsia="zh-CN"/>
          <w:highlight w:val="none"/>
        </w:rPr>
        <w:t>计量溯源</w:t>
      </w:r>
      <w:r>
        <w:rPr>
          <w:rFonts w:ascii="Times New Roman" w:hAnsi="Times New Roman" w:hint="eastAsia"/>
          <w:color w:val="auto"/>
          <w:shd w:val="clear" w:color="auto" w:fill="auto"/>
          <w:lang w:val="en-US" w:eastAsia="zh-CN"/>
          <w:highlight w:val="none"/>
        </w:rPr>
        <w:t>设备的名称、编号、型号、所属部门、存放地点、指标要求、计量机构、溯源方式、溯源周期、上次溯源时间、溯源有效期、计划溯源时间、管养员和溯源状态</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17"/>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color w:val="auto"/>
          <w:highlight w:val="none"/>
        </w:rPr>
        <w:t>应统计溯源计划完成率、超期未溯源设备数量及部门分布、指标要求符合率</w:t>
      </w:r>
      <w:r>
        <w:rPr>
          <w:rFonts w:ascii="Times New Roman" w:hAnsi="Times New Roman" w:hint="eastAsia"/>
          <w:color w:val="auto"/>
          <w:lang w:eastAsia="zh-CN"/>
          <w:highlight w:val="none"/>
        </w:rPr>
        <w:t>、</w:t>
      </w:r>
      <w:r>
        <w:rPr>
          <w:rFonts w:ascii="Times New Roman" w:hAnsi="Times New Roman" w:hint="eastAsia"/>
          <w:color w:val="auto"/>
          <w:lang w:val="en-US" w:eastAsia="zh-CN"/>
          <w:highlight w:val="none"/>
        </w:rPr>
        <w:t>溯源时长</w:t>
      </w:r>
      <w:r>
        <w:rPr>
          <w:rFonts w:ascii="Times New Roman" w:hAnsi="Times New Roman" w:hint="eastAsia"/>
          <w:color w:val="auto"/>
          <w:lang w:eastAsia="zh-CN"/>
          <w:highlight w:val="none"/>
        </w:rPr>
        <w:t>，</w:t>
      </w:r>
      <w:r>
        <w:rPr>
          <w:rFonts w:ascii="Times New Roman" w:hAnsi="Times New Roman" w:hint="eastAsia"/>
          <w:color w:val="auto"/>
          <w:lang w:val="en-US" w:eastAsia="zh-CN"/>
          <w:highlight w:val="none"/>
        </w:rPr>
        <w:t>应</w:t>
      </w:r>
      <w:r>
        <w:rPr>
          <w:rFonts w:ascii="Times New Roman" w:hAnsi="Times New Roman"/>
          <w:color w:val="auto"/>
          <w:highlight w:val="none"/>
        </w:rPr>
        <w:t>分析逾期未溯源、溯源结果不合格等情况；</w:t>
      </w:r>
    </w:p>
    <w:p>
      <w:pPr>
        <w:keepNext w:val="0"/>
        <w:keepLines w:val="0"/>
        <w:pageBreakBefore w:val="0"/>
        <w:widowControl w:val="0"/>
        <w:numPr>
          <w:ilvl w:val="0"/>
          <w:numId w:val="17"/>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color w:val="auto"/>
          <w:highlight w:val="none"/>
        </w:rPr>
        <w:t>应预警设备超期未溯源、溯源结果不合格</w:t>
      </w:r>
      <w:r>
        <w:rPr>
          <w:rFonts w:ascii="Times New Roman" w:hAnsi="Times New Roman" w:hint="eastAsia"/>
          <w:color w:val="auto"/>
          <w:lang w:val="en-US" w:eastAsia="zh-CN"/>
          <w:highlight w:val="none"/>
        </w:rPr>
        <w:t>情况</w:t>
      </w:r>
      <w:r>
        <w:rPr>
          <w:rFonts w:ascii="Times New Roman" w:hAnsi="Times New Roman" w:hint="eastAsia"/>
          <w:color w:val="auto"/>
          <w:shd w:val="clear" w:color="auto" w:fill="auto"/>
          <w:highlight w:val="none"/>
        </w:rPr>
        <w:t>至相关管理人员</w:t>
      </w:r>
      <w:r>
        <w:rPr>
          <w:rFonts w:ascii="Times New Roman" w:hAnsi="Times New Roman" w:hint="eastAsia"/>
          <w:color w:val="auto"/>
          <w:lang w:eastAsia="zh-CN"/>
          <w:highlight w:val="none"/>
        </w:rPr>
        <w:t>，</w:t>
      </w:r>
      <w:r>
        <w:rPr>
          <w:rFonts w:ascii="Times New Roman" w:hAnsi="Times New Roman"/>
          <w:color w:val="auto"/>
          <w:highlight w:val="none"/>
        </w:rPr>
        <w:t>并锁定</w:t>
      </w:r>
      <w:r>
        <w:rPr>
          <w:rFonts w:ascii="Times New Roman" w:hAnsi="Times New Roman" w:hint="eastAsia"/>
          <w:color w:val="auto"/>
          <w:lang w:val="en-US" w:eastAsia="zh-CN"/>
          <w:highlight w:val="none"/>
        </w:rPr>
        <w:t>设备</w:t>
      </w:r>
      <w:r>
        <w:rPr>
          <w:rFonts w:ascii="Times New Roman" w:hAnsi="Times New Roman"/>
          <w:color w:val="auto"/>
          <w:highlight w:val="none"/>
        </w:rPr>
        <w:t>使用权限</w:t>
      </w:r>
      <w:r>
        <w:rPr>
          <w:rFonts w:ascii="Times New Roman" w:hAnsi="Times New Roman" w:hint="eastAsia"/>
          <w:color w:val="auto"/>
          <w:lang w:eastAsia="zh-CN"/>
          <w:highlight w:val="none"/>
        </w:rPr>
        <w:t>，</w:t>
      </w:r>
      <w:r>
        <w:rPr>
          <w:rFonts w:ascii="Times New Roman" w:hAnsi="Times New Roman"/>
          <w:color w:val="auto"/>
          <w:highlight w:val="none"/>
        </w:rPr>
        <w:t>宜根据</w:t>
      </w:r>
      <w:r>
        <w:rPr>
          <w:rFonts w:ascii="Times New Roman" w:hAnsi="Times New Roman" w:hint="eastAsia"/>
          <w:color w:val="auto"/>
          <w:lang w:val="en-US" w:eastAsia="zh-CN"/>
          <w:highlight w:val="none"/>
        </w:rPr>
        <w:t>统计和分析结果</w:t>
      </w:r>
      <w:r>
        <w:rPr>
          <w:rFonts w:ascii="Times New Roman" w:hAnsi="Times New Roman"/>
          <w:color w:val="auto"/>
          <w:highlight w:val="none"/>
        </w:rPr>
        <w:t>优化</w:t>
      </w:r>
      <w:r>
        <w:rPr>
          <w:rFonts w:ascii="Times New Roman" w:hAnsi="Times New Roman" w:hint="eastAsia"/>
          <w:color w:val="auto"/>
          <w:shd w:val="clear" w:color="auto" w:fill="auto"/>
          <w:lang w:eastAsia="zh-CN"/>
          <w:highlight w:val="none"/>
        </w:rPr>
        <w:t>设备采购选型标准、</w:t>
      </w:r>
      <w:r>
        <w:rPr>
          <w:rFonts w:ascii="Times New Roman" w:hAnsi="Times New Roman"/>
          <w:color w:val="auto"/>
          <w:highlight w:val="none"/>
        </w:rPr>
        <w:t>计量机构选择</w:t>
      </w:r>
      <w:r>
        <w:rPr>
          <w:rFonts w:ascii="Times New Roman" w:hAnsi="Times New Roman" w:hint="eastAsia"/>
          <w:color w:val="auto"/>
          <w:lang w:eastAsia="zh-CN"/>
          <w:highlight w:val="none"/>
        </w:rPr>
        <w:t>和</w:t>
      </w:r>
      <w:r>
        <w:rPr>
          <w:rFonts w:ascii="Times New Roman" w:hAnsi="Times New Roman"/>
          <w:color w:val="auto"/>
          <w:highlight w:val="none"/>
        </w:rPr>
        <w:t>溯源时间安排。</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color w:val="auto"/>
          <w:sz w:val="24"/>
          <w:szCs w:val="24"/>
          <w:shd w:val="clear" w:color="FFFFFF" w:fill="D9D9D9"/>
          <w:lang w:val="en-US" w:eastAsia="zh-CN"/>
          <w:highlight w:val="none"/>
        </w:rPr>
      </w:pPr>
      <w:r>
        <w:rPr>
          <w:rFonts w:ascii="Times New Roman" w:hAnsi="Times New Roman" w:hint="eastAsia"/>
          <w:color w:val="auto"/>
          <w:shd w:val="clear" w:color="FFFFFF" w:fill="D9D9D9"/>
          <w:lang w:val="en-US" w:eastAsia="zh-CN"/>
          <w:highlight w:val="none"/>
        </w:rPr>
        <w:t>【条文说明】</w:t>
      </w:r>
      <w:r>
        <w:rPr>
          <w:rFonts w:ascii="Times New Roman" w:cs="Times New Roman" w:hAnsi="Times New Roman" w:hint="eastAsia"/>
          <w:color w:val="auto"/>
          <w:sz w:val="24"/>
          <w:szCs w:val="24"/>
          <w:shd w:val="clear" w:color="FFFFFF" w:fill="D9D9D9"/>
          <w:lang w:val="en-US" w:eastAsia="zh-CN"/>
          <w:highlight w:val="none"/>
        </w:rPr>
        <w:t>溯源方式包括检定和校准。</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hint="eastAsia"/>
          <w:color w:val="auto"/>
          <w:sz w:val="24"/>
          <w:szCs w:val="24"/>
          <w:lang w:val="en-US" w:eastAsia="zh-CN"/>
          <w:highlight w:val="none"/>
        </w:rPr>
        <w:t>设备</w:t>
      </w:r>
      <w:r>
        <w:rPr>
          <w:rFonts w:ascii="Times New Roman" w:cs="Times New Roman" w:hAnsi="Times New Roman" w:hint="eastAsia"/>
          <w:color w:val="auto"/>
          <w:sz w:val="24"/>
          <w:szCs w:val="24"/>
          <w:lang w:val="en-US" w:eastAsia="zh-CN"/>
          <w:highlight w:val="none"/>
        </w:rPr>
        <w:t>期间核查的</w:t>
      </w:r>
      <w:r>
        <w:rPr>
          <w:rFonts w:ascii="Times New Roman" w:hAnsi="Times New Roman" w:hint="eastAsia"/>
          <w:highlight w:val="none"/>
        </w:rPr>
        <w:t>数字化管理</w:t>
      </w:r>
      <w:r>
        <w:rPr>
          <w:rFonts w:ascii="Times New Roman" w:hAnsi="Times New Roman" w:hint="eastAsia"/>
          <w:lang w:val="en-US" w:eastAsia="zh-CN"/>
          <w:highlight w:val="none"/>
        </w:rPr>
        <w:t>应符合下列规定：</w:t>
      </w:r>
    </w:p>
    <w:p>
      <w:pPr>
        <w:keepNext w:val="0"/>
        <w:keepLines w:val="0"/>
        <w:pageBreakBefore w:val="0"/>
        <w:widowControl w:val="0"/>
        <w:numPr>
          <w:ilvl w:val="0"/>
          <w:numId w:val="18"/>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应建立和规范期间核查计划、实施、评价和结果应用的管理流程；</w:t>
      </w:r>
    </w:p>
    <w:p>
      <w:pPr>
        <w:keepNext w:val="0"/>
        <w:keepLines w:val="0"/>
        <w:pageBreakBefore w:val="0"/>
        <w:widowControl w:val="0"/>
        <w:numPr>
          <w:ilvl w:val="0"/>
          <w:numId w:val="18"/>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hint="eastAsia"/>
          <w:color w:val="auto"/>
          <w:shd w:val="clear" w:color="auto" w:fill="auto"/>
          <w:lang w:val="en-US" w:eastAsia="zh-CN"/>
          <w:highlight w:val="none"/>
        </w:rPr>
        <w:t>应采集期间核查设备的名称、编号、型号、所属部门、存放地点、核查周期、计划核查月份、核查项目、核查人与核查结果</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18"/>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color w:val="auto"/>
          <w:highlight w:val="none"/>
        </w:rPr>
        <w:t>应统计核查计划完成率、核查结果合格率、核查项目不合格项分布及重复不合格次数；</w:t>
      </w:r>
    </w:p>
    <w:p>
      <w:pPr>
        <w:keepNext w:val="0"/>
        <w:keepLines w:val="0"/>
        <w:pageBreakBefore w:val="0"/>
        <w:widowControl w:val="0"/>
        <w:numPr>
          <w:ilvl w:val="0"/>
          <w:numId w:val="18"/>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color w:val="auto"/>
          <w:sz w:val="24"/>
          <w:szCs w:val="24"/>
          <w:lang w:val="en-US" w:eastAsia="zh-CN"/>
          <w:highlight w:val="none"/>
        </w:rPr>
      </w:pPr>
      <w:r>
        <w:rPr>
          <w:rFonts w:ascii="Times New Roman" w:hAnsi="Times New Roman"/>
          <w:color w:val="auto"/>
          <w:highlight w:val="none"/>
        </w:rPr>
        <w:t>应预警超期未核查、结果不合格设备</w:t>
      </w:r>
      <w:r>
        <w:rPr>
          <w:rFonts w:ascii="Times New Roman" w:hAnsi="Times New Roman" w:hint="eastAsia"/>
          <w:color w:val="auto"/>
          <w:shd w:val="clear" w:color="auto" w:fill="auto"/>
          <w:highlight w:val="none"/>
        </w:rPr>
        <w:t>至相关管理人员</w:t>
      </w:r>
      <w:r>
        <w:rPr>
          <w:rFonts w:ascii="Times New Roman" w:hAnsi="Times New Roman" w:hint="eastAsia"/>
          <w:color w:val="auto"/>
          <w:shd w:val="clear" w:color="auto" w:fill="auto"/>
          <w:lang w:eastAsia="zh-CN"/>
          <w:highlight w:val="none"/>
        </w:rPr>
        <w:t>，</w:t>
      </w:r>
      <w:r>
        <w:rPr>
          <w:rFonts w:ascii="Times New Roman" w:hAnsi="Times New Roman"/>
          <w:color w:val="auto"/>
          <w:highlight w:val="none"/>
        </w:rPr>
        <w:t>并锁定使用权限</w:t>
      </w:r>
      <w:r>
        <w:rPr>
          <w:rFonts w:ascii="Times New Roman" w:hAnsi="Times New Roman" w:hint="eastAsia"/>
          <w:color w:val="auto"/>
          <w:lang w:eastAsia="zh-CN"/>
          <w:highlight w:val="none"/>
        </w:rPr>
        <w:t>，</w:t>
      </w:r>
      <w:r>
        <w:rPr>
          <w:rFonts w:ascii="Times New Roman" w:hAnsi="Times New Roman"/>
          <w:color w:val="auto"/>
          <w:highlight w:val="none"/>
        </w:rPr>
        <w:t>宜根据</w:t>
      </w:r>
      <w:r>
        <w:rPr>
          <w:rFonts w:ascii="Times New Roman" w:hAnsi="Times New Roman" w:hint="eastAsia"/>
          <w:color w:val="auto"/>
          <w:lang w:val="en-US" w:eastAsia="zh-CN"/>
          <w:highlight w:val="none"/>
        </w:rPr>
        <w:t>统计</w:t>
      </w:r>
      <w:r>
        <w:rPr>
          <w:rFonts w:ascii="Times New Roman" w:hAnsi="Times New Roman"/>
          <w:color w:val="auto"/>
          <w:highlight w:val="none"/>
        </w:rPr>
        <w:t>结果优化设备采购选型标准</w:t>
      </w:r>
      <w:r>
        <w:rPr>
          <w:rFonts w:ascii="Times New Roman" w:hAnsi="Times New Roman" w:hint="eastAsia"/>
          <w:color w:val="auto"/>
          <w:lang w:val="en-US" w:eastAsia="zh-CN"/>
          <w:highlight w:val="none"/>
        </w:rPr>
        <w:t>和核查时间安排</w:t>
      </w:r>
      <w:r>
        <w:rPr>
          <w:rFonts w:ascii="Times New Roman" w:hAnsi="Times New Roman"/>
          <w:color w:val="auto"/>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hint="eastAsia"/>
          <w:color w:val="auto"/>
          <w:sz w:val="24"/>
          <w:szCs w:val="24"/>
          <w:lang w:val="en-US" w:eastAsia="zh-CN"/>
          <w:highlight w:val="none"/>
        </w:rPr>
        <w:t>设备</w:t>
      </w:r>
      <w:r>
        <w:rPr>
          <w:rFonts w:ascii="Times New Roman" w:cs="Times New Roman" w:hAnsi="Times New Roman" w:hint="eastAsia"/>
          <w:color w:val="auto"/>
          <w:sz w:val="24"/>
          <w:szCs w:val="24"/>
          <w:lang w:val="en-US" w:eastAsia="zh-CN"/>
          <w:highlight w:val="none"/>
        </w:rPr>
        <w:t>档案的</w:t>
      </w:r>
      <w:r>
        <w:rPr>
          <w:rFonts w:ascii="Times New Roman" w:hAnsi="Times New Roman" w:hint="eastAsia"/>
          <w:highlight w:val="none"/>
        </w:rPr>
        <w:t>数字化管理</w:t>
      </w:r>
      <w:r>
        <w:rPr>
          <w:rFonts w:ascii="Times New Roman" w:hAnsi="Times New Roman" w:hint="eastAsia"/>
          <w:lang w:val="en-US" w:eastAsia="zh-CN"/>
          <w:highlight w:val="none"/>
        </w:rPr>
        <w:t>应符合下列规定：</w:t>
      </w:r>
    </w:p>
    <w:p>
      <w:pPr>
        <w:keepNext w:val="0"/>
        <w:keepLines w:val="0"/>
        <w:pageBreakBefore w:val="0"/>
        <w:widowControl w:val="0"/>
        <w:numPr>
          <w:ilvl w:val="0"/>
          <w:numId w:val="19"/>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应建立和规范设备使用、保养、维修、停用、报废、计量溯源和期间核查的归档流程；</w:t>
      </w:r>
    </w:p>
    <w:p>
      <w:pPr>
        <w:keepNext w:val="0"/>
        <w:keepLines w:val="0"/>
        <w:pageBreakBefore w:val="0"/>
        <w:widowControl w:val="0"/>
        <w:numPr>
          <w:ilvl w:val="0"/>
          <w:numId w:val="19"/>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应采集</w:t>
      </w:r>
      <w:r>
        <w:rPr>
          <w:rFonts w:ascii="Times New Roman" w:cs="Times New Roman" w:hAnsi="Times New Roman" w:hint="eastAsia"/>
          <w:color w:val="auto"/>
          <w:sz w:val="24"/>
          <w:szCs w:val="24"/>
          <w:lang w:val="en-US" w:eastAsia="zh-CN"/>
          <w:highlight w:val="none"/>
        </w:rPr>
        <w:t>归档设备的名称、编号、型号、</w:t>
      </w:r>
      <w:r>
        <w:rPr>
          <w:rFonts w:ascii="Times New Roman" w:hAnsi="Times New Roman" w:hint="eastAsia"/>
          <w:color w:val="auto"/>
          <w:shd w:val="clear" w:color="auto" w:fill="auto"/>
          <w:lang w:val="en-US" w:eastAsia="zh-CN"/>
          <w:highlight w:val="none"/>
        </w:rPr>
        <w:t>所属</w:t>
      </w:r>
      <w:r>
        <w:rPr>
          <w:rFonts w:ascii="Times New Roman" w:cs="Times New Roman" w:hAnsi="Times New Roman" w:hint="eastAsia"/>
          <w:color w:val="auto"/>
          <w:sz w:val="24"/>
          <w:szCs w:val="24"/>
          <w:lang w:val="en-US" w:eastAsia="zh-CN"/>
          <w:highlight w:val="none"/>
        </w:rPr>
        <w:t>部门、溯源要求、核查要求、保养要求、存放地、管养员和设备状态，宜采集归档设备的量程、精度、技术参数、生产厂家和购置日期等</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19"/>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应统计设备归档完成率、溯源/核查/保养要求符合率、管养员分配数量，</w:t>
      </w:r>
      <w:r>
        <w:rPr>
          <w:rFonts w:ascii="Times New Roman" w:hAnsi="Times New Roman" w:hint="eastAsia"/>
          <w:color w:val="auto"/>
          <w:shd w:val="clear" w:color="auto" w:fill="auto"/>
          <w:lang w:val="en-US" w:eastAsia="zh-CN"/>
          <w:highlight w:val="none"/>
        </w:rPr>
        <w:t>应</w:t>
      </w:r>
      <w:r>
        <w:rPr>
          <w:rFonts w:ascii="Times New Roman" w:hAnsi="Times New Roman" w:hint="eastAsia"/>
          <w:color w:val="auto"/>
          <w:shd w:val="clear" w:color="auto" w:fill="auto"/>
          <w:highlight w:val="none"/>
        </w:rPr>
        <w:t>分析未归档设备、归档信息缺失项、存放地与部门不匹配等异常；</w:t>
      </w:r>
    </w:p>
    <w:p>
      <w:pPr>
        <w:keepNext w:val="0"/>
        <w:keepLines w:val="0"/>
        <w:pageBreakBefore w:val="0"/>
        <w:widowControl w:val="0"/>
        <w:numPr>
          <w:ilvl w:val="0"/>
          <w:numId w:val="19"/>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应预警信息不全或不符合要求的设备至相关管理人员</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限制未完成归档的使用权限</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highlight w:val="none"/>
        </w:rPr>
        <w:t>宜根据</w:t>
      </w:r>
      <w:r>
        <w:rPr>
          <w:rFonts w:ascii="Times New Roman" w:hAnsi="Times New Roman" w:hint="eastAsia"/>
          <w:color w:val="auto"/>
          <w:shd w:val="clear" w:color="auto" w:fill="auto"/>
          <w:lang w:val="en-US" w:eastAsia="zh-CN"/>
          <w:highlight w:val="none"/>
        </w:rPr>
        <w:t>统计与分析结果</w:t>
      </w:r>
      <w:r>
        <w:rPr>
          <w:rFonts w:ascii="Times New Roman" w:hAnsi="Times New Roman" w:hint="eastAsia"/>
          <w:color w:val="auto"/>
          <w:shd w:val="clear" w:color="auto" w:fill="auto"/>
          <w:highlight w:val="none"/>
        </w:rPr>
        <w:t>优化</w:t>
      </w:r>
      <w:r>
        <w:rPr>
          <w:rFonts w:ascii="Times New Roman" w:hAnsi="Times New Roman" w:hint="eastAsia"/>
          <w:color w:val="auto"/>
          <w:shd w:val="clear" w:color="auto" w:fill="auto"/>
          <w:lang w:val="en-US" w:eastAsia="zh-CN"/>
          <w:highlight w:val="none"/>
        </w:rPr>
        <w:t>设备</w:t>
      </w:r>
      <w:r>
        <w:rPr>
          <w:rFonts w:ascii="Times New Roman" w:hAnsi="Times New Roman" w:hint="eastAsia"/>
          <w:color w:val="auto"/>
          <w:shd w:val="clear" w:color="auto" w:fill="auto"/>
          <w:highlight w:val="none"/>
        </w:rPr>
        <w:t>存放</w:t>
      </w:r>
      <w:r>
        <w:rPr>
          <w:rFonts w:ascii="Times New Roman" w:hAnsi="Times New Roman" w:hint="eastAsia"/>
          <w:color w:val="auto"/>
          <w:shd w:val="clear" w:color="auto" w:fill="auto"/>
          <w:lang w:val="en-US" w:eastAsia="zh-CN"/>
          <w:highlight w:val="none"/>
        </w:rPr>
        <w:t>与管养员配置</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hint="eastAsia"/>
          <w:b/>
          <w:bCs/>
          <w:color w:val="auto"/>
          <w:sz w:val="28"/>
          <w:szCs w:val="28"/>
          <w:lang w:val="en-US" w:eastAsia="zh-CN"/>
          <w:highlight w:val="none"/>
        </w:rPr>
      </w:pPr>
      <w:bookmarkStart w:id="43" w:name="_Toc22335"/>
      <w:bookmarkStart w:id="44" w:name="_Toc3770"/>
      <w:bookmarkStart w:id="45" w:name="_Toc21923"/>
      <w:bookmarkEnd w:id="40"/>
      <w:bookmarkEnd w:id="41"/>
      <w:bookmarkEnd w:id="42"/>
      <w:r>
        <w:rPr>
          <w:rFonts w:ascii="Times New Roman" w:eastAsia="黑体" w:cs="Times New Roman" w:hAnsi="Times New Roman" w:hint="eastAsia"/>
          <w:b/>
          <w:bCs/>
          <w:color w:val="auto"/>
          <w:sz w:val="28"/>
          <w:szCs w:val="28"/>
          <w:lang w:val="en-US" w:eastAsia="zh-CN"/>
          <w:highlight w:val="none"/>
        </w:rPr>
        <w:t>设施和环境</w:t>
      </w:r>
      <w:bookmarkEnd w:id="43"/>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场所的数字化管理应包括设施和环境的数字化管理。</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设施的数字化管理应符合下列规定：</w:t>
      </w:r>
    </w:p>
    <w:p>
      <w:pPr>
        <w:keepNext w:val="0"/>
        <w:keepLines w:val="0"/>
        <w:pageBreakBefore w:val="0"/>
        <w:widowControl w:val="0"/>
        <w:numPr>
          <w:ilvl w:val="0"/>
          <w:numId w:val="20"/>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应建立和规范设施的管理流程；</w:t>
      </w:r>
    </w:p>
    <w:p>
      <w:pPr>
        <w:keepNext w:val="0"/>
        <w:keepLines w:val="0"/>
        <w:pageBreakBefore w:val="0"/>
        <w:widowControl w:val="0"/>
        <w:numPr>
          <w:ilvl w:val="0"/>
          <w:numId w:val="20"/>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应采集</w:t>
      </w:r>
      <w:r>
        <w:rPr>
          <w:rFonts w:ascii="Times New Roman" w:cs="Times New Roman" w:hAnsi="Times New Roman" w:hint="eastAsia"/>
          <w:color w:val="auto"/>
          <w:sz w:val="24"/>
          <w:szCs w:val="24"/>
          <w:lang w:val="en-US" w:eastAsia="zh-CN"/>
          <w:highlight w:val="none"/>
        </w:rPr>
        <w:t>设施的名称、地点、类别、存放部门、管养员和技术参数</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20"/>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lang w:val="en-US" w:eastAsia="zh-CN"/>
          <w:highlight w:val="none"/>
        </w:rPr>
      </w:pPr>
      <w:r>
        <w:rPr>
          <w:rFonts w:ascii="Times New Roman" w:hAnsi="Times New Roman" w:hint="eastAsia"/>
          <w:color w:val="auto"/>
          <w:shd w:val="clear" w:color="auto" w:fill="auto"/>
          <w:highlight w:val="none"/>
        </w:rPr>
        <w:t>应统计信息完整率、类别分布占比、各部门设施数量、管养员负责设施数量</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20"/>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lang w:val="en-US" w:eastAsia="zh-CN"/>
          <w:highlight w:val="none"/>
        </w:rPr>
      </w:pPr>
      <w:r>
        <w:rPr>
          <w:rFonts w:ascii="Times New Roman" w:hAnsi="Times New Roman" w:hint="eastAsia"/>
          <w:color w:val="auto"/>
          <w:shd w:val="clear" w:color="auto" w:fill="auto"/>
          <w:lang w:val="en-US" w:eastAsia="zh-CN"/>
          <w:highlight w:val="none"/>
        </w:rPr>
        <w:t>应根据统计结果动态调整设施管理计划</w:t>
      </w:r>
      <w:r>
        <w:rPr>
          <w:rFonts w:ascii="Times New Roman" w:hAnsi="Times New Roman" w:hint="eastAsia"/>
          <w:color w:val="auto"/>
          <w:shd w:val="clear" w:color="auto" w:fill="auto"/>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环境的数字化管理应符合下列规定：</w:t>
      </w:r>
    </w:p>
    <w:p>
      <w:pPr>
        <w:keepNext w:val="0"/>
        <w:keepLines w:val="0"/>
        <w:pageBreakBefore w:val="0"/>
        <w:widowControl w:val="0"/>
        <w:numPr>
          <w:ilvl w:val="0"/>
          <w:numId w:val="2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cs="Times New Roman" w:hAnsi="Times New Roman" w:hint="eastAsia"/>
          <w:color w:val="auto"/>
          <w:sz w:val="24"/>
          <w:szCs w:val="24"/>
          <w:shd w:val="clear" w:color="auto" w:fill="auto"/>
          <w:lang w:val="en-US" w:eastAsia="zh-CN"/>
          <w:highlight w:val="none"/>
        </w:rPr>
        <w:t>应建立和规范环境的管理流程；</w:t>
      </w:r>
    </w:p>
    <w:p>
      <w:pPr>
        <w:keepNext w:val="0"/>
        <w:keepLines w:val="0"/>
        <w:pageBreakBefore w:val="0"/>
        <w:widowControl w:val="0"/>
        <w:numPr>
          <w:ilvl w:val="0"/>
          <w:numId w:val="2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lang w:val="en-US" w:eastAsia="zh-CN"/>
          <w:highlight w:val="none"/>
        </w:rPr>
        <w:t>应采集</w:t>
      </w:r>
      <w:r>
        <w:rPr>
          <w:rFonts w:ascii="Times New Roman" w:cs="Times New Roman" w:hAnsi="Times New Roman" w:hint="eastAsia"/>
          <w:color w:val="auto"/>
          <w:sz w:val="24"/>
          <w:szCs w:val="24"/>
          <w:lang w:val="en-US" w:eastAsia="zh-CN"/>
          <w:highlight w:val="none"/>
        </w:rPr>
        <w:t>环境的基本信息和监控记录，基本信息包括名称、用途、检测参数、检测标准、环境要求、其他要求、本年登记量和责任人，监控记录包括登记时间、环境实测值和记录人</w:t>
      </w:r>
      <w:r>
        <w:rPr>
          <w:rFonts w:ascii="Times New Roman" w:hAnsi="Times New Roman" w:hint="eastAsia"/>
          <w:color w:val="auto"/>
          <w:shd w:val="clear" w:color="auto" w:fill="auto"/>
          <w:lang w:eastAsia="zh-CN"/>
          <w:highlight w:val="none"/>
        </w:rPr>
        <w:t>；</w:t>
      </w:r>
    </w:p>
    <w:p>
      <w:pPr>
        <w:keepNext w:val="0"/>
        <w:keepLines w:val="0"/>
        <w:pageBreakBefore w:val="0"/>
        <w:widowControl w:val="0"/>
        <w:numPr>
          <w:ilvl w:val="0"/>
          <w:numId w:val="2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应统计</w:t>
      </w:r>
      <w:r>
        <w:rPr>
          <w:rFonts w:ascii="Times New Roman" w:cs="Times New Roman" w:hAnsi="Times New Roman" w:hint="eastAsia"/>
          <w:color w:val="auto"/>
          <w:sz w:val="24"/>
          <w:szCs w:val="24"/>
          <w:lang w:val="en-US" w:eastAsia="zh-CN"/>
          <w:highlight w:val="none"/>
        </w:rPr>
        <w:t>环境要求</w:t>
      </w:r>
      <w:r>
        <w:rPr>
          <w:rFonts w:ascii="Times New Roman" w:hAnsi="Times New Roman" w:hint="eastAsia"/>
          <w:color w:val="auto"/>
          <w:shd w:val="clear" w:color="auto" w:fill="auto"/>
          <w:highlight w:val="none"/>
        </w:rPr>
        <w:t>达标率、监控记录完整率、责任人响应及时率</w:t>
      </w:r>
      <w:r>
        <w:rPr>
          <w:rFonts w:ascii="Times New Roman" w:hAnsi="Times New Roman" w:hint="eastAsia"/>
          <w:color w:val="auto"/>
          <w:shd w:val="clear" w:color="auto" w:fill="auto"/>
          <w:lang w:eastAsia="zh-CN"/>
          <w:highlight w:val="none"/>
        </w:rPr>
        <w:t>，</w:t>
      </w:r>
      <w:r>
        <w:rPr>
          <w:rFonts w:ascii="Times New Roman" w:hAnsi="Times New Roman" w:hint="eastAsia"/>
          <w:color w:val="auto"/>
          <w:shd w:val="clear" w:color="auto" w:fill="auto"/>
          <w:lang w:val="en-US" w:eastAsia="zh-CN"/>
          <w:highlight w:val="none"/>
        </w:rPr>
        <w:t>应</w:t>
      </w:r>
      <w:r>
        <w:rPr>
          <w:rFonts w:ascii="Times New Roman" w:hAnsi="Times New Roman" w:hint="eastAsia"/>
          <w:color w:val="auto"/>
          <w:shd w:val="clear" w:color="auto" w:fill="auto"/>
          <w:highlight w:val="none"/>
        </w:rPr>
        <w:t>分析温湿度超标时段及区域分布、检测标准与实际环境需求匹配偏差、记录缺失或异常等情况；</w:t>
      </w:r>
    </w:p>
    <w:p>
      <w:pPr>
        <w:keepNext w:val="0"/>
        <w:keepLines w:val="0"/>
        <w:pageBreakBefore w:val="0"/>
        <w:widowControl w:val="0"/>
        <w:numPr>
          <w:ilvl w:val="0"/>
          <w:numId w:val="2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hint="eastAsia"/>
          <w:color w:val="auto"/>
          <w:sz w:val="24"/>
          <w:szCs w:val="24"/>
          <w:shd w:val="clear" w:color="auto" w:fill="auto"/>
          <w:lang w:val="en-US" w:eastAsia="zh-CN"/>
          <w:highlight w:val="none"/>
        </w:rPr>
      </w:pPr>
      <w:r>
        <w:rPr>
          <w:rFonts w:ascii="Times New Roman" w:hAnsi="Times New Roman" w:hint="eastAsia"/>
          <w:color w:val="auto"/>
          <w:shd w:val="clear" w:color="auto" w:fill="auto"/>
          <w:highlight w:val="none"/>
        </w:rPr>
        <w:t>应基于实时监控数据触发</w:t>
      </w:r>
      <w:r>
        <w:rPr>
          <w:rFonts w:ascii="Times New Roman" w:cs="Times New Roman" w:hAnsi="Times New Roman" w:hint="eastAsia"/>
          <w:color w:val="auto"/>
          <w:sz w:val="24"/>
          <w:szCs w:val="24"/>
          <w:lang w:val="en-US" w:eastAsia="zh-CN"/>
          <w:highlight w:val="none"/>
        </w:rPr>
        <w:t>环境要求不达标</w:t>
      </w:r>
      <w:r>
        <w:rPr>
          <w:rFonts w:ascii="Times New Roman" w:hAnsi="Times New Roman" w:hint="eastAsia"/>
          <w:color w:val="auto"/>
          <w:shd w:val="clear" w:color="auto" w:fill="auto"/>
          <w:highlight w:val="none"/>
        </w:rPr>
        <w:t>预警，对持续超标环境关联锁定相关设施使用权限；宜根据超标频次、区域分布优化监控点位布局。</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color w:val="auto"/>
          <w:sz w:val="24"/>
          <w:szCs w:val="24"/>
          <w:shd w:val="clear" w:color="FFFFFF" w:fill="D9D9D9"/>
          <w:lang w:val="en-US" w:eastAsia="zh-CN"/>
          <w:highlight w:val="none"/>
        </w:rPr>
      </w:pPr>
      <w:r>
        <w:rPr>
          <w:rFonts w:ascii="Times New Roman" w:cs="Times New Roman" w:hAnsi="Times New Roman" w:hint="eastAsia"/>
          <w:color w:val="auto"/>
          <w:sz w:val="24"/>
          <w:szCs w:val="24"/>
          <w:shd w:val="clear" w:color="FFFFFF" w:fill="D9D9D9"/>
          <w:lang w:val="en-US" w:eastAsia="zh-CN"/>
          <w:highlight w:val="none"/>
        </w:rPr>
        <w:t>【条文说明】检测环境要求为相关技术标准要求的环境条件，如温湿度、风速、气压等。</w:t>
      </w:r>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b/>
          <w:bCs/>
          <w:color w:val="auto"/>
          <w:sz w:val="28"/>
          <w:szCs w:val="28"/>
          <w:lang w:val="en-US" w:eastAsia="zh-CN"/>
          <w:highlight w:val="none"/>
        </w:rPr>
      </w:pPr>
      <w:bookmarkStart w:id="46" w:name="_Toc17491"/>
      <w:bookmarkStart w:id="47" w:name="_Toc1708276803"/>
      <w:r>
        <w:rPr>
          <w:rFonts w:ascii="Times New Roman" w:eastAsia="黑体" w:cs="Times New Roman" w:hAnsi="Times New Roman" w:hint="eastAsia"/>
          <w:b/>
          <w:bCs/>
          <w:color w:val="auto"/>
          <w:sz w:val="28"/>
          <w:szCs w:val="28"/>
          <w:lang w:val="en-US" w:eastAsia="zh-CN"/>
          <w:highlight w:val="none"/>
        </w:rPr>
        <w:t>外部服务</w:t>
      </w:r>
      <w:bookmarkEnd w:id="46"/>
      <w:bookmarkEnd w:id="47"/>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应建立和规范外部服务采购计划、审批、实施和验收的管理流程，包括</w:t>
      </w:r>
      <w:r>
        <w:rPr>
          <w:rFonts w:ascii="宋体" w:eastAsia="宋体" w:cs="宋体" w:hAnsi="宋体" w:hint="eastAsia"/>
          <w:kern w:val="2"/>
          <w:sz w:val="24"/>
          <w:szCs w:val="24"/>
          <w:lang w:val="en-US" w:eastAsia="zh-CN"/>
        </w:rPr>
        <w:t>合同签订、对接台账建立和异议处理</w:t>
      </w:r>
      <w:r>
        <w:rPr>
          <w:rFonts w:ascii="Times New Roman" w:cs="Times New Roman" w:hAnsi="Times New Roman" w:hint="eastAsia"/>
          <w:color w:val="auto"/>
          <w:sz w:val="24"/>
          <w:szCs w:val="24"/>
          <w:lang w:val="en-US" w:eastAsia="zh-CN"/>
          <w:highlight w:val="none"/>
        </w:rPr>
        <w:t>。</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应采集外部服务的名称、服务供应商名称、资质信息、服务合同、计划/实际完成时间、要求和评价结果。</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应统计服务供应商服务频次、按时完成率和评价结果分布。</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cs="Times New Roman" w:hAnsi="Times New Roman" w:hint="eastAsia"/>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应建立和更新服务供应商名录，记录服务供应商资质信息、服务历史记录和评价结果，并</w:t>
      </w:r>
      <w:r>
        <w:rPr>
          <w:rFonts w:ascii="Times New Roman" w:cs="Times New Roman" w:hAnsi="Times New Roman"/>
          <w:color w:val="auto"/>
          <w:sz w:val="24"/>
          <w:szCs w:val="24"/>
          <w:lang w:val="en-US" w:eastAsia="zh-CN"/>
          <w:highlight w:val="none"/>
        </w:rPr>
        <w:t>基于</w:t>
      </w:r>
      <w:r>
        <w:rPr>
          <w:rFonts w:ascii="Times New Roman" w:cs="Times New Roman" w:hAnsi="Times New Roman" w:hint="eastAsia"/>
          <w:color w:val="auto"/>
          <w:sz w:val="24"/>
          <w:szCs w:val="24"/>
          <w:lang w:val="en-US" w:eastAsia="zh-CN"/>
          <w:highlight w:val="none"/>
        </w:rPr>
        <w:t>供应商名录信息调整</w:t>
      </w:r>
      <w:r>
        <w:rPr>
          <w:rFonts w:ascii="Times New Roman" w:cs="Times New Roman" w:hAnsi="Times New Roman"/>
          <w:color w:val="auto"/>
          <w:sz w:val="24"/>
          <w:szCs w:val="24"/>
          <w:lang w:val="en-US" w:eastAsia="zh-CN"/>
          <w:highlight w:val="none"/>
        </w:rPr>
        <w:t>供应商准入资格、续约优先级及服务配额。</w:t>
      </w:r>
    </w:p>
    <w:p>
      <w:pPr>
        <w:rPr>
          <w:rFonts w:ascii="Times New Roman" w:eastAsia="宋体" w:cs="Times New Roman" w:hAnsi="Times New Roman" w:hint="eastAsia"/>
          <w:b/>
          <w:bCs/>
          <w:color w:val="auto"/>
          <w:sz w:val="30"/>
          <w:szCs w:val="30"/>
          <w:lang w:val="en-US" w:eastAsia="zh-CN"/>
          <w:highlight w:val="none"/>
        </w:rPr>
      </w:pPr>
      <w:r>
        <w:rPr>
          <w:rFonts w:ascii="Times New Roman" w:eastAsia="宋体" w:cs="Times New Roman" w:hAnsi="Times New Roman" w:hint="eastAsia"/>
          <w:b/>
          <w:bCs/>
          <w:color w:val="auto"/>
          <w:sz w:val="30"/>
          <w:szCs w:val="30"/>
          <w:lang w:val="en-US" w:eastAsia="zh-CN"/>
          <w:highlight w:val="none"/>
        </w:rPr>
        <w:br w:type="page"/>
      </w:r>
    </w:p>
    <w:p>
      <w:pPr>
        <w:pStyle w:val="1"/>
        <w:numPr>
          <w:ilvl w:val="0"/>
          <w:numId w:val="1"/>
        </w:numPr>
        <w:ind w:left="425"/>
        <w:rPr>
          <w:rFonts w:hint="eastAsia"/>
          <w:highlight w:val="none"/>
        </w:rPr>
      </w:pPr>
      <w:bookmarkStart w:id="48" w:name="_Toc1299351278"/>
      <w:bookmarkStart w:id="49" w:name="_Toc23859"/>
      <w:bookmarkEnd w:id="44"/>
      <w:bookmarkEnd w:id="45"/>
      <w:r>
        <w:rPr>
          <w:rFonts w:hint="eastAsia"/>
          <w:lang w:val="en-US" w:eastAsia="zh-CN"/>
          <w:highlight w:val="none"/>
        </w:rPr>
        <w:t>过程</w:t>
      </w:r>
      <w:bookmarkEnd w:id="48"/>
      <w:r>
        <w:rPr>
          <w:rFonts w:cs="Times New Roman" w:hint="eastAsia"/>
          <w:lang w:val="en-US" w:eastAsia="zh-CN"/>
          <w:highlight w:val="none"/>
        </w:rPr>
        <w:t>数字化管理</w:t>
      </w:r>
      <w:bookmarkEnd w:id="49"/>
    </w:p>
    <w:p>
      <w:pPr>
        <w:numPr>
          <w:ilvl w:val="1"/>
          <w:numId w:val="1"/>
        </w:numPr>
        <w:jc w:val="center"/>
        <w:outlineLvl w:val="1"/>
        <w:rPr>
          <w:rFonts w:ascii="Times New Roman" w:eastAsia="黑体" w:hAnsi="Times New Roman"/>
          <w:b/>
          <w:bCs/>
          <w:sz w:val="28"/>
          <w:szCs w:val="28"/>
          <w:highlight w:val="none"/>
        </w:rPr>
      </w:pPr>
      <w:bookmarkStart w:id="50" w:name="_Toc16135"/>
      <w:bookmarkStart w:id="51" w:name="_Toc435723003"/>
      <w:bookmarkStart w:id="52" w:name="_Toc30508"/>
      <w:r>
        <w:rPr>
          <w:rFonts w:ascii="Times New Roman" w:eastAsia="黑体" w:hAnsi="Times New Roman"/>
          <w:b/>
          <w:bCs/>
          <w:sz w:val="28"/>
          <w:szCs w:val="28"/>
          <w:highlight w:val="none"/>
        </w:rPr>
        <w:t>一般规定</w:t>
      </w:r>
      <w:bookmarkEnd w:id="50"/>
      <w:bookmarkEnd w:id="51"/>
      <w:bookmarkEnd w:id="52"/>
    </w:p>
    <w:p>
      <w:pPr>
        <w:keepNext w:val="0"/>
        <w:keepLines w:val="0"/>
        <w:pageBreakBefore w:val="0"/>
        <w:widowControl/>
        <w:numPr>
          <w:ilvl w:val="2"/>
          <w:numId w:val="1"/>
        </w:numPr>
        <w:kinsoku/>
        <w:wordWrap/>
        <w:overflowPunct/>
        <w:topLinePunct w:val="0"/>
        <w:autoSpaceDE/>
        <w:autoSpaceDN/>
        <w:bidi w:val="0"/>
        <w:adjustRightInd/>
        <w:snapToGrid/>
        <w:spacing w:before="0" w:after="0"/>
        <w:ind w:left="0" w:firstLine="0"/>
        <w:textAlignment w:val="auto"/>
        <w:rPr>
          <w:rFonts w:ascii="Times New Roman" w:hAnsi="Times New Roman"/>
          <w:highlight w:val="none"/>
        </w:rPr>
      </w:pPr>
      <w:r>
        <w:rPr>
          <w:rFonts w:ascii="Times New Roman" w:hAnsi="Times New Roman" w:hint="eastAsia"/>
          <w:lang w:val="en-US" w:eastAsia="zh-CN"/>
          <w:highlight w:val="none"/>
        </w:rPr>
        <w:t>过程的数字化管理应包括</w:t>
      </w:r>
      <w:r>
        <w:rPr>
          <w:rFonts w:ascii="Times New Roman" w:hAnsi="Times New Roman" w:hint="eastAsia"/>
          <w:color w:val="auto"/>
          <w:shd w:val="clear" w:color="auto" w:fill="auto"/>
          <w:lang w:val="en-US" w:eastAsia="zh-CN"/>
          <w:highlight w:val="none"/>
        </w:rPr>
        <w:t>要求、标书和合同的评审，方法的选择、验证和确认，抽样，检测物品的处置，技术记录，测量不确定度的评定，确保结果有效性，报告结果，投诉，不符合工作及数据控制和信息管理。</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hAnsi="Times New Roman"/>
          <w:highlight w:val="none"/>
        </w:rPr>
      </w:pPr>
      <w:r>
        <w:rPr>
          <w:rFonts w:hint="eastAsia"/>
          <w:lang w:val="en-US" w:eastAsia="zh-CN"/>
        </w:rPr>
        <w:t>应按照</w:t>
      </w:r>
      <w:r>
        <w:rPr>
          <w:rFonts w:hint="eastAsia"/>
        </w:rPr>
        <w:t>行业监管</w:t>
      </w:r>
      <w:r>
        <w:rPr>
          <w:rFonts w:hint="eastAsia"/>
          <w:lang w:val="en-US" w:eastAsia="zh-CN"/>
        </w:rPr>
        <w:t>要求将技术记录与报告结果</w:t>
      </w:r>
      <w:r>
        <w:rPr>
          <w:rFonts w:hint="eastAsia"/>
        </w:rPr>
        <w:t>检测数据上传至</w:t>
      </w:r>
      <w:r>
        <w:rPr>
          <w:rFonts w:hint="eastAsia"/>
          <w:lang w:val="en-US" w:eastAsia="zh-CN"/>
        </w:rPr>
        <w:t>检测</w:t>
      </w:r>
      <w:r>
        <w:rPr>
          <w:rFonts w:hint="eastAsia"/>
        </w:rPr>
        <w:t>监管平台</w:t>
      </w:r>
      <w:r>
        <w:rPr>
          <w:rFonts w:hint="eastAsia"/>
          <w:lang w:eastAsia="zh-CN"/>
        </w:rPr>
        <w:t>。</w:t>
      </w:r>
    </w:p>
    <w:p>
      <w:pPr>
        <w:numPr>
          <w:ilvl w:val="1"/>
          <w:numId w:val="1"/>
        </w:numPr>
        <w:jc w:val="center"/>
        <w:outlineLvl w:val="1"/>
        <w:rPr>
          <w:rFonts w:ascii="Times New Roman" w:eastAsia="黑体" w:hAnsi="Times New Roman"/>
          <w:b/>
          <w:bCs/>
          <w:sz w:val="28"/>
          <w:szCs w:val="28"/>
          <w:highlight w:val="none"/>
        </w:rPr>
      </w:pPr>
      <w:bookmarkStart w:id="53" w:name="_Toc277275151"/>
      <w:bookmarkStart w:id="54" w:name="_Toc11425"/>
      <w:r>
        <w:rPr>
          <w:rFonts w:ascii="Times New Roman" w:eastAsia="黑体" w:hAnsi="Times New Roman" w:hint="eastAsia"/>
          <w:b/>
          <w:bCs/>
          <w:sz w:val="28"/>
          <w:szCs w:val="28"/>
          <w:highlight w:val="none"/>
        </w:rPr>
        <w:t>要求、标书和合同评审</w:t>
      </w:r>
      <w:bookmarkEnd w:id="53"/>
      <w:bookmarkEnd w:id="54"/>
    </w:p>
    <w:p>
      <w:pPr>
        <w:numPr>
          <w:ilvl w:val="2"/>
          <w:numId w:val="1"/>
        </w:numPr>
        <w:ind w:left="0" w:firstLine="0"/>
        <w:rPr>
          <w:rFonts w:ascii="Times New Roman" w:hAnsi="Times New Roman"/>
          <w:highlight w:val="none"/>
        </w:rPr>
      </w:pPr>
      <w:r>
        <w:rPr>
          <w:rFonts w:ascii="Times New Roman" w:hAnsi="Times New Roman" w:hint="eastAsia"/>
          <w:lang w:val="en-US" w:eastAsia="zh-CN"/>
          <w:highlight w:val="none"/>
        </w:rPr>
        <w:t>应建立和规范要求、标书和合同的申请、评审和批准的管理流程。</w:t>
      </w:r>
    </w:p>
    <w:p>
      <w:pPr>
        <w:numPr>
          <w:ilvl w:val="2"/>
          <w:numId w:val="1"/>
        </w:numPr>
        <w:ind w:left="0" w:firstLine="0"/>
        <w:rPr>
          <w:rFonts w:ascii="Times New Roman" w:hAnsi="Times New Roman"/>
          <w:highlight w:val="none"/>
        </w:rPr>
      </w:pPr>
      <w:r>
        <w:rPr>
          <w:rFonts w:ascii="Times New Roman" w:hAnsi="Times New Roman" w:hint="eastAsia"/>
          <w:lang w:val="en-US" w:eastAsia="zh-CN"/>
          <w:highlight w:val="none"/>
        </w:rPr>
        <w:t>应采集合同评审的项目信息、委托方信息、业务要求信息以及标书和合同信息，并符合下列规定：</w:t>
      </w:r>
    </w:p>
    <w:p>
      <w:pPr>
        <w:keepNext w:val="0"/>
        <w:keepLines w:val="0"/>
        <w:pageBreakBefore w:val="0"/>
        <w:widowControl w:val="0"/>
        <w:numPr>
          <w:ilvl w:val="0"/>
          <w:numId w:val="2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color w:val="auto"/>
          <w:shd w:val="clear" w:color="auto" w:fill="auto"/>
          <w:lang w:val="en-US" w:eastAsia="zh-CN"/>
          <w:highlight w:val="none"/>
        </w:rPr>
      </w:pPr>
      <w:r>
        <w:rPr>
          <w:rFonts w:ascii="Times New Roman" w:hAnsi="Times New Roman" w:hint="eastAsia"/>
          <w:color w:val="auto"/>
          <w:shd w:val="clear" w:color="auto" w:fill="auto"/>
          <w:lang w:val="en-US" w:eastAsia="zh-CN"/>
          <w:highlight w:val="none"/>
        </w:rPr>
        <w:t>项目信息应包括项目名称、地点、规模、结构类型、项目负责人、监督单位信息、监理单位信息、施工单位信息、设计单位信息和见证信息；</w:t>
      </w:r>
    </w:p>
    <w:p>
      <w:pPr>
        <w:keepNext w:val="0"/>
        <w:keepLines w:val="0"/>
        <w:pageBreakBefore w:val="0"/>
        <w:widowControl w:val="0"/>
        <w:numPr>
          <w:ilvl w:val="0"/>
          <w:numId w:val="2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color w:val="auto"/>
          <w:shd w:val="clear" w:color="auto" w:fill="auto"/>
          <w:lang w:val="en-US" w:eastAsia="zh-CN"/>
          <w:highlight w:val="none"/>
        </w:rPr>
      </w:pPr>
      <w:r>
        <w:rPr>
          <w:rFonts w:ascii="Times New Roman" w:hAnsi="Times New Roman" w:hint="eastAsia"/>
          <w:color w:val="auto"/>
          <w:shd w:val="clear" w:color="auto" w:fill="auto"/>
          <w:lang w:val="en-US" w:eastAsia="zh-CN"/>
          <w:highlight w:val="none"/>
        </w:rPr>
        <w:t>委托方信息应包括单位名称、统一社会信用代码、法定代表人、联系人和联系电话；</w:t>
      </w:r>
    </w:p>
    <w:p>
      <w:pPr>
        <w:keepNext w:val="0"/>
        <w:keepLines w:val="0"/>
        <w:pageBreakBefore w:val="0"/>
        <w:widowControl w:val="0"/>
        <w:numPr>
          <w:ilvl w:val="0"/>
          <w:numId w:val="2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color w:val="auto"/>
          <w:shd w:val="clear" w:color="auto" w:fill="auto"/>
          <w:lang w:val="en-US" w:eastAsia="zh-CN"/>
          <w:highlight w:val="none"/>
        </w:rPr>
      </w:pPr>
      <w:r>
        <w:rPr>
          <w:rFonts w:ascii="Times New Roman" w:hAnsi="Times New Roman" w:hint="eastAsia"/>
          <w:color w:val="auto"/>
          <w:shd w:val="clear" w:color="auto" w:fill="auto"/>
          <w:lang w:val="en-US" w:eastAsia="zh-CN"/>
          <w:highlight w:val="none"/>
        </w:rPr>
        <w:t>业务要求信息应包括检测参数、标准依据和检测类别；</w:t>
      </w:r>
    </w:p>
    <w:p>
      <w:pPr>
        <w:keepNext w:val="0"/>
        <w:keepLines w:val="0"/>
        <w:pageBreakBefore w:val="0"/>
        <w:widowControl w:val="0"/>
        <w:numPr>
          <w:ilvl w:val="0"/>
          <w:numId w:val="22"/>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color w:val="auto"/>
          <w:shd w:val="clear" w:color="auto" w:fill="auto"/>
          <w:lang w:val="en-US" w:eastAsia="zh-CN"/>
          <w:highlight w:val="none"/>
        </w:rPr>
      </w:pPr>
      <w:r>
        <w:rPr>
          <w:rFonts w:ascii="Times New Roman" w:hAnsi="Times New Roman" w:hint="eastAsia"/>
          <w:lang w:val="en-US" w:eastAsia="zh-CN"/>
          <w:highlight w:val="none"/>
        </w:rPr>
        <w:t>标书和合同信息应包括编号、名称、标的、</w:t>
      </w:r>
      <w:r>
        <w:rPr>
          <w:rFonts w:ascii="Times New Roman" w:hAnsi="Times New Roman" w:hint="eastAsia"/>
          <w:color w:val="auto"/>
          <w:shd w:val="clear" w:color="auto" w:fill="auto"/>
          <w:lang w:val="en-US" w:eastAsia="zh-CN"/>
          <w:highlight w:val="none"/>
        </w:rPr>
        <w:t>金额、经办人和评审周期。</w:t>
      </w:r>
    </w:p>
    <w:p>
      <w:pPr>
        <w:numPr>
          <w:ilvl w:val="2"/>
          <w:numId w:val="1"/>
        </w:numPr>
        <w:ind w:left="0" w:firstLine="0"/>
        <w:rPr>
          <w:rFonts w:ascii="Times New Roman" w:hAnsi="Times New Roman"/>
          <w:highlight w:val="none"/>
        </w:rPr>
      </w:pPr>
      <w:r>
        <w:rPr>
          <w:rFonts w:ascii="Times New Roman" w:hAnsi="Times New Roman" w:hint="eastAsia"/>
          <w:highlight w:val="none"/>
        </w:rPr>
        <w:t>应统计各委托单位年度合同数量、项目规模与结构类型分布、检测参数类别占比、合同金额区间分布、平均评审周期、经办人月度评审量及项目地域分布，</w:t>
      </w:r>
      <w:r>
        <w:rPr>
          <w:rFonts w:ascii="Times New Roman" w:hAnsi="Times New Roman" w:hint="eastAsia"/>
          <w:lang w:val="en-US" w:eastAsia="zh-CN"/>
          <w:highlight w:val="none"/>
        </w:rPr>
        <w:t>应校验标的与业务要求中检测参数的匹配性，应</w:t>
      </w:r>
      <w:r>
        <w:rPr>
          <w:rFonts w:ascii="Times New Roman" w:hAnsi="Times New Roman" w:hint="eastAsia"/>
          <w:highlight w:val="none"/>
        </w:rPr>
        <w:t>分析经办人评审效率差异。</w:t>
      </w:r>
    </w:p>
    <w:p>
      <w:pPr>
        <w:numPr>
          <w:ilvl w:val="2"/>
          <w:numId w:val="1"/>
        </w:numPr>
        <w:ind w:left="0" w:firstLine="0"/>
        <w:rPr>
          <w:rFonts w:ascii="Times New Roman" w:hAnsi="Times New Roman"/>
          <w:highlight w:val="none"/>
        </w:rPr>
      </w:pPr>
      <w:r>
        <w:rPr>
          <w:rFonts w:ascii="Times New Roman" w:hAnsi="Times New Roman" w:hint="eastAsia"/>
          <w:highlight w:val="none"/>
        </w:rPr>
        <w:t>应触发评审超期预警</w:t>
      </w:r>
      <w:r>
        <w:rPr>
          <w:rFonts w:ascii="Times New Roman" w:hAnsi="Times New Roman" w:hint="eastAsia"/>
          <w:lang w:val="en-US" w:eastAsia="zh-CN"/>
          <w:highlight w:val="none"/>
        </w:rPr>
        <w:t>与</w:t>
      </w:r>
      <w:r>
        <w:rPr>
          <w:rFonts w:ascii="Times New Roman" w:hAnsi="Times New Roman" w:hint="eastAsia"/>
          <w:highlight w:val="none"/>
        </w:rPr>
        <w:t>合同金额超经办人权限预警，对信用异常委托单位标记风险等级</w:t>
      </w:r>
      <w:r>
        <w:rPr>
          <w:rFonts w:ascii="Times New Roman" w:hAnsi="Times New Roman" w:hint="eastAsia"/>
          <w:lang w:eastAsia="zh-CN"/>
          <w:highlight w:val="none"/>
        </w:rPr>
        <w:t>，</w:t>
      </w:r>
      <w:r>
        <w:rPr>
          <w:rFonts w:ascii="Times New Roman" w:hAnsi="Times New Roman" w:hint="eastAsia"/>
          <w:highlight w:val="none"/>
        </w:rPr>
        <w:t>基于项目规模动态调整评审节点，对超期率高的经办人推送权限复核及能力培训。</w:t>
      </w:r>
    </w:p>
    <w:p>
      <w:pPr>
        <w:tabs>
          <w:tab w:val="left" w:pos="0"/>
        </w:tabs>
        <w:rPr>
          <w:rFonts w:ascii="Times New Roman" w:hAnsi="Times New Roman"/>
          <w:shd w:val="clear" w:color="FFFFFF" w:fill="D9D9D9"/>
          <w:lang w:val="en-US"/>
          <w:highlight w:val="none"/>
        </w:rPr>
      </w:pPr>
      <w:r>
        <w:rPr>
          <w:rFonts w:ascii="Times New Roman" w:hAnsi="Times New Roman" w:hint="eastAsia"/>
          <w:shd w:val="clear" w:color="FFFFFF" w:fill="D9D9D9"/>
          <w:lang w:val="en-US" w:eastAsia="zh-CN"/>
          <w:highlight w:val="none"/>
        </w:rPr>
        <w:t>【条文说明】如</w:t>
      </w:r>
      <w:r>
        <w:rPr>
          <w:rFonts w:ascii="Times New Roman" w:hAnsi="Times New Roman" w:hint="eastAsia"/>
          <w:shd w:val="clear" w:color="FFFFFF" w:fill="D9D9D9"/>
          <w:highlight w:val="none"/>
        </w:rPr>
        <w:t>对信用良好委托单位优化评审</w:t>
      </w:r>
      <w:r>
        <w:rPr>
          <w:rFonts w:ascii="Times New Roman" w:hAnsi="Times New Roman" w:hint="eastAsia"/>
          <w:shd w:val="clear" w:color="FFFFFF" w:fill="D9D9D9"/>
          <w:lang w:val="en-US" w:eastAsia="zh-CN"/>
          <w:highlight w:val="none"/>
        </w:rPr>
        <w:t>流程，规模较大的项目增加技术负责人复核环节。</w:t>
      </w:r>
    </w:p>
    <w:p>
      <w:pPr>
        <w:numPr>
          <w:ilvl w:val="1"/>
          <w:numId w:val="1"/>
        </w:numPr>
        <w:jc w:val="center"/>
        <w:outlineLvl w:val="1"/>
        <w:rPr>
          <w:rFonts w:ascii="Times New Roman" w:eastAsia="黑体" w:hAnsi="Times New Roman"/>
          <w:b/>
          <w:bCs/>
          <w:sz w:val="28"/>
          <w:szCs w:val="28"/>
          <w:highlight w:val="none"/>
        </w:rPr>
      </w:pPr>
      <w:bookmarkStart w:id="55" w:name="_Toc123948867"/>
      <w:bookmarkStart w:id="56" w:name="_Toc11922"/>
      <w:r>
        <w:rPr>
          <w:rFonts w:ascii="Times New Roman" w:eastAsia="黑体" w:hAnsi="Times New Roman" w:hint="eastAsia"/>
          <w:b/>
          <w:bCs/>
          <w:sz w:val="28"/>
          <w:szCs w:val="28"/>
          <w:highlight w:val="none"/>
        </w:rPr>
        <w:t>方法选择、验证和确认</w:t>
      </w:r>
      <w:bookmarkEnd w:id="55"/>
      <w:bookmarkEnd w:id="56"/>
    </w:p>
    <w:p>
      <w:pPr>
        <w:numPr>
          <w:ilvl w:val="2"/>
          <w:numId w:val="1"/>
        </w:numPr>
        <w:ind w:left="0" w:firstLine="0"/>
        <w:rPr>
          <w:rFonts w:ascii="Times New Roman" w:hAnsi="Times New Roman" w:hint="eastAsia"/>
          <w:highlight w:val="none"/>
        </w:rPr>
      </w:pPr>
      <w:r>
        <w:rPr>
          <w:rFonts w:ascii="Times New Roman" w:hAnsi="Times New Roman" w:hint="eastAsia"/>
          <w:lang w:val="en-US" w:eastAsia="zh-CN"/>
          <w:highlight w:val="none"/>
        </w:rPr>
        <w:t>应建立和规范方法的选择、发布、查新、验证、确认、变更、开发和偏离的管理流程。</w:t>
      </w:r>
    </w:p>
    <w:p>
      <w:pPr>
        <w:numPr>
          <w:ilvl w:val="2"/>
          <w:numId w:val="1"/>
        </w:numPr>
        <w:ind w:left="0" w:firstLine="0"/>
        <w:rPr>
          <w:rFonts w:ascii="Times New Roman" w:hAnsi="Times New Roman" w:hint="eastAsia"/>
          <w:lang w:val="en-US" w:eastAsia="zh-CN"/>
          <w:highlight w:val="none"/>
        </w:rPr>
      </w:pPr>
      <w:r>
        <w:rPr>
          <w:rFonts w:ascii="Times New Roman" w:eastAsia="宋体" w:hAnsi="Times New Roman" w:hint="eastAsia"/>
          <w:lang w:val="en-US" w:eastAsia="zh-CN"/>
          <w:highlight w:val="none"/>
        </w:rPr>
        <w:t>应</w:t>
      </w:r>
      <w:r>
        <w:rPr>
          <w:rFonts w:ascii="Times New Roman" w:hAnsi="Times New Roman" w:hint="eastAsia"/>
          <w:lang w:val="en-US" w:eastAsia="zh-CN"/>
          <w:highlight w:val="none"/>
        </w:rPr>
        <w:t>采集</w:t>
      </w:r>
      <w:r>
        <w:rPr>
          <w:rFonts w:ascii="Times New Roman" w:eastAsia="宋体" w:hAnsi="Times New Roman" w:hint="eastAsia"/>
          <w:lang w:val="en-US" w:eastAsia="zh-CN"/>
          <w:highlight w:val="none"/>
        </w:rPr>
        <w:t>方法的基本信息、验证信息、开发信息和偏离信息，基本信息应包括方法名称、目的及适用范围、参考检测标准及条款号，验证信息应包括</w:t>
      </w:r>
      <w:r>
        <w:rPr>
          <w:rFonts w:ascii="Times New Roman" w:hAnsi="Times New Roman" w:hint="eastAsia"/>
          <w:lang w:val="en-US" w:eastAsia="zh-CN"/>
          <w:highlight w:val="none"/>
        </w:rPr>
        <w:t>人员、设备、样品、方法和场所信息及验证结果，开发信息应包括申请人、申请日期、部门、评审时间、评审人员、审核意见和批准意见。</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hAnsi="Times New Roman" w:hint="eastAsia"/>
          <w:shd w:val="clear" w:color="FFFFFF" w:fill="D9D9D9"/>
          <w:lang w:val="en-US" w:eastAsia="zh-CN"/>
          <w:highlight w:val="none"/>
        </w:rPr>
      </w:pPr>
      <w:r>
        <w:rPr>
          <w:rFonts w:ascii="Times New Roman" w:hAnsi="Times New Roman" w:hint="eastAsia"/>
          <w:shd w:val="clear" w:color="FFFFFF" w:fill="D9D9D9"/>
          <w:lang w:val="en-US" w:eastAsia="zh-CN"/>
          <w:highlight w:val="none"/>
        </w:rPr>
        <w:t>验证结果包括人员验证记录、设备验证记录、环境条件验证记录、作业指导书、模拟或典型报告、质量控制活动记录</w:t>
      </w:r>
    </w:p>
    <w:p>
      <w:pPr>
        <w:numPr>
          <w:ilvl w:val="2"/>
          <w:numId w:val="1"/>
        </w:numPr>
        <w:ind w:left="0" w:firstLine="0"/>
        <w:rPr>
          <w:rFonts w:ascii="Times New Roman" w:hAnsi="Times New Roman" w:hint="eastAsia"/>
          <w:highlight w:val="none"/>
        </w:rPr>
      </w:pPr>
      <w:r>
        <w:rPr>
          <w:rFonts w:ascii="Times New Roman" w:hAnsi="Times New Roman" w:hint="eastAsia"/>
          <w:highlight w:val="none"/>
        </w:rPr>
        <w:t>应统计各类型方法数量占比、各部门年度新增方法数量、方法验证通过率、平均验证周期、评审意见类型分布及参考标准条款的更新频率，</w:t>
      </w:r>
      <w:r>
        <w:rPr>
          <w:rFonts w:ascii="Times New Roman" w:hAnsi="Times New Roman" w:hint="eastAsia"/>
          <w:lang w:val="en-US" w:eastAsia="zh-CN"/>
          <w:highlight w:val="none"/>
        </w:rPr>
        <w:t>应</w:t>
      </w:r>
      <w:r>
        <w:rPr>
          <w:rFonts w:ascii="Times New Roman" w:hAnsi="Times New Roman" w:hint="eastAsia"/>
          <w:highlight w:val="none"/>
        </w:rPr>
        <w:t>分析方法验证失败的关键原因、评审意见重复整改项。</w:t>
      </w:r>
    </w:p>
    <w:p>
      <w:pPr>
        <w:numPr>
          <w:ilvl w:val="2"/>
          <w:numId w:val="1"/>
        </w:numPr>
        <w:ind w:left="0" w:firstLine="0"/>
        <w:rPr>
          <w:rFonts w:ascii="Times New Roman" w:hAnsi="Times New Roman" w:hint="eastAsia"/>
          <w:shd w:val="clear" w:color="FFFFFF" w:fill="D9D9D9"/>
          <w:lang w:val="en-US" w:eastAsia="zh-CN"/>
          <w:highlight w:val="none"/>
        </w:rPr>
      </w:pPr>
      <w:r>
        <w:rPr>
          <w:rFonts w:ascii="Times New Roman" w:hAnsi="Times New Roman"/>
          <w:highlight w:val="none"/>
        </w:rPr>
        <w:t>应触发参考标准条款更新提醒</w:t>
      </w:r>
      <w:r>
        <w:rPr>
          <w:rFonts w:ascii="Times New Roman" w:hAnsi="Times New Roman" w:hint="eastAsia"/>
          <w:lang w:val="en-US" w:eastAsia="zh-CN"/>
          <w:highlight w:val="none"/>
        </w:rPr>
        <w:t>和</w:t>
      </w:r>
      <w:r>
        <w:rPr>
          <w:rFonts w:ascii="Times New Roman" w:hAnsi="Times New Roman"/>
          <w:highlight w:val="none"/>
        </w:rPr>
        <w:t>验证超期预警，对验证失败的方法锁定使用权限，</w:t>
      </w:r>
      <w:r>
        <w:rPr>
          <w:rFonts w:ascii="Times New Roman" w:hAnsi="Times New Roman" w:hint="eastAsia"/>
          <w:lang w:val="en-US" w:eastAsia="zh-CN"/>
          <w:highlight w:val="none"/>
        </w:rPr>
        <w:t>并</w:t>
      </w:r>
      <w:r>
        <w:rPr>
          <w:rFonts w:ascii="Times New Roman" w:hAnsi="Times New Roman"/>
          <w:highlight w:val="none"/>
        </w:rPr>
        <w:t>基于统计</w:t>
      </w:r>
      <w:r>
        <w:rPr>
          <w:rFonts w:ascii="Times New Roman" w:hAnsi="Times New Roman" w:hint="eastAsia"/>
          <w:lang w:val="en-US" w:eastAsia="zh-CN"/>
          <w:highlight w:val="none"/>
        </w:rPr>
        <w:t>和分析</w:t>
      </w:r>
      <w:r>
        <w:rPr>
          <w:rFonts w:ascii="Times New Roman" w:hAnsi="Times New Roman"/>
          <w:highlight w:val="none"/>
        </w:rPr>
        <w:t>数据</w:t>
      </w:r>
      <w:r>
        <w:rPr>
          <w:rFonts w:ascii="Times New Roman" w:hAnsi="Times New Roman" w:hint="eastAsia"/>
          <w:lang w:val="en-US" w:eastAsia="zh-CN"/>
          <w:highlight w:val="none"/>
        </w:rPr>
        <w:t>结果</w:t>
      </w:r>
      <w:r>
        <w:rPr>
          <w:rFonts w:ascii="Times New Roman" w:hAnsi="Times New Roman"/>
          <w:highlight w:val="none"/>
        </w:rPr>
        <w:t>优化方法管理流程。</w:t>
      </w:r>
    </w:p>
    <w:p>
      <w:pPr>
        <w:numPr>
          <w:ilvl w:val="1"/>
          <w:numId w:val="1"/>
        </w:numPr>
        <w:jc w:val="center"/>
        <w:outlineLvl w:val="1"/>
        <w:rPr>
          <w:rFonts w:ascii="Times New Roman" w:eastAsia="黑体" w:hAnsi="Times New Roman"/>
          <w:b/>
          <w:bCs/>
          <w:sz w:val="28"/>
          <w:szCs w:val="28"/>
          <w:highlight w:val="none"/>
        </w:rPr>
      </w:pPr>
      <w:bookmarkStart w:id="57" w:name="_Toc149470079"/>
      <w:bookmarkStart w:id="58" w:name="_Toc31874"/>
      <w:r>
        <w:rPr>
          <w:rFonts w:ascii="Times New Roman" w:eastAsia="黑体" w:hAnsi="Times New Roman" w:hint="eastAsia"/>
          <w:b/>
          <w:bCs/>
          <w:sz w:val="28"/>
          <w:szCs w:val="28"/>
          <w:lang w:val="en-US" w:eastAsia="zh-CN"/>
          <w:highlight w:val="none"/>
        </w:rPr>
        <w:t>抽样</w:t>
      </w:r>
      <w:bookmarkEnd w:id="57"/>
      <w:bookmarkEnd w:id="58"/>
    </w:p>
    <w:p>
      <w:pPr>
        <w:numPr>
          <w:ilvl w:val="2"/>
          <w:numId w:val="1"/>
        </w:numPr>
        <w:ind w:left="0" w:firstLine="0"/>
        <w:rPr>
          <w:rFonts w:ascii="Times New Roman" w:hAnsi="Times New Roman"/>
          <w:highlight w:val="none"/>
        </w:rPr>
      </w:pPr>
      <w:r>
        <w:rPr>
          <w:rFonts w:ascii="Times New Roman" w:hAnsi="Times New Roman" w:hint="eastAsia"/>
          <w:lang w:val="en-US" w:eastAsia="zh-CN"/>
          <w:highlight w:val="none"/>
        </w:rPr>
        <w:t>应建立和规范抽样的业务委托、任务下达、方案制定、过程管理和样品接收的流程管理，抽样后应在样品上粘贴带唯一编码的二维码，并记录样品从抽样地点到检测机构的含 GPS 定位、交接人及时间戳的</w:t>
      </w:r>
      <w:r>
        <w:rPr>
          <w:rFonts w:ascii="宋体" w:eastAsia="宋体" w:cs="宋体" w:hAnsi="宋体"/>
          <w:sz w:val="24"/>
          <w:szCs w:val="24"/>
        </w:rPr>
        <w:t>送检路线轨迹</w:t>
      </w:r>
      <w:r>
        <w:rPr>
          <w:rFonts w:ascii="Times New Roman" w:hAnsi="Times New Roman" w:hint="eastAsia"/>
          <w:lang w:val="en-US" w:eastAsia="zh-CN"/>
          <w:highlight w:val="none"/>
        </w:rPr>
        <w:t>。</w:t>
      </w:r>
    </w:p>
    <w:p>
      <w:pPr>
        <w:numPr>
          <w:ilvl w:val="2"/>
          <w:numId w:val="1"/>
        </w:numPr>
        <w:ind w:left="0" w:firstLine="0"/>
        <w:rPr>
          <w:rFonts w:ascii="Times New Roman" w:hAnsi="Times New Roman"/>
          <w:highlight w:val="none"/>
        </w:rPr>
      </w:pPr>
      <w:r>
        <w:rPr>
          <w:rFonts w:ascii="Times New Roman" w:hAnsi="Times New Roman"/>
          <w:highlight w:val="none"/>
        </w:rPr>
        <w:t>应</w:t>
      </w:r>
      <w:r>
        <w:rPr>
          <w:rFonts w:ascii="Times New Roman" w:hAnsi="Times New Roman" w:hint="eastAsia"/>
          <w:lang w:eastAsia="zh-CN"/>
          <w:highlight w:val="none"/>
        </w:rPr>
        <w:t>采集</w:t>
      </w:r>
      <w:r>
        <w:rPr>
          <w:rFonts w:ascii="Times New Roman" w:hAnsi="Times New Roman"/>
          <w:highlight w:val="none"/>
        </w:rPr>
        <w:t>抽样管理的委托与任务信息、计划信息、过程信息及样品标识与交接信息，并</w:t>
      </w:r>
      <w:r>
        <w:rPr>
          <w:rFonts w:ascii="Times New Roman" w:hAnsi="Times New Roman" w:hint="eastAsia"/>
          <w:lang w:eastAsia="zh-CN"/>
          <w:highlight w:val="none"/>
        </w:rPr>
        <w:t>符合下列规定</w:t>
      </w:r>
      <w:r>
        <w:rPr>
          <w:rFonts w:ascii="Times New Roman" w:hAnsi="Times New Roman"/>
          <w:highlight w:val="none"/>
        </w:rPr>
        <w:t>：</w:t>
      </w:r>
    </w:p>
    <w:p>
      <w:pPr>
        <w:keepNext w:val="0"/>
        <w:keepLines w:val="0"/>
        <w:pageBreakBefore w:val="0"/>
        <w:widowControl w:val="0"/>
        <w:numPr>
          <w:ilvl w:val="0"/>
          <w:numId w:val="2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抽样委托与任务信息应包括</w:t>
      </w:r>
      <w:r>
        <w:rPr>
          <w:rFonts w:ascii="Times New Roman" w:hAnsi="Times New Roman" w:hint="eastAsia"/>
          <w:lang w:val="en-US" w:eastAsia="zh-CN"/>
          <w:highlight w:val="none"/>
        </w:rPr>
        <w:t>委托</w:t>
      </w:r>
      <w:r>
        <w:rPr>
          <w:rFonts w:ascii="Times New Roman" w:hAnsi="Times New Roman"/>
          <w:lang w:val="en-US" w:eastAsia="zh-CN"/>
          <w:highlight w:val="none"/>
        </w:rPr>
        <w:t>单位名称</w:t>
      </w:r>
      <w:r>
        <w:rPr>
          <w:rFonts w:ascii="Times New Roman" w:hAnsi="Times New Roman" w:hint="eastAsia"/>
          <w:lang w:val="en-US" w:eastAsia="zh-CN"/>
          <w:highlight w:val="none"/>
        </w:rPr>
        <w:t>、</w:t>
      </w:r>
      <w:r>
        <w:rPr>
          <w:rFonts w:ascii="Times New Roman" w:hAnsi="Times New Roman"/>
          <w:lang w:val="en-US" w:eastAsia="zh-CN"/>
          <w:highlight w:val="none"/>
        </w:rPr>
        <w:t>联系人</w:t>
      </w:r>
      <w:r>
        <w:rPr>
          <w:rFonts w:ascii="Times New Roman" w:hAnsi="Times New Roman" w:hint="eastAsia"/>
          <w:lang w:val="en-US" w:eastAsia="zh-CN"/>
          <w:highlight w:val="none"/>
        </w:rPr>
        <w:t>、</w:t>
      </w:r>
      <w:r>
        <w:rPr>
          <w:rFonts w:ascii="Times New Roman" w:hAnsi="Times New Roman"/>
          <w:lang w:val="en-US" w:eastAsia="zh-CN"/>
          <w:highlight w:val="none"/>
        </w:rPr>
        <w:t>联系电话</w:t>
      </w:r>
      <w:r>
        <w:rPr>
          <w:rFonts w:ascii="Times New Roman" w:hAnsi="Times New Roman" w:hint="eastAsia"/>
          <w:lang w:val="en-US" w:eastAsia="zh-CN"/>
          <w:highlight w:val="none"/>
        </w:rPr>
        <w:t>、</w:t>
      </w:r>
      <w:r>
        <w:rPr>
          <w:rFonts w:ascii="Times New Roman" w:hAnsi="Times New Roman"/>
          <w:lang w:val="en-US" w:eastAsia="zh-CN"/>
          <w:highlight w:val="none"/>
        </w:rPr>
        <w:t>检测参数</w:t>
      </w:r>
      <w:r>
        <w:rPr>
          <w:rFonts w:ascii="Times New Roman" w:hAnsi="Times New Roman" w:hint="eastAsia"/>
          <w:lang w:val="en-US" w:eastAsia="zh-CN"/>
          <w:highlight w:val="none"/>
        </w:rPr>
        <w:t>、</w:t>
      </w:r>
      <w:r>
        <w:rPr>
          <w:rFonts w:ascii="Times New Roman" w:hAnsi="Times New Roman"/>
          <w:lang w:val="en-US" w:eastAsia="zh-CN"/>
          <w:highlight w:val="none"/>
        </w:rPr>
        <w:t>抽样数量</w:t>
      </w:r>
      <w:r>
        <w:rPr>
          <w:rFonts w:ascii="Times New Roman" w:hAnsi="Times New Roman" w:hint="eastAsia"/>
          <w:lang w:val="en-US" w:eastAsia="zh-CN"/>
          <w:highlight w:val="none"/>
        </w:rPr>
        <w:t>、</w:t>
      </w:r>
      <w:r>
        <w:rPr>
          <w:rFonts w:ascii="Times New Roman" w:hAnsi="Times New Roman"/>
          <w:lang w:val="en-US" w:eastAsia="zh-CN"/>
          <w:highlight w:val="none"/>
        </w:rPr>
        <w:t>特殊需求</w:t>
      </w:r>
      <w:r>
        <w:rPr>
          <w:rFonts w:ascii="Times New Roman" w:hAnsi="Times New Roman" w:hint="eastAsia"/>
          <w:lang w:val="en-US" w:eastAsia="zh-CN"/>
          <w:highlight w:val="none"/>
        </w:rPr>
        <w:t>、</w:t>
      </w:r>
      <w:r>
        <w:rPr>
          <w:rFonts w:ascii="Times New Roman" w:hAnsi="Times New Roman"/>
          <w:lang w:val="en-US" w:eastAsia="zh-CN"/>
          <w:highlight w:val="none"/>
        </w:rPr>
        <w:t>任务接收人</w:t>
      </w:r>
      <w:r>
        <w:rPr>
          <w:rFonts w:ascii="Times New Roman" w:hAnsi="Times New Roman" w:hint="eastAsia"/>
          <w:lang w:val="en-US" w:eastAsia="zh-CN"/>
          <w:highlight w:val="none"/>
        </w:rPr>
        <w:t>、</w:t>
      </w:r>
      <w:r>
        <w:rPr>
          <w:rFonts w:ascii="Times New Roman" w:hAnsi="Times New Roman"/>
          <w:lang w:val="en-US" w:eastAsia="zh-CN"/>
          <w:highlight w:val="none"/>
        </w:rPr>
        <w:t>任务下达日期</w:t>
      </w:r>
      <w:r>
        <w:rPr>
          <w:rFonts w:ascii="Times New Roman" w:hAnsi="Times New Roman" w:hint="eastAsia"/>
          <w:lang w:val="en-US" w:eastAsia="zh-CN"/>
          <w:highlight w:val="none"/>
        </w:rPr>
        <w:t>和</w:t>
      </w:r>
      <w:r>
        <w:rPr>
          <w:rFonts w:ascii="Times New Roman" w:hAnsi="Times New Roman"/>
          <w:lang w:val="en-US" w:eastAsia="zh-CN"/>
          <w:highlight w:val="none"/>
        </w:rPr>
        <w:t>任务编号</w:t>
      </w:r>
      <w:r>
        <w:rPr>
          <w:rFonts w:ascii="Times New Roman" w:hAnsi="Times New Roman" w:hint="eastAsia"/>
          <w:lang w:val="en-US" w:eastAsia="zh-CN"/>
          <w:highlight w:val="none"/>
        </w:rPr>
        <w:t>；</w:t>
      </w:r>
    </w:p>
    <w:p>
      <w:pPr>
        <w:keepNext w:val="0"/>
        <w:keepLines w:val="0"/>
        <w:pageBreakBefore w:val="0"/>
        <w:widowControl w:val="0"/>
        <w:numPr>
          <w:ilvl w:val="0"/>
          <w:numId w:val="2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抽样</w:t>
      </w:r>
      <w:r>
        <w:rPr>
          <w:rFonts w:ascii="Times New Roman" w:hAnsi="Times New Roman" w:hint="eastAsia"/>
          <w:lang w:val="en-US" w:eastAsia="zh-CN"/>
          <w:highlight w:val="none"/>
        </w:rPr>
        <w:t>基本</w:t>
      </w:r>
      <w:r>
        <w:rPr>
          <w:rFonts w:ascii="Times New Roman" w:hAnsi="Times New Roman"/>
          <w:lang w:val="en-US" w:eastAsia="zh-CN"/>
          <w:highlight w:val="none"/>
        </w:rPr>
        <w:t>信息应包括抽样依据标准</w:t>
      </w:r>
      <w:r>
        <w:rPr>
          <w:rFonts w:ascii="Times New Roman" w:hAnsi="Times New Roman" w:hint="eastAsia"/>
          <w:lang w:val="en-US" w:eastAsia="zh-CN"/>
          <w:highlight w:val="none"/>
        </w:rPr>
        <w:t>、</w:t>
      </w:r>
      <w:r>
        <w:rPr>
          <w:rFonts w:ascii="Times New Roman" w:hAnsi="Times New Roman"/>
          <w:lang w:val="en-US" w:eastAsia="zh-CN"/>
          <w:highlight w:val="none"/>
        </w:rPr>
        <w:t>抽样部位</w:t>
      </w:r>
      <w:r>
        <w:rPr>
          <w:rFonts w:ascii="Times New Roman" w:hAnsi="Times New Roman" w:hint="eastAsia"/>
          <w:lang w:val="en-US" w:eastAsia="zh-CN"/>
          <w:highlight w:val="none"/>
        </w:rPr>
        <w:t>、</w:t>
      </w:r>
      <w:r>
        <w:rPr>
          <w:rFonts w:ascii="Times New Roman" w:hAnsi="Times New Roman"/>
          <w:lang w:val="en-US" w:eastAsia="zh-CN"/>
          <w:highlight w:val="none"/>
        </w:rPr>
        <w:t>抽样数量</w:t>
      </w:r>
      <w:r>
        <w:rPr>
          <w:rFonts w:ascii="Times New Roman" w:hAnsi="Times New Roman" w:hint="eastAsia"/>
          <w:lang w:val="en-US" w:eastAsia="zh-CN"/>
          <w:highlight w:val="none"/>
        </w:rPr>
        <w:t>和</w:t>
      </w:r>
      <w:r>
        <w:rPr>
          <w:rFonts w:ascii="Times New Roman" w:hAnsi="Times New Roman"/>
          <w:lang w:val="en-US" w:eastAsia="zh-CN"/>
          <w:highlight w:val="none"/>
        </w:rPr>
        <w:t>抽样比例</w:t>
      </w:r>
      <w:r>
        <w:rPr>
          <w:rFonts w:ascii="Times New Roman" w:hAnsi="Times New Roman" w:hint="eastAsia"/>
          <w:lang w:val="en-US" w:eastAsia="zh-CN"/>
          <w:highlight w:val="none"/>
        </w:rPr>
        <w:t>；</w:t>
      </w:r>
    </w:p>
    <w:p>
      <w:pPr>
        <w:keepNext w:val="0"/>
        <w:keepLines w:val="0"/>
        <w:pageBreakBefore w:val="0"/>
        <w:widowControl w:val="0"/>
        <w:numPr>
          <w:ilvl w:val="0"/>
          <w:numId w:val="2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抽样过程信息应包括抽样时间</w:t>
      </w:r>
      <w:r>
        <w:rPr>
          <w:rFonts w:ascii="Times New Roman" w:hAnsi="Times New Roman" w:hint="eastAsia"/>
          <w:lang w:val="en-US" w:eastAsia="zh-CN"/>
          <w:highlight w:val="none"/>
        </w:rPr>
        <w:t>、</w:t>
      </w:r>
      <w:r>
        <w:rPr>
          <w:rFonts w:ascii="Times New Roman" w:hAnsi="Times New Roman"/>
          <w:lang w:val="en-US" w:eastAsia="zh-CN"/>
          <w:highlight w:val="none"/>
        </w:rPr>
        <w:t>抽样地点</w:t>
      </w:r>
      <w:r>
        <w:rPr>
          <w:rFonts w:ascii="Times New Roman" w:hAnsi="Times New Roman" w:hint="eastAsia"/>
          <w:lang w:val="en-US" w:eastAsia="zh-CN"/>
          <w:highlight w:val="none"/>
        </w:rPr>
        <w:t>、</w:t>
      </w:r>
      <w:r>
        <w:rPr>
          <w:rFonts w:ascii="Times New Roman" w:hAnsi="Times New Roman"/>
          <w:lang w:val="en-US" w:eastAsia="zh-CN"/>
          <w:highlight w:val="none"/>
        </w:rPr>
        <w:t>抽样方法</w:t>
      </w:r>
      <w:r>
        <w:rPr>
          <w:rFonts w:ascii="Times New Roman" w:hAnsi="Times New Roman" w:hint="eastAsia"/>
          <w:lang w:val="en-US" w:eastAsia="zh-CN"/>
          <w:highlight w:val="none"/>
        </w:rPr>
        <w:t>、取样</w:t>
      </w:r>
      <w:r>
        <w:rPr>
          <w:rFonts w:ascii="Times New Roman" w:hAnsi="Times New Roman"/>
          <w:lang w:val="en-US" w:eastAsia="zh-CN"/>
          <w:highlight w:val="none"/>
        </w:rPr>
        <w:t>人</w:t>
      </w:r>
      <w:r>
        <w:rPr>
          <w:rFonts w:ascii="Times New Roman" w:hAnsi="Times New Roman" w:hint="eastAsia"/>
          <w:lang w:val="en-US" w:eastAsia="zh-CN"/>
          <w:highlight w:val="none"/>
        </w:rPr>
        <w:t>员的姓名、工作</w:t>
      </w:r>
      <w:r>
        <w:rPr>
          <w:rFonts w:ascii="Times New Roman" w:hAnsi="Times New Roman"/>
          <w:lang w:val="en-US" w:eastAsia="zh-CN"/>
          <w:highlight w:val="none"/>
        </w:rPr>
        <w:t>单位</w:t>
      </w:r>
      <w:r>
        <w:rPr>
          <w:rFonts w:ascii="Times New Roman" w:hAnsi="Times New Roman" w:hint="eastAsia"/>
          <w:lang w:val="en-US" w:eastAsia="zh-CN"/>
          <w:highlight w:val="none"/>
        </w:rPr>
        <w:t>和</w:t>
      </w:r>
      <w:r>
        <w:rPr>
          <w:rFonts w:ascii="Times New Roman" w:hAnsi="Times New Roman"/>
          <w:lang w:val="en-US" w:eastAsia="zh-CN"/>
          <w:highlight w:val="none"/>
        </w:rPr>
        <w:t>联系方式</w:t>
      </w:r>
      <w:r>
        <w:rPr>
          <w:rFonts w:ascii="Times New Roman" w:hAnsi="Times New Roman" w:hint="eastAsia"/>
          <w:lang w:val="en-US" w:eastAsia="zh-CN"/>
          <w:highlight w:val="none"/>
        </w:rPr>
        <w:t>、</w:t>
      </w:r>
      <w:r>
        <w:rPr>
          <w:rFonts w:ascii="Times New Roman" w:hAnsi="Times New Roman"/>
          <w:lang w:val="en-US" w:eastAsia="zh-CN"/>
          <w:highlight w:val="none"/>
        </w:rPr>
        <w:t>见证人</w:t>
      </w:r>
      <w:r>
        <w:rPr>
          <w:rFonts w:ascii="Times New Roman" w:hAnsi="Times New Roman" w:hint="eastAsia"/>
          <w:lang w:val="en-US" w:eastAsia="zh-CN"/>
          <w:highlight w:val="none"/>
        </w:rPr>
        <w:t>员的姓名、工作</w:t>
      </w:r>
      <w:r>
        <w:rPr>
          <w:rFonts w:ascii="Times New Roman" w:hAnsi="Times New Roman"/>
          <w:lang w:val="en-US" w:eastAsia="zh-CN"/>
          <w:highlight w:val="none"/>
        </w:rPr>
        <w:t>单位</w:t>
      </w:r>
      <w:r>
        <w:rPr>
          <w:rFonts w:ascii="Times New Roman" w:hAnsi="Times New Roman" w:hint="eastAsia"/>
          <w:lang w:val="en-US" w:eastAsia="zh-CN"/>
          <w:highlight w:val="none"/>
        </w:rPr>
        <w:t>和</w:t>
      </w:r>
      <w:r>
        <w:rPr>
          <w:rFonts w:ascii="Times New Roman" w:hAnsi="Times New Roman"/>
          <w:lang w:val="en-US" w:eastAsia="zh-CN"/>
          <w:highlight w:val="none"/>
        </w:rPr>
        <w:t>联系方式</w:t>
      </w:r>
      <w:r>
        <w:rPr>
          <w:rFonts w:ascii="Times New Roman" w:hAnsi="Times New Roman" w:hint="eastAsia"/>
          <w:lang w:val="en-US" w:eastAsia="zh-CN"/>
          <w:highlight w:val="none"/>
        </w:rPr>
        <w:t>；</w:t>
      </w:r>
    </w:p>
    <w:p>
      <w:pPr>
        <w:keepNext w:val="0"/>
        <w:keepLines w:val="0"/>
        <w:pageBreakBefore w:val="0"/>
        <w:widowControl w:val="0"/>
        <w:numPr>
          <w:ilvl w:val="0"/>
          <w:numId w:val="23"/>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样品标识与</w:t>
      </w:r>
      <w:r>
        <w:rPr>
          <w:rFonts w:ascii="Times New Roman" w:hAnsi="Times New Roman" w:hint="eastAsia"/>
          <w:lang w:val="en-US" w:eastAsia="zh-CN"/>
          <w:highlight w:val="none"/>
        </w:rPr>
        <w:t>接收</w:t>
      </w:r>
      <w:r>
        <w:rPr>
          <w:rFonts w:ascii="Times New Roman" w:hAnsi="Times New Roman"/>
          <w:lang w:val="en-US" w:eastAsia="zh-CN"/>
          <w:highlight w:val="none"/>
        </w:rPr>
        <w:t>信息应包括样品标识</w:t>
      </w:r>
      <w:r>
        <w:rPr>
          <w:rFonts w:ascii="Times New Roman" w:hAnsi="Times New Roman" w:hint="eastAsia"/>
          <w:lang w:val="en-US" w:eastAsia="zh-CN"/>
          <w:highlight w:val="none"/>
        </w:rPr>
        <w:t>、</w:t>
      </w:r>
      <w:r>
        <w:rPr>
          <w:rFonts w:ascii="Times New Roman" w:hAnsi="Times New Roman"/>
          <w:lang w:val="en-US" w:eastAsia="zh-CN"/>
          <w:highlight w:val="none"/>
        </w:rPr>
        <w:t>二维码</w:t>
      </w:r>
      <w:r>
        <w:rPr>
          <w:rFonts w:ascii="Times New Roman" w:hAnsi="Times New Roman" w:hint="eastAsia"/>
          <w:lang w:val="en-US" w:eastAsia="zh-CN"/>
          <w:highlight w:val="none"/>
        </w:rPr>
        <w:t>/</w:t>
      </w:r>
      <w:r>
        <w:rPr>
          <w:rFonts w:ascii="Times New Roman" w:hAnsi="Times New Roman"/>
          <w:lang w:val="en-US" w:eastAsia="zh-CN"/>
          <w:highlight w:val="none"/>
        </w:rPr>
        <w:t>条形码</w:t>
      </w:r>
      <w:r>
        <w:rPr>
          <w:rFonts w:ascii="Times New Roman" w:hAnsi="Times New Roman" w:hint="eastAsia"/>
          <w:lang w:val="en-US" w:eastAsia="zh-CN"/>
          <w:highlight w:val="none"/>
        </w:rPr>
        <w:t>、</w:t>
      </w:r>
      <w:r>
        <w:rPr>
          <w:rFonts w:ascii="Times New Roman" w:hAnsi="Times New Roman"/>
          <w:lang w:val="en-US" w:eastAsia="zh-CN"/>
          <w:highlight w:val="none"/>
        </w:rPr>
        <w:t>样品编号</w:t>
      </w:r>
      <w:r>
        <w:rPr>
          <w:rFonts w:ascii="Times New Roman" w:hAnsi="Times New Roman" w:hint="eastAsia"/>
          <w:lang w:val="en-US" w:eastAsia="zh-CN"/>
          <w:highlight w:val="none"/>
        </w:rPr>
        <w:t>、接收</w:t>
      </w:r>
      <w:r>
        <w:rPr>
          <w:rFonts w:ascii="Times New Roman" w:hAnsi="Times New Roman"/>
          <w:lang w:val="en-US" w:eastAsia="zh-CN"/>
          <w:highlight w:val="none"/>
        </w:rPr>
        <w:t>时间</w:t>
      </w:r>
      <w:r>
        <w:rPr>
          <w:rFonts w:ascii="Times New Roman" w:hAnsi="Times New Roman" w:hint="eastAsia"/>
          <w:lang w:val="en-US" w:eastAsia="zh-CN"/>
          <w:highlight w:val="none"/>
        </w:rPr>
        <w:t>、送检人员的姓名、工作</w:t>
      </w:r>
      <w:r>
        <w:rPr>
          <w:rFonts w:ascii="Times New Roman" w:hAnsi="Times New Roman"/>
          <w:lang w:val="en-US" w:eastAsia="zh-CN"/>
          <w:highlight w:val="none"/>
        </w:rPr>
        <w:t>单位</w:t>
      </w:r>
      <w:r>
        <w:rPr>
          <w:rFonts w:ascii="Times New Roman" w:hAnsi="Times New Roman" w:hint="eastAsia"/>
          <w:lang w:val="en-US" w:eastAsia="zh-CN"/>
          <w:highlight w:val="none"/>
        </w:rPr>
        <w:t>和</w:t>
      </w:r>
      <w:r>
        <w:rPr>
          <w:rFonts w:ascii="Times New Roman" w:hAnsi="Times New Roman"/>
          <w:lang w:val="en-US" w:eastAsia="zh-CN"/>
          <w:highlight w:val="none"/>
        </w:rPr>
        <w:t>联系方式</w:t>
      </w:r>
      <w:r>
        <w:rPr>
          <w:rFonts w:ascii="Times New Roman" w:hAnsi="Times New Roman" w:hint="eastAsia"/>
          <w:lang w:val="en-US" w:eastAsia="zh-CN"/>
          <w:highlight w:val="none"/>
        </w:rPr>
        <w:t>和</w:t>
      </w:r>
      <w:r>
        <w:rPr>
          <w:rFonts w:ascii="Times New Roman" w:hAnsi="Times New Roman"/>
          <w:lang w:val="en-US" w:eastAsia="zh-CN"/>
          <w:highlight w:val="none"/>
        </w:rPr>
        <w:t>接收</w:t>
      </w:r>
      <w:r>
        <w:rPr>
          <w:rFonts w:ascii="Times New Roman" w:hAnsi="Times New Roman" w:hint="eastAsia"/>
          <w:lang w:val="en-US" w:eastAsia="zh-CN"/>
          <w:highlight w:val="none"/>
        </w:rPr>
        <w:t>人员姓名。</w:t>
      </w:r>
    </w:p>
    <w:p>
      <w:pPr>
        <w:numPr>
          <w:ilvl w:val="2"/>
          <w:numId w:val="1"/>
        </w:numPr>
        <w:ind w:left="0" w:firstLine="0"/>
        <w:rPr>
          <w:rFonts w:ascii="Times New Roman" w:hAnsi="Times New Roman" w:hint="eastAsia"/>
          <w:highlight w:val="none"/>
        </w:rPr>
      </w:pPr>
      <w:r>
        <w:rPr>
          <w:rFonts w:ascii="Times New Roman" w:hAnsi="Times New Roman" w:hint="eastAsia"/>
          <w:highlight w:val="none"/>
        </w:rPr>
        <w:t>应统计各部门年度抽样任务总量、抽样人员平均任务完成量、抽样周期平均值</w:t>
      </w:r>
      <w:r>
        <w:rPr>
          <w:rFonts w:ascii="Times New Roman" w:hAnsi="Times New Roman" w:hint="eastAsia"/>
          <w:lang w:eastAsia="zh-CN"/>
          <w:highlight w:val="none"/>
        </w:rPr>
        <w:t>，</w:t>
      </w:r>
      <w:r>
        <w:rPr>
          <w:rFonts w:ascii="Times New Roman" w:hAnsi="Times New Roman" w:hint="eastAsia"/>
          <w:highlight w:val="none"/>
        </w:rPr>
        <w:t>应分析抽样不合格问题的主要原因。</w:t>
      </w:r>
    </w:p>
    <w:p>
      <w:pPr>
        <w:numPr>
          <w:ilvl w:val="2"/>
          <w:numId w:val="1"/>
        </w:numPr>
        <w:ind w:left="0" w:firstLine="0"/>
        <w:rPr>
          <w:rFonts w:ascii="Times New Roman" w:hAnsi="Times New Roman" w:hint="eastAsia"/>
          <w:highlight w:val="none"/>
        </w:rPr>
      </w:pPr>
      <w:r>
        <w:rPr>
          <w:rFonts w:ascii="Times New Roman" w:hAnsi="Times New Roman" w:hint="eastAsia"/>
          <w:lang w:val="en-US" w:eastAsia="zh-CN"/>
          <w:highlight w:val="none"/>
        </w:rPr>
        <w:t>应基于抽样数据分析结果优化抽样计划制定流程、动态调整抽样资源分配方案、提升抽样过程质量控制水平。</w:t>
      </w:r>
    </w:p>
    <w:p>
      <w:pPr>
        <w:numPr>
          <w:ilvl w:val="1"/>
          <w:numId w:val="1"/>
        </w:numPr>
        <w:jc w:val="center"/>
        <w:outlineLvl w:val="1"/>
        <w:rPr>
          <w:rFonts w:ascii="Times New Roman" w:eastAsia="黑体" w:hAnsi="Times New Roman"/>
          <w:b/>
          <w:bCs/>
          <w:sz w:val="28"/>
          <w:szCs w:val="28"/>
          <w:highlight w:val="none"/>
        </w:rPr>
      </w:pPr>
      <w:bookmarkStart w:id="59" w:name="_Toc1735234410"/>
      <w:bookmarkStart w:id="60" w:name="_Toc10074"/>
      <w:r>
        <w:rPr>
          <w:rFonts w:ascii="Times New Roman" w:eastAsia="黑体" w:hAnsi="Times New Roman" w:hint="eastAsia"/>
          <w:b/>
          <w:bCs/>
          <w:sz w:val="28"/>
          <w:szCs w:val="28"/>
          <w:lang w:val="en-US" w:eastAsia="zh-CN"/>
          <w:highlight w:val="none"/>
        </w:rPr>
        <w:t>检测物品处置</w:t>
      </w:r>
      <w:bookmarkEnd w:id="59"/>
      <w:bookmarkEnd w:id="60"/>
    </w:p>
    <w:p>
      <w:pPr>
        <w:numPr>
          <w:ilvl w:val="2"/>
          <w:numId w:val="1"/>
        </w:numPr>
        <w:ind w:left="0" w:firstLine="0"/>
        <w:rPr>
          <w:rFonts w:ascii="Times New Roman" w:cs="Times New Roman" w:hAnsi="Times New Roman"/>
          <w:lang w:val="en-US" w:eastAsia="zh-CN"/>
          <w:highlight w:val="none"/>
        </w:rPr>
      </w:pPr>
      <w:r>
        <w:rPr>
          <w:rFonts w:ascii="Times New Roman" w:cs="Times New Roman" w:hAnsi="Times New Roman" w:hint="eastAsia"/>
          <w:lang w:val="en-US" w:eastAsia="zh-CN"/>
          <w:highlight w:val="none"/>
        </w:rPr>
        <w:t>应建立和规范检测物品的接收、标识、分类存放、接收、处置、保留和处理/归还的管理流程。</w:t>
      </w:r>
    </w:p>
    <w:p>
      <w:pPr>
        <w:numPr>
          <w:ilvl w:val="2"/>
          <w:numId w:val="1"/>
        </w:numPr>
        <w:ind w:left="0" w:firstLine="0"/>
        <w:rPr>
          <w:rFonts w:ascii="Segoe UI" w:eastAsia="Segoe UI" w:cs="Segoe UI" w:hAnsi="Segoe UI"/>
          <w:b/>
          <w:bCs/>
          <w:i w:val="0"/>
          <w:iCs w:val="0"/>
          <w:caps w:val="0"/>
          <w:smallCaps w:val="0"/>
          <w:color w:val="0D0D0D"/>
          <w:spacing w:val="0"/>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检测物品的基本信息、流转信息、存储环境信息、处置与退样信息及不合格品管理信息，并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4"/>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检测物品基本信息应包括样品名称、样品编号、委托单位名称、收样日期、样品状态、保存期限、二维码/条形码标识；</w:t>
      </w:r>
    </w:p>
    <w:p>
      <w:pPr>
        <w:keepNext w:val="0"/>
        <w:keepLines w:val="0"/>
        <w:pageBreakBefore w:val="0"/>
        <w:widowControl w:val="0"/>
        <w:numPr>
          <w:ilvl w:val="0"/>
          <w:numId w:val="24"/>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检测物品流转信息应包括流转环节、流转时间、地点、</w:t>
      </w:r>
      <w:r>
        <w:rPr>
          <w:rFonts w:ascii="Times New Roman" w:hAnsi="Times New Roman" w:hint="eastAsia"/>
          <w:lang w:val="en-US" w:eastAsia="zh-CN"/>
          <w:highlight w:val="none"/>
        </w:rPr>
        <w:t>接收</w:t>
      </w:r>
      <w:r>
        <w:rPr>
          <w:rFonts w:ascii="Times New Roman" w:hAnsi="Times New Roman"/>
          <w:lang w:val="en-US" w:eastAsia="zh-CN"/>
          <w:highlight w:val="none"/>
        </w:rPr>
        <w:t>人、受控流转状态；</w:t>
      </w:r>
    </w:p>
    <w:p>
      <w:pPr>
        <w:keepNext w:val="0"/>
        <w:keepLines w:val="0"/>
        <w:pageBreakBefore w:val="0"/>
        <w:widowControl w:val="0"/>
        <w:numPr>
          <w:ilvl w:val="0"/>
          <w:numId w:val="24"/>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检测物品存储环境信息应包括存储区域、存储设备编号、温湿度记录；</w:t>
      </w:r>
    </w:p>
    <w:p>
      <w:pPr>
        <w:keepNext w:val="0"/>
        <w:keepLines w:val="0"/>
        <w:pageBreakBefore w:val="0"/>
        <w:widowControl w:val="0"/>
        <w:numPr>
          <w:ilvl w:val="0"/>
          <w:numId w:val="24"/>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检测物品处置与退样信息应包括处理方式、处理日期、申请人、批准人、退样人、退样接收人、退样日期；</w:t>
      </w:r>
    </w:p>
    <w:p>
      <w:pPr>
        <w:keepNext w:val="0"/>
        <w:keepLines w:val="0"/>
        <w:pageBreakBefore w:val="0"/>
        <w:widowControl w:val="0"/>
        <w:numPr>
          <w:ilvl w:val="0"/>
          <w:numId w:val="24"/>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不合格品管理信息应包括不合格样品编号、委托单位意见、办理人签名、经办人签名、复议申请状态。</w:t>
      </w:r>
    </w:p>
    <w:p>
      <w:pPr>
        <w:numPr>
          <w:ilvl w:val="2"/>
          <w:numId w:val="1"/>
        </w:numPr>
        <w:ind w:left="0" w:firstLine="0"/>
        <w:rPr>
          <w:rFonts w:ascii="Times New Roman" w:hAnsi="Times New Roman" w:hint="eastAsia"/>
          <w:lang w:val="en-US" w:eastAsia="zh-CN"/>
          <w:highlight w:val="none"/>
        </w:rPr>
      </w:pPr>
      <w:r>
        <w:rPr>
          <w:rFonts w:ascii="Times New Roman" w:hAnsi="Times New Roman"/>
          <w:lang w:val="en-US" w:eastAsia="zh-CN"/>
          <w:highlight w:val="none"/>
        </w:rPr>
        <w:t>应统计样品平均流转周期、各环节耗时占比</w:t>
      </w:r>
      <w:r>
        <w:rPr>
          <w:rFonts w:ascii="Times New Roman" w:hAnsi="Times New Roman" w:hint="eastAsia"/>
          <w:lang w:val="en-US" w:eastAsia="zh-CN"/>
          <w:highlight w:val="none"/>
        </w:rPr>
        <w:t>和</w:t>
      </w:r>
      <w:r>
        <w:rPr>
          <w:rFonts w:ascii="Times New Roman" w:hAnsi="Times New Roman"/>
          <w:lang w:val="en-US" w:eastAsia="zh-CN"/>
          <w:highlight w:val="none"/>
        </w:rPr>
        <w:t>样品按时处理率，应分析流转延迟</w:t>
      </w:r>
      <w:r>
        <w:rPr>
          <w:rFonts w:ascii="Times New Roman" w:hAnsi="Times New Roman" w:hint="eastAsia"/>
          <w:lang w:val="en-US" w:eastAsia="zh-CN"/>
          <w:highlight w:val="none"/>
        </w:rPr>
        <w:t>、处理不及时</w:t>
      </w:r>
      <w:r>
        <w:rPr>
          <w:rFonts w:ascii="Times New Roman" w:hAnsi="Times New Roman"/>
          <w:lang w:val="en-US" w:eastAsia="zh-CN"/>
          <w:highlight w:val="none"/>
        </w:rPr>
        <w:t>原因</w:t>
      </w:r>
      <w:r>
        <w:rPr>
          <w:rFonts w:ascii="Times New Roman" w:hAnsi="Times New Roman" w:hint="eastAsia"/>
          <w:lang w:val="en-US" w:eastAsia="zh-CN"/>
          <w:highlight w:val="none"/>
        </w:rPr>
        <w:t>。</w:t>
      </w:r>
    </w:p>
    <w:p>
      <w:pPr>
        <w:numPr>
          <w:ilvl w:val="2"/>
          <w:numId w:val="1"/>
        </w:numPr>
        <w:ind w:left="0" w:firstLine="0"/>
        <w:rPr>
          <w:rFonts w:ascii="Times New Roman" w:eastAsia="黑体" w:hAnsi="Times New Roman" w:hint="eastAsia"/>
          <w:b/>
          <w:bCs/>
          <w:sz w:val="28"/>
          <w:szCs w:val="28"/>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触发</w:t>
      </w:r>
      <w:r>
        <w:rPr>
          <w:rFonts w:ascii="Times New Roman" w:hAnsi="Times New Roman"/>
          <w:lang w:val="en-US" w:eastAsia="zh-CN"/>
          <w:highlight w:val="none"/>
        </w:rPr>
        <w:t>样品存储异常、流转超时</w:t>
      </w:r>
      <w:r>
        <w:rPr>
          <w:rFonts w:ascii="Times New Roman" w:hAnsi="Times New Roman" w:hint="eastAsia"/>
          <w:lang w:val="en-US" w:eastAsia="zh-CN"/>
          <w:highlight w:val="none"/>
        </w:rPr>
        <w:t>和</w:t>
      </w:r>
      <w:r>
        <w:rPr>
          <w:rFonts w:ascii="Times New Roman" w:hAnsi="Times New Roman"/>
          <w:lang w:val="en-US" w:eastAsia="zh-CN"/>
          <w:highlight w:val="none"/>
        </w:rPr>
        <w:t>处置超期</w:t>
      </w:r>
      <w:r>
        <w:rPr>
          <w:rFonts w:ascii="Times New Roman" w:hAnsi="Times New Roman" w:hint="eastAsia"/>
          <w:lang w:val="en-US" w:eastAsia="zh-CN"/>
          <w:highlight w:val="none"/>
        </w:rPr>
        <w:t>的预警</w:t>
      </w:r>
      <w:r>
        <w:rPr>
          <w:rFonts w:ascii="Times New Roman" w:hAnsi="Times New Roman"/>
          <w:lang w:val="en-US" w:eastAsia="zh-CN"/>
          <w:highlight w:val="none"/>
        </w:rPr>
        <w:t>，样品存储异常包括二维码/条形码标识异常、温湿度超标实时报警</w:t>
      </w:r>
      <w:r>
        <w:rPr>
          <w:rFonts w:ascii="Times New Roman" w:hAnsi="Times New Roman" w:hint="eastAsia"/>
          <w:lang w:val="en-US" w:eastAsia="zh-CN"/>
          <w:highlight w:val="none"/>
        </w:rPr>
        <w:t>和</w:t>
      </w:r>
      <w:r>
        <w:rPr>
          <w:rFonts w:ascii="Times New Roman" w:hAnsi="Times New Roman"/>
          <w:lang w:val="en-US" w:eastAsia="zh-CN"/>
          <w:highlight w:val="none"/>
        </w:rPr>
        <w:t>存储设备故障</w:t>
      </w:r>
      <w:r>
        <w:rPr>
          <w:rFonts w:ascii="Times New Roman" w:hAnsi="Times New Roman" w:hint="eastAsia"/>
          <w:lang w:val="en-US" w:eastAsia="zh-CN"/>
          <w:highlight w:val="none"/>
        </w:rPr>
        <w:t>，</w:t>
      </w:r>
      <w:r>
        <w:rPr>
          <w:rFonts w:ascii="Times New Roman" w:hAnsi="Times New Roman"/>
          <w:lang w:val="en-US" w:eastAsia="zh-CN"/>
          <w:highlight w:val="none"/>
        </w:rPr>
        <w:t>流转超时</w:t>
      </w:r>
      <w:r>
        <w:rPr>
          <w:rFonts w:ascii="Times New Roman" w:hAnsi="Times New Roman" w:hint="eastAsia"/>
          <w:lang w:val="en-US" w:eastAsia="zh-CN"/>
          <w:highlight w:val="none"/>
        </w:rPr>
        <w:t>包括</w:t>
      </w:r>
      <w:r>
        <w:rPr>
          <w:rFonts w:ascii="Times New Roman" w:hAnsi="Times New Roman"/>
          <w:lang w:val="en-US" w:eastAsia="zh-CN"/>
          <w:highlight w:val="none"/>
        </w:rPr>
        <w:t>样品超期存放</w:t>
      </w:r>
      <w:r>
        <w:rPr>
          <w:rFonts w:ascii="Times New Roman" w:hAnsi="Times New Roman" w:hint="eastAsia"/>
          <w:lang w:val="en-US" w:eastAsia="zh-CN"/>
          <w:highlight w:val="none"/>
        </w:rPr>
        <w:t>和</w:t>
      </w:r>
      <w:r>
        <w:rPr>
          <w:rFonts w:ascii="Times New Roman" w:hAnsi="Times New Roman"/>
          <w:lang w:val="en-US" w:eastAsia="zh-CN"/>
          <w:highlight w:val="none"/>
        </w:rPr>
        <w:t>样品</w:t>
      </w:r>
      <w:r>
        <w:rPr>
          <w:rFonts w:ascii="Times New Roman" w:hAnsi="Times New Roman" w:hint="eastAsia"/>
          <w:lang w:val="en-US" w:eastAsia="zh-CN"/>
          <w:highlight w:val="none"/>
        </w:rPr>
        <w:t>接收</w:t>
      </w:r>
      <w:r>
        <w:rPr>
          <w:rFonts w:ascii="Times New Roman" w:hAnsi="Times New Roman"/>
          <w:lang w:val="en-US" w:eastAsia="zh-CN"/>
          <w:highlight w:val="none"/>
        </w:rPr>
        <w:t>超时</w:t>
      </w:r>
      <w:r>
        <w:rPr>
          <w:rFonts w:ascii="Times New Roman" w:hAnsi="Times New Roman" w:hint="eastAsia"/>
          <w:lang w:val="en-US" w:eastAsia="zh-CN"/>
          <w:highlight w:val="none"/>
        </w:rPr>
        <w:t>，</w:t>
      </w:r>
      <w:r>
        <w:rPr>
          <w:rFonts w:ascii="Times New Roman" w:hAnsi="Times New Roman"/>
          <w:lang w:val="en-US" w:eastAsia="zh-CN"/>
          <w:highlight w:val="none"/>
        </w:rPr>
        <w:t>处置超期</w:t>
      </w:r>
      <w:r>
        <w:rPr>
          <w:rFonts w:ascii="Times New Roman" w:hAnsi="Times New Roman" w:hint="eastAsia"/>
          <w:lang w:val="en-US" w:eastAsia="zh-CN"/>
          <w:highlight w:val="none"/>
        </w:rPr>
        <w:t>包括</w:t>
      </w:r>
      <w:r>
        <w:rPr>
          <w:rFonts w:ascii="Times New Roman" w:hAnsi="Times New Roman"/>
          <w:lang w:val="en-US" w:eastAsia="zh-CN"/>
          <w:highlight w:val="none"/>
        </w:rPr>
        <w:t>未及时签收、退样未确认</w:t>
      </w:r>
      <w:r>
        <w:rPr>
          <w:rFonts w:ascii="Times New Roman" w:hAnsi="Times New Roman" w:hint="eastAsia"/>
          <w:lang w:val="en-US" w:eastAsia="zh-CN"/>
          <w:highlight w:val="none"/>
        </w:rPr>
        <w:t>和</w:t>
      </w:r>
      <w:r>
        <w:rPr>
          <w:rFonts w:ascii="Times New Roman" w:hAnsi="Times New Roman"/>
          <w:lang w:val="en-US" w:eastAsia="zh-CN"/>
          <w:highlight w:val="none"/>
        </w:rPr>
        <w:t>不合格品复议申请</w:t>
      </w:r>
      <w:r>
        <w:rPr>
          <w:rFonts w:ascii="Times New Roman" w:hAnsi="Times New Roman" w:hint="eastAsia"/>
          <w:lang w:val="en-US" w:eastAsia="zh-CN"/>
          <w:highlight w:val="none"/>
        </w:rPr>
        <w:t>超期。</w:t>
      </w:r>
    </w:p>
    <w:p>
      <w:pPr>
        <w:numPr>
          <w:ilvl w:val="1"/>
          <w:numId w:val="1"/>
        </w:numPr>
        <w:jc w:val="center"/>
        <w:outlineLvl w:val="1"/>
        <w:rPr>
          <w:rFonts w:ascii="Times New Roman" w:eastAsia="黑体" w:hAnsi="Times New Roman" w:hint="eastAsia"/>
          <w:b/>
          <w:bCs/>
          <w:sz w:val="28"/>
          <w:szCs w:val="28"/>
          <w:lang w:val="en-US" w:eastAsia="zh-CN"/>
          <w:highlight w:val="none"/>
        </w:rPr>
      </w:pPr>
      <w:bookmarkStart w:id="61" w:name="_Toc30991"/>
      <w:bookmarkStart w:id="62" w:name="_Toc1256802610"/>
      <w:r>
        <w:rPr>
          <w:rFonts w:ascii="Times New Roman" w:eastAsia="黑体" w:hAnsi="Times New Roman"/>
          <w:b/>
          <w:bCs/>
          <w:sz w:val="28"/>
          <w:szCs w:val="28"/>
          <w:lang w:val="en-US" w:eastAsia="zh-CN"/>
          <w:highlight w:val="none"/>
        </w:rPr>
        <w:t>技术记录</w:t>
      </w:r>
      <w:bookmarkEnd w:id="61"/>
      <w:bookmarkEnd w:id="62"/>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应根据相关技术标准和行业监管要求规范技术记录的管理流程。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技术记录的基础信息、采集方式信息、修改记录</w:t>
      </w:r>
      <w:r>
        <w:rPr>
          <w:rFonts w:ascii="Times New Roman" w:hAnsi="Times New Roman" w:hint="eastAsia"/>
          <w:lang w:val="en-US" w:eastAsia="zh-CN"/>
          <w:highlight w:val="none"/>
        </w:rPr>
        <w:t>信息</w:t>
      </w:r>
      <w:r>
        <w:rPr>
          <w:rFonts w:ascii="Times New Roman" w:hAnsi="Times New Roman"/>
          <w:lang w:val="en-US" w:eastAsia="zh-CN"/>
          <w:highlight w:val="none"/>
        </w:rPr>
        <w:t>及关联信息，并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5"/>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基础信息应包括检测原始数据、计算公式、结果判定、检测人员、设备编号、环境参数、标准物质批次</w:t>
      </w:r>
      <w:r>
        <w:rPr>
          <w:rFonts w:ascii="Times New Roman" w:hAnsi="Times New Roman" w:hint="eastAsia"/>
          <w:lang w:val="en-US" w:eastAsia="zh-CN"/>
          <w:highlight w:val="none"/>
        </w:rPr>
        <w:t>和试剂耗材</w:t>
      </w:r>
      <w:r>
        <w:rPr>
          <w:rFonts w:ascii="Times New Roman" w:hAnsi="Times New Roman"/>
          <w:lang w:val="en-US" w:eastAsia="zh-CN"/>
          <w:highlight w:val="none"/>
        </w:rPr>
        <w:t>批次；</w:t>
      </w:r>
    </w:p>
    <w:p>
      <w:pPr>
        <w:keepNext w:val="0"/>
        <w:keepLines w:val="0"/>
        <w:pageBreakBefore w:val="0"/>
        <w:widowControl w:val="0"/>
        <w:numPr>
          <w:ilvl w:val="0"/>
          <w:numId w:val="25"/>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hint="eastAsia"/>
          <w:lang w:val="en-US" w:eastAsia="zh-CN"/>
          <w:highlight w:val="none"/>
        </w:rPr>
        <w:t>采用自动采集方式时，</w:t>
      </w:r>
      <w:r>
        <w:rPr>
          <w:rFonts w:ascii="Times New Roman" w:hAnsi="Times New Roman"/>
          <w:lang w:val="en-US" w:eastAsia="zh-CN"/>
          <w:highlight w:val="none"/>
        </w:rPr>
        <w:t>采集方式信息应包括自动采集设备型号</w:t>
      </w:r>
      <w:r>
        <w:rPr>
          <w:rFonts w:ascii="Times New Roman" w:hAnsi="Times New Roman" w:hint="eastAsia"/>
          <w:lang w:val="en-US" w:eastAsia="zh-CN"/>
          <w:highlight w:val="none"/>
        </w:rPr>
        <w:t>和</w:t>
      </w:r>
      <w:r>
        <w:rPr>
          <w:rFonts w:ascii="Times New Roman" w:hAnsi="Times New Roman"/>
          <w:lang w:val="en-US" w:eastAsia="zh-CN"/>
          <w:highlight w:val="none"/>
        </w:rPr>
        <w:t>数据传输接口规范</w:t>
      </w:r>
      <w:r>
        <w:rPr>
          <w:rFonts w:ascii="Times New Roman" w:hAnsi="Times New Roman" w:hint="eastAsia"/>
          <w:lang w:val="en-US" w:eastAsia="zh-CN"/>
          <w:highlight w:val="none"/>
        </w:rPr>
        <w:t>，采用非自动采集方式时，</w:t>
      </w:r>
      <w:r>
        <w:rPr>
          <w:rFonts w:ascii="Times New Roman" w:hAnsi="Times New Roman"/>
          <w:lang w:val="en-US" w:eastAsia="zh-CN"/>
          <w:highlight w:val="none"/>
        </w:rPr>
        <w:t>采集方式信息应包括手工录入记录人</w:t>
      </w:r>
      <w:r>
        <w:rPr>
          <w:rFonts w:ascii="Times New Roman" w:hAnsi="Times New Roman" w:hint="eastAsia"/>
          <w:lang w:val="en-US" w:eastAsia="zh-CN"/>
          <w:highlight w:val="none"/>
        </w:rPr>
        <w:t>和</w:t>
      </w:r>
      <w:r>
        <w:rPr>
          <w:rFonts w:ascii="Times New Roman" w:hAnsi="Times New Roman"/>
          <w:lang w:val="en-US" w:eastAsia="zh-CN"/>
          <w:highlight w:val="none"/>
        </w:rPr>
        <w:t>采集时间；</w:t>
      </w:r>
    </w:p>
    <w:p>
      <w:pPr>
        <w:keepNext w:val="0"/>
        <w:keepLines w:val="0"/>
        <w:pageBreakBefore w:val="0"/>
        <w:widowControl w:val="0"/>
        <w:numPr>
          <w:ilvl w:val="0"/>
          <w:numId w:val="25"/>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修改记录</w:t>
      </w:r>
      <w:r>
        <w:rPr>
          <w:rFonts w:ascii="Times New Roman" w:hAnsi="Times New Roman" w:hint="eastAsia"/>
          <w:lang w:val="en-US" w:eastAsia="zh-CN"/>
          <w:highlight w:val="none"/>
        </w:rPr>
        <w:t>信息</w:t>
      </w:r>
      <w:r>
        <w:rPr>
          <w:rFonts w:ascii="Times New Roman" w:hAnsi="Times New Roman"/>
          <w:lang w:val="en-US" w:eastAsia="zh-CN"/>
          <w:highlight w:val="none"/>
        </w:rPr>
        <w:t>应包括修改人、修改时间、修改前内容、修改后内容、修改原因及审核人；</w:t>
      </w:r>
    </w:p>
    <w:p>
      <w:pPr>
        <w:keepNext w:val="0"/>
        <w:keepLines w:val="0"/>
        <w:pageBreakBefore w:val="0"/>
        <w:widowControl w:val="0"/>
        <w:numPr>
          <w:ilvl w:val="0"/>
          <w:numId w:val="25"/>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关联信息应包括检测报告编号、样品编号、检测方法标准号、关键环节影像资料存储路径。</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应统计技术记录自动采集率、手工录入占比、修改频次分布、平均审核周期，应分析自动采集数据与设备日志的一致性、修改原因分类、高频缺失字段类型。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应触发记录不完整预警、修改未审核提醒、自动采集数据异常波动报警</w:t>
      </w:r>
      <w:r>
        <w:rPr>
          <w:rFonts w:ascii="Times New Roman" w:hAnsi="Times New Roman" w:hint="eastAsia"/>
          <w:lang w:val="en-US" w:eastAsia="zh-CN"/>
          <w:highlight w:val="none"/>
        </w:rPr>
        <w:t>和</w:t>
      </w:r>
      <w:r>
        <w:rPr>
          <w:rFonts w:ascii="Times New Roman" w:hAnsi="Times New Roman"/>
          <w:lang w:val="en-US" w:eastAsia="zh-CN"/>
          <w:highlight w:val="none"/>
        </w:rPr>
        <w:t>影像资料未关联预警，对重复出现修改的记录推送标准化录入模板。</w:t>
      </w:r>
    </w:p>
    <w:p>
      <w:pPr>
        <w:numPr>
          <w:ilvl w:val="1"/>
          <w:numId w:val="1"/>
        </w:numPr>
        <w:jc w:val="center"/>
        <w:outlineLvl w:val="1"/>
        <w:rPr>
          <w:rFonts w:ascii="Times New Roman" w:eastAsia="黑体" w:hAnsi="Times New Roman"/>
          <w:b/>
          <w:bCs/>
          <w:sz w:val="28"/>
          <w:szCs w:val="28"/>
          <w:lang w:val="en-US" w:eastAsia="zh-CN"/>
          <w:highlight w:val="none"/>
        </w:rPr>
      </w:pPr>
      <w:bookmarkStart w:id="63" w:name="_Toc7335"/>
      <w:bookmarkStart w:id="64" w:name="_Toc432314378"/>
      <w:r>
        <w:rPr>
          <w:rFonts w:ascii="Times New Roman" w:eastAsia="黑体" w:hAnsi="Times New Roman"/>
          <w:b/>
          <w:bCs/>
          <w:sz w:val="28"/>
          <w:szCs w:val="28"/>
          <w:lang w:val="en-US" w:eastAsia="zh-CN"/>
          <w:highlight w:val="none"/>
        </w:rPr>
        <w:t>测量不确定度的评定</w:t>
      </w:r>
      <w:bookmarkEnd w:id="63"/>
      <w:bookmarkEnd w:id="64"/>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应建立和规范测量不确定度评定的报告、审核和批准的管理流程。</w:t>
      </w:r>
    </w:p>
    <w:p>
      <w:pPr>
        <w:numPr>
          <w:ilvl w:val="2"/>
          <w:numId w:val="1"/>
        </w:numPr>
        <w:ind w:left="0" w:firstLine="0"/>
        <w:rPr>
          <w:rFonts w:ascii="Times New Roman" w:hAnsi="Times New Roman" w:hint="eastAsia"/>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测量不确定度评定的</w:t>
      </w:r>
      <w:r>
        <w:rPr>
          <w:rFonts w:ascii="Times New Roman" w:hAnsi="Times New Roman" w:hint="eastAsia"/>
          <w:lang w:val="en-US" w:eastAsia="zh-CN"/>
          <w:highlight w:val="none"/>
        </w:rPr>
        <w:t>基本</w:t>
      </w:r>
      <w:r>
        <w:rPr>
          <w:rFonts w:ascii="Times New Roman" w:hAnsi="Times New Roman"/>
          <w:lang w:val="en-US" w:eastAsia="zh-CN"/>
          <w:highlight w:val="none"/>
        </w:rPr>
        <w:t>信息</w:t>
      </w:r>
      <w:r>
        <w:rPr>
          <w:rFonts w:ascii="Times New Roman" w:hAnsi="Times New Roman" w:hint="eastAsia"/>
          <w:lang w:val="en-US" w:eastAsia="zh-CN"/>
          <w:highlight w:val="none"/>
        </w:rPr>
        <w:t>和</w:t>
      </w:r>
      <w:r>
        <w:rPr>
          <w:rFonts w:ascii="Times New Roman" w:hAnsi="Times New Roman"/>
          <w:lang w:val="en-US" w:eastAsia="zh-CN"/>
          <w:highlight w:val="none"/>
        </w:rPr>
        <w:t>评定过程信息，</w:t>
      </w:r>
      <w:r>
        <w:rPr>
          <w:rFonts w:ascii="Times New Roman" w:hAnsi="Times New Roman" w:hint="eastAsia"/>
          <w:lang w:val="en-US" w:eastAsia="zh-CN"/>
          <w:highlight w:val="none"/>
        </w:rPr>
        <w:t>基本</w:t>
      </w:r>
      <w:r>
        <w:rPr>
          <w:rFonts w:ascii="Times New Roman" w:hAnsi="Times New Roman"/>
          <w:lang w:val="en-US" w:eastAsia="zh-CN"/>
          <w:highlight w:val="none"/>
        </w:rPr>
        <w:t>信息应包括检测参数、方法标准号、设备型号、环境条件、标准物质证书编号</w:t>
      </w:r>
      <w:r>
        <w:rPr>
          <w:rFonts w:ascii="Times New Roman" w:hAnsi="Times New Roman" w:hint="eastAsia"/>
          <w:lang w:val="en-US" w:eastAsia="zh-CN"/>
          <w:highlight w:val="none"/>
        </w:rPr>
        <w:t>，</w:t>
      </w:r>
      <w:r>
        <w:rPr>
          <w:rFonts w:ascii="Times New Roman" w:hAnsi="Times New Roman"/>
          <w:lang w:val="en-US" w:eastAsia="zh-CN"/>
          <w:highlight w:val="none"/>
        </w:rPr>
        <w:t>评定过程信息应包括</w:t>
      </w:r>
      <w:r>
        <w:rPr>
          <w:rFonts w:ascii="Times New Roman" w:hAnsi="Times New Roman" w:hint="eastAsia"/>
          <w:lang w:val="en-US" w:eastAsia="zh-CN"/>
          <w:highlight w:val="none"/>
        </w:rPr>
        <w:t>评定时间</w:t>
      </w:r>
      <w:r>
        <w:rPr>
          <w:rFonts w:ascii="Times New Roman" w:hAnsi="Times New Roman"/>
          <w:lang w:val="en-US" w:eastAsia="zh-CN"/>
          <w:highlight w:val="none"/>
        </w:rPr>
        <w:t>、评定人</w:t>
      </w:r>
      <w:r>
        <w:rPr>
          <w:rFonts w:ascii="Times New Roman" w:hAnsi="Times New Roman" w:hint="eastAsia"/>
          <w:lang w:val="en-US" w:eastAsia="zh-CN"/>
          <w:highlight w:val="none"/>
        </w:rPr>
        <w:t>、</w:t>
      </w:r>
      <w:r>
        <w:rPr>
          <w:rFonts w:ascii="Times New Roman" w:hAnsi="Times New Roman"/>
          <w:lang w:val="en-US" w:eastAsia="zh-CN"/>
          <w:highlight w:val="none"/>
        </w:rPr>
        <w:t>审核人</w:t>
      </w:r>
      <w:r>
        <w:rPr>
          <w:rFonts w:ascii="Times New Roman" w:hAnsi="Times New Roman" w:hint="eastAsia"/>
          <w:lang w:val="en-US" w:eastAsia="zh-CN"/>
          <w:highlight w:val="none"/>
        </w:rPr>
        <w:t>、批准人和评定结果。</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应统计各检测参数不确定度评定完成率、平均评定周期。</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应触发评定超期预警，对</w:t>
      </w:r>
      <w:r>
        <w:rPr>
          <w:rFonts w:ascii="Times New Roman" w:hAnsi="Times New Roman" w:hint="eastAsia"/>
          <w:lang w:val="en-US" w:eastAsia="zh-CN"/>
          <w:highlight w:val="none"/>
        </w:rPr>
        <w:t>评定结果有疑义的</w:t>
      </w:r>
      <w:r>
        <w:rPr>
          <w:rFonts w:ascii="Times New Roman" w:hAnsi="Times New Roman"/>
          <w:lang w:val="en-US" w:eastAsia="zh-CN"/>
          <w:highlight w:val="none"/>
        </w:rPr>
        <w:t>参数推送人员培训及设备</w:t>
      </w:r>
      <w:r>
        <w:rPr>
          <w:rFonts w:ascii="Times New Roman" w:hAnsi="Times New Roman" w:hint="eastAsia"/>
          <w:lang w:val="en-US" w:eastAsia="zh-CN"/>
          <w:highlight w:val="none"/>
        </w:rPr>
        <w:t>计量溯源</w:t>
      </w:r>
      <w:r>
        <w:rPr>
          <w:rFonts w:ascii="Times New Roman" w:hAnsi="Times New Roman"/>
          <w:lang w:val="en-US" w:eastAsia="zh-CN"/>
          <w:highlight w:val="none"/>
        </w:rPr>
        <w:t>提醒。</w:t>
      </w:r>
    </w:p>
    <w:p>
      <w:pPr>
        <w:numPr>
          <w:ilvl w:val="1"/>
          <w:numId w:val="1"/>
        </w:numPr>
        <w:jc w:val="center"/>
        <w:outlineLvl w:val="1"/>
        <w:rPr>
          <w:rFonts w:ascii="Times New Roman" w:hAnsi="Times New Roman"/>
          <w:lang w:val="en-US" w:eastAsia="zh-CN"/>
          <w:highlight w:val="none"/>
        </w:rPr>
      </w:pPr>
      <w:bookmarkStart w:id="65" w:name="_Toc970573245"/>
      <w:bookmarkStart w:id="66" w:name="_Toc31077"/>
      <w:r>
        <w:rPr>
          <w:rFonts w:ascii="Times New Roman" w:eastAsia="黑体" w:hAnsi="Times New Roman"/>
          <w:b/>
          <w:bCs/>
          <w:sz w:val="28"/>
          <w:szCs w:val="28"/>
          <w:lang w:val="en-US" w:eastAsia="zh-CN"/>
          <w:highlight w:val="none"/>
        </w:rPr>
        <w:t>确保结果有效性</w:t>
      </w:r>
      <w:bookmarkEnd w:id="65"/>
      <w:bookmarkEnd w:id="66"/>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应建立和规范确保结果有效性的计划制定、审批、发布、实施和结果应用的流程管理，并将结果应用于人员授权、</w:t>
      </w:r>
      <w:r>
        <w:rPr>
          <w:rFonts w:ascii="Times New Roman" w:hAnsi="Times New Roman" w:hint="eastAsia"/>
          <w:color w:val="auto"/>
          <w:lang w:val="en-US" w:eastAsia="zh-CN"/>
          <w:highlight w:val="none"/>
        </w:rPr>
        <w:t>人员监督与能力监控</w:t>
      </w:r>
      <w:r>
        <w:rPr>
          <w:rFonts w:ascii="Times New Roman" w:hAnsi="Times New Roman" w:hint="eastAsia"/>
          <w:lang w:val="en-US" w:eastAsia="zh-CN"/>
          <w:highlight w:val="none"/>
        </w:rPr>
        <w:t>、设备期间核查、设备计量溯源等。</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确保结果有效性的计划信息、实施信息及结果信息，并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6"/>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计划信息应包括监控项目、监控方式、计划实施日期、负责人</w:t>
      </w:r>
      <w:r>
        <w:rPr>
          <w:rFonts w:ascii="Times New Roman" w:hAnsi="Times New Roman" w:hint="eastAsia"/>
          <w:lang w:val="en-US" w:eastAsia="zh-CN"/>
          <w:highlight w:val="none"/>
        </w:rPr>
        <w:t>、审核人和批准人</w:t>
      </w:r>
      <w:r>
        <w:rPr>
          <w:rFonts w:ascii="Times New Roman" w:hAnsi="Times New Roman"/>
          <w:lang w:val="en-US" w:eastAsia="zh-CN"/>
          <w:highlight w:val="none"/>
        </w:rPr>
        <w:t>；</w:t>
      </w:r>
    </w:p>
    <w:p>
      <w:pPr>
        <w:keepNext w:val="0"/>
        <w:keepLines w:val="0"/>
        <w:pageBreakBefore w:val="0"/>
        <w:widowControl w:val="0"/>
        <w:numPr>
          <w:ilvl w:val="0"/>
          <w:numId w:val="26"/>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实施信息应包括参与人员、使用设备、样品编号、环境条件、原始数据记录；</w:t>
      </w:r>
    </w:p>
    <w:p>
      <w:pPr>
        <w:keepNext w:val="0"/>
        <w:keepLines w:val="0"/>
        <w:pageBreakBefore w:val="0"/>
        <w:widowControl w:val="0"/>
        <w:numPr>
          <w:ilvl w:val="0"/>
          <w:numId w:val="26"/>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结果信息应包括</w:t>
      </w:r>
      <w:r>
        <w:rPr>
          <w:rFonts w:ascii="Times New Roman" w:hAnsi="Times New Roman" w:hint="eastAsia"/>
          <w:lang w:val="en-US" w:eastAsia="zh-CN"/>
          <w:highlight w:val="none"/>
        </w:rPr>
        <w:t>评价结论、</w:t>
      </w:r>
      <w:r>
        <w:rPr>
          <w:rFonts w:ascii="Times New Roman" w:hAnsi="Times New Roman"/>
          <w:lang w:val="en-US" w:eastAsia="zh-CN"/>
          <w:highlight w:val="none"/>
        </w:rPr>
        <w:t>比对偏差值、不合格项描述、整改措施</w:t>
      </w:r>
      <w:r>
        <w:rPr>
          <w:rFonts w:ascii="Times New Roman" w:hAnsi="Times New Roman" w:hint="eastAsia"/>
          <w:lang w:val="en-US" w:eastAsia="zh-CN"/>
          <w:highlight w:val="none"/>
        </w:rPr>
        <w:t>和整改</w:t>
      </w:r>
      <w:r>
        <w:rPr>
          <w:rFonts w:ascii="Times New Roman" w:hAnsi="Times New Roman"/>
          <w:lang w:val="en-US" w:eastAsia="zh-CN"/>
          <w:highlight w:val="none"/>
        </w:rPr>
        <w:t>验证结果。</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应统计各监控方式实施频次、合格率分布、人员比对偏差率、设备比对一致性、整改完成率。</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应触发监控计划超期预警、不合格项未整改锁定、人员比对偏差超阈值报警、设备比对结果异常推送校准提醒。</w:t>
      </w:r>
    </w:p>
    <w:p>
      <w:pPr>
        <w:numPr>
          <w:ilvl w:val="1"/>
          <w:numId w:val="1"/>
        </w:numPr>
        <w:jc w:val="center"/>
        <w:outlineLvl w:val="1"/>
        <w:rPr>
          <w:rFonts w:ascii="Times New Roman" w:eastAsia="黑体" w:hAnsi="Times New Roman"/>
          <w:b/>
          <w:bCs/>
          <w:sz w:val="28"/>
          <w:szCs w:val="28"/>
          <w:lang w:val="en-US" w:eastAsia="zh-CN"/>
          <w:highlight w:val="none"/>
        </w:rPr>
      </w:pPr>
      <w:bookmarkStart w:id="67" w:name="_Toc138746103"/>
      <w:bookmarkStart w:id="68" w:name="_Toc6024"/>
      <w:r>
        <w:rPr>
          <w:rFonts w:ascii="Times New Roman" w:eastAsia="黑体" w:hAnsi="Times New Roman"/>
          <w:b/>
          <w:bCs/>
          <w:sz w:val="28"/>
          <w:szCs w:val="28"/>
          <w:lang w:val="en-US" w:eastAsia="zh-CN"/>
          <w:highlight w:val="none"/>
        </w:rPr>
        <w:t>报告结果</w:t>
      </w:r>
      <w:bookmarkEnd w:id="67"/>
      <w:bookmarkEnd w:id="68"/>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应建立和规范报告生成、审核、批准签发、发放、回收、修改、驳回、批注的管理流程。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报告的基础信息、流转信息、修改信息及交付信息，并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7"/>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基础信息应包括报告编号、工程名称、委托单位、检测参数、标准依据、</w:t>
      </w:r>
      <w:r>
        <w:rPr>
          <w:rFonts w:ascii="Times New Roman" w:hAnsi="Times New Roman" w:hint="eastAsia"/>
          <w:lang w:val="en-US" w:eastAsia="zh-CN"/>
          <w:highlight w:val="none"/>
        </w:rPr>
        <w:t>技术要求、检测数据、</w:t>
      </w:r>
      <w:r>
        <w:rPr>
          <w:rFonts w:ascii="Times New Roman" w:hAnsi="Times New Roman"/>
          <w:lang w:val="en-US" w:eastAsia="zh-CN"/>
          <w:highlight w:val="none"/>
        </w:rPr>
        <w:t>检测结论、</w:t>
      </w:r>
      <w:r>
        <w:rPr>
          <w:rFonts w:ascii="Times New Roman" w:hAnsi="Times New Roman" w:hint="eastAsia"/>
          <w:lang w:val="en-US" w:eastAsia="zh-CN"/>
          <w:highlight w:val="none"/>
        </w:rPr>
        <w:t>检测设备、</w:t>
      </w:r>
      <w:r>
        <w:rPr>
          <w:rFonts w:ascii="Times New Roman" w:hAnsi="Times New Roman"/>
          <w:lang w:val="en-US" w:eastAsia="zh-CN"/>
          <w:highlight w:val="none"/>
        </w:rPr>
        <w:t>检验人员、审核人</w:t>
      </w:r>
      <w:r>
        <w:rPr>
          <w:rFonts w:ascii="Times New Roman" w:hAnsi="Times New Roman" w:hint="eastAsia"/>
          <w:lang w:val="en-US" w:eastAsia="zh-CN"/>
          <w:highlight w:val="none"/>
        </w:rPr>
        <w:t>和</w:t>
      </w:r>
      <w:r>
        <w:rPr>
          <w:rFonts w:ascii="Times New Roman" w:hAnsi="Times New Roman"/>
          <w:lang w:val="en-US" w:eastAsia="zh-CN"/>
          <w:highlight w:val="none"/>
        </w:rPr>
        <w:t>批准人；</w:t>
      </w:r>
    </w:p>
    <w:p>
      <w:pPr>
        <w:keepNext w:val="0"/>
        <w:keepLines w:val="0"/>
        <w:pageBreakBefore w:val="0"/>
        <w:widowControl w:val="0"/>
        <w:numPr>
          <w:ilvl w:val="0"/>
          <w:numId w:val="27"/>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流转信息应包括报告生成时间、审核时间、批准时间、发放时间</w:t>
      </w:r>
      <w:r>
        <w:rPr>
          <w:rFonts w:ascii="Times New Roman" w:hAnsi="Times New Roman" w:hint="eastAsia"/>
          <w:lang w:val="en-US" w:eastAsia="zh-CN"/>
          <w:highlight w:val="none"/>
        </w:rPr>
        <w:t>和</w:t>
      </w:r>
      <w:r>
        <w:rPr>
          <w:rFonts w:ascii="Times New Roman" w:hAnsi="Times New Roman"/>
          <w:lang w:val="en-US" w:eastAsia="zh-CN"/>
          <w:highlight w:val="none"/>
        </w:rPr>
        <w:t>接收人；</w:t>
      </w:r>
    </w:p>
    <w:p>
      <w:pPr>
        <w:keepNext w:val="0"/>
        <w:keepLines w:val="0"/>
        <w:pageBreakBefore w:val="0"/>
        <w:widowControl w:val="0"/>
        <w:numPr>
          <w:ilvl w:val="0"/>
          <w:numId w:val="27"/>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修改信息应包括修改版本号、修改原因、原报告回收状态、新报告分发范围；</w:t>
      </w:r>
    </w:p>
    <w:p>
      <w:pPr>
        <w:keepNext w:val="0"/>
        <w:keepLines w:val="0"/>
        <w:pageBreakBefore w:val="0"/>
        <w:widowControl w:val="0"/>
        <w:numPr>
          <w:ilvl w:val="0"/>
          <w:numId w:val="27"/>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交付信息应包括交付方式、CA电子签章编号、监管平台上传状态。</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应统计报告出具及时率、</w:t>
      </w:r>
      <w:r>
        <w:rPr>
          <w:rFonts w:ascii="Times New Roman" w:hAnsi="Times New Roman" w:hint="eastAsia"/>
          <w:lang w:val="en-US" w:eastAsia="zh-CN"/>
          <w:highlight w:val="none"/>
        </w:rPr>
        <w:t>差错率、</w:t>
      </w:r>
      <w:r>
        <w:rPr>
          <w:rFonts w:ascii="Times New Roman" w:hAnsi="Times New Roman"/>
          <w:lang w:val="en-US" w:eastAsia="zh-CN"/>
          <w:highlight w:val="none"/>
        </w:rPr>
        <w:t>修改率、电子报告占比、各环节平均耗时，应分析</w:t>
      </w:r>
      <w:r>
        <w:rPr>
          <w:rFonts w:ascii="Times New Roman" w:hAnsi="Times New Roman" w:hint="eastAsia"/>
          <w:lang w:val="en-US" w:eastAsia="zh-CN"/>
          <w:highlight w:val="none"/>
        </w:rPr>
        <w:t>报告耗时原因、</w:t>
      </w:r>
      <w:r>
        <w:rPr>
          <w:rFonts w:ascii="Times New Roman" w:hAnsi="Times New Roman"/>
          <w:lang w:val="en-US" w:eastAsia="zh-CN"/>
          <w:highlight w:val="none"/>
        </w:rPr>
        <w:t>修改原因分类。</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应触发报告超期预警、审核未通过提醒、电子签章过期锁定、监管平台上传失败重试提醒，</w:t>
      </w:r>
      <w:r>
        <w:rPr>
          <w:rFonts w:ascii="Times New Roman" w:hAnsi="Times New Roman" w:hint="eastAsia"/>
          <w:lang w:val="en-US" w:eastAsia="zh-CN"/>
          <w:highlight w:val="none"/>
        </w:rPr>
        <w:t>应根据统计分析结果优化调整资源配置</w:t>
      </w:r>
      <w:r>
        <w:rPr>
          <w:rFonts w:ascii="Times New Roman" w:hAnsi="Times New Roman"/>
          <w:lang w:val="en-US" w:eastAsia="zh-CN"/>
          <w:highlight w:val="none"/>
        </w:rPr>
        <w:t>。</w:t>
      </w:r>
    </w:p>
    <w:p>
      <w:pPr>
        <w:numPr>
          <w:ilvl w:val="1"/>
          <w:numId w:val="1"/>
        </w:numPr>
        <w:jc w:val="center"/>
        <w:outlineLvl w:val="1"/>
        <w:rPr>
          <w:rFonts w:ascii="Times New Roman" w:eastAsia="黑体" w:hAnsi="Times New Roman"/>
          <w:b/>
          <w:bCs/>
          <w:sz w:val="28"/>
          <w:szCs w:val="28"/>
          <w:lang w:val="en-US" w:eastAsia="zh-CN"/>
          <w:highlight w:val="none"/>
        </w:rPr>
      </w:pPr>
      <w:bookmarkStart w:id="69" w:name="_Toc1885996126"/>
      <w:bookmarkStart w:id="70" w:name="_Toc16182"/>
      <w:r>
        <w:rPr>
          <w:rFonts w:ascii="Times New Roman" w:eastAsia="黑体" w:hAnsi="Times New Roman"/>
          <w:b/>
          <w:bCs/>
          <w:sz w:val="28"/>
          <w:szCs w:val="28"/>
          <w:lang w:val="en-US" w:eastAsia="zh-CN"/>
          <w:highlight w:val="none"/>
        </w:rPr>
        <w:t>投诉</w:t>
      </w:r>
      <w:bookmarkEnd w:id="69"/>
      <w:bookmarkEnd w:id="70"/>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应建立和规范投诉</w:t>
      </w:r>
      <w:r>
        <w:rPr>
          <w:rFonts w:ascii="宋体" w:eastAsia="宋体" w:cs="宋体" w:hAnsi="宋体" w:hint="eastAsia"/>
        </w:rPr>
        <w:t>受理、调查、处理</w:t>
      </w:r>
      <w:r>
        <w:rPr>
          <w:rFonts w:ascii="宋体" w:cs="宋体" w:hAnsi="宋体" w:hint="eastAsia"/>
          <w:lang w:val="en-US" w:eastAsia="zh-CN"/>
        </w:rPr>
        <w:t>和</w:t>
      </w:r>
      <w:r>
        <w:rPr>
          <w:rFonts w:ascii="宋体" w:eastAsia="宋体" w:cs="宋体" w:hAnsi="宋体" w:hint="eastAsia"/>
        </w:rPr>
        <w:t>反馈</w:t>
      </w:r>
      <w:r>
        <w:rPr>
          <w:rFonts w:ascii="宋体" w:eastAsia="宋体" w:cs="宋体" w:hAnsi="宋体" w:hint="eastAsia"/>
          <w:lang w:eastAsia="zh-CN"/>
        </w:rPr>
        <w:t>的</w:t>
      </w:r>
      <w:r>
        <w:rPr>
          <w:rFonts w:ascii="宋体" w:eastAsia="宋体" w:cs="宋体" w:hAnsi="宋体" w:hint="eastAsia"/>
          <w:lang w:val="en-US" w:eastAsia="zh-CN"/>
        </w:rPr>
        <w:t>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投诉的基础信息、处理过程信息及结果信息，并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8"/>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基础信息应包括投诉单位、联系人、联系方式、投诉日期、投诉方式、投诉对象</w:t>
      </w:r>
      <w:r>
        <w:rPr>
          <w:rFonts w:ascii="Times New Roman" w:hAnsi="Times New Roman" w:hint="eastAsia"/>
          <w:lang w:val="en-US" w:eastAsia="zh-CN"/>
          <w:highlight w:val="none"/>
        </w:rPr>
        <w:t>和投诉对象部门</w:t>
      </w:r>
      <w:r>
        <w:rPr>
          <w:rFonts w:ascii="Times New Roman" w:hAnsi="Times New Roman"/>
          <w:lang w:val="en-US" w:eastAsia="zh-CN"/>
          <w:highlight w:val="none"/>
        </w:rPr>
        <w:t>；</w:t>
      </w:r>
    </w:p>
    <w:p>
      <w:pPr>
        <w:keepNext w:val="0"/>
        <w:keepLines w:val="0"/>
        <w:pageBreakBefore w:val="0"/>
        <w:widowControl w:val="0"/>
        <w:numPr>
          <w:ilvl w:val="0"/>
          <w:numId w:val="28"/>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处理过程信息应包括受理人、调查人员、调查记录、证据材料、处理措施；</w:t>
      </w:r>
    </w:p>
    <w:p>
      <w:pPr>
        <w:keepNext w:val="0"/>
        <w:keepLines w:val="0"/>
        <w:pageBreakBefore w:val="0"/>
        <w:widowControl w:val="0"/>
        <w:numPr>
          <w:ilvl w:val="0"/>
          <w:numId w:val="28"/>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结果信息应包括投诉是否成立、整改完成情况、客户反馈意见、归档编号。</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应统计投诉数量、</w:t>
      </w:r>
      <w:r>
        <w:rPr>
          <w:rFonts w:ascii="Times New Roman" w:hAnsi="Times New Roman" w:hint="eastAsia"/>
          <w:lang w:val="en-US" w:eastAsia="zh-CN"/>
          <w:highlight w:val="none"/>
        </w:rPr>
        <w:t>投诉率、</w:t>
      </w:r>
      <w:r>
        <w:rPr>
          <w:rFonts w:ascii="Times New Roman" w:hAnsi="Times New Roman"/>
          <w:lang w:val="en-US" w:eastAsia="zh-CN"/>
          <w:highlight w:val="none"/>
        </w:rPr>
        <w:t>投诉类型占比、平均处理周期、投诉解决率，应分析高频投诉部门的管理漏洞、重复投诉问题的整改有效性。</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应触发投诉超期处理预警、重大投诉即时推送管理层</w:t>
      </w:r>
      <w:r>
        <w:rPr>
          <w:rFonts w:ascii="Times New Roman" w:hAnsi="Times New Roman" w:hint="eastAsia"/>
          <w:lang w:val="en-US" w:eastAsia="zh-CN"/>
          <w:highlight w:val="none"/>
        </w:rPr>
        <w:t>和</w:t>
      </w:r>
      <w:r>
        <w:rPr>
          <w:rFonts w:ascii="Times New Roman" w:hAnsi="Times New Roman"/>
          <w:lang w:val="en-US" w:eastAsia="zh-CN"/>
          <w:highlight w:val="none"/>
        </w:rPr>
        <w:t>投诉人未反馈提醒，对投诉率超阈值的部门推送专项监督检查。</w:t>
      </w:r>
    </w:p>
    <w:p>
      <w:pPr>
        <w:numPr>
          <w:ilvl w:val="1"/>
          <w:numId w:val="1"/>
        </w:numPr>
        <w:jc w:val="center"/>
        <w:outlineLvl w:val="1"/>
        <w:rPr>
          <w:rFonts w:ascii="Times New Roman" w:eastAsia="黑体" w:hAnsi="Times New Roman"/>
          <w:b/>
          <w:bCs/>
          <w:sz w:val="28"/>
          <w:szCs w:val="28"/>
          <w:lang w:val="en-US" w:eastAsia="zh-CN"/>
          <w:highlight w:val="none"/>
        </w:rPr>
      </w:pPr>
      <w:bookmarkStart w:id="71" w:name="_Toc1078259962"/>
      <w:bookmarkStart w:id="72" w:name="_Toc9305"/>
      <w:r>
        <w:rPr>
          <w:rFonts w:ascii="Times New Roman" w:eastAsia="黑体" w:hAnsi="Times New Roman"/>
          <w:b/>
          <w:bCs/>
          <w:sz w:val="28"/>
          <w:szCs w:val="28"/>
          <w:lang w:val="en-US" w:eastAsia="zh-CN"/>
          <w:highlight w:val="none"/>
        </w:rPr>
        <w:t>不符合工作</w:t>
      </w:r>
      <w:bookmarkEnd w:id="71"/>
      <w:bookmarkEnd w:id="72"/>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应建立和规范不符合工作的识别、事实描述、依据、评价、原因分析、处理、整改措施、结果验证的管理流程。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不符合工作的基础信息、原因分析信息及整改信息，并</w:t>
      </w:r>
      <w:r>
        <w:rPr>
          <w:rFonts w:ascii="Times New Roman" w:hAnsi="Times New Roman" w:hint="eastAsia"/>
          <w:lang w:val="en-US" w:eastAsia="zh-CN"/>
          <w:highlight w:val="none"/>
        </w:rPr>
        <w:t>符合下列规定</w:t>
      </w:r>
      <w:r>
        <w:rPr>
          <w:rFonts w:ascii="Times New Roman" w:hAnsi="Times New Roman"/>
          <w:lang w:val="en-US" w:eastAsia="zh-CN"/>
          <w:highlight w:val="none"/>
        </w:rPr>
        <w:t>：</w:t>
      </w:r>
    </w:p>
    <w:p>
      <w:pPr>
        <w:keepNext w:val="0"/>
        <w:keepLines w:val="0"/>
        <w:pageBreakBefore w:val="0"/>
        <w:widowControl w:val="0"/>
        <w:numPr>
          <w:ilvl w:val="0"/>
          <w:numId w:val="29"/>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基础信息应包括不符合</w:t>
      </w:r>
      <w:r>
        <w:rPr>
          <w:rFonts w:ascii="Times New Roman" w:hAnsi="Times New Roman" w:hint="eastAsia"/>
          <w:lang w:val="en-US" w:eastAsia="zh-CN"/>
          <w:highlight w:val="none"/>
        </w:rPr>
        <w:t>事项</w:t>
      </w:r>
      <w:r>
        <w:rPr>
          <w:rFonts w:ascii="Times New Roman" w:hAnsi="Times New Roman"/>
          <w:lang w:val="en-US" w:eastAsia="zh-CN"/>
          <w:highlight w:val="none"/>
        </w:rPr>
        <w:t>编号、发现日期、发现环节、不符合事实描述</w:t>
      </w:r>
      <w:r>
        <w:rPr>
          <w:rFonts w:ascii="Times New Roman" w:hAnsi="Times New Roman" w:hint="eastAsia"/>
          <w:lang w:val="en-US" w:eastAsia="zh-CN"/>
          <w:highlight w:val="none"/>
        </w:rPr>
        <w:t>和</w:t>
      </w:r>
      <w:r>
        <w:rPr>
          <w:rFonts w:ascii="Times New Roman" w:hAnsi="Times New Roman"/>
          <w:lang w:val="en-US" w:eastAsia="zh-CN"/>
          <w:highlight w:val="none"/>
        </w:rPr>
        <w:t>判定依据；</w:t>
      </w:r>
    </w:p>
    <w:p>
      <w:pPr>
        <w:keepNext w:val="0"/>
        <w:keepLines w:val="0"/>
        <w:pageBreakBefore w:val="0"/>
        <w:widowControl w:val="0"/>
        <w:numPr>
          <w:ilvl w:val="0"/>
          <w:numId w:val="29"/>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hint="eastAsia"/>
          <w:lang w:val="en-US" w:eastAsia="zh-CN"/>
          <w:highlight w:val="none"/>
        </w:rPr>
      </w:pPr>
      <w:r>
        <w:rPr>
          <w:rFonts w:ascii="Times New Roman" w:hAnsi="Times New Roman"/>
          <w:lang w:val="en-US" w:eastAsia="zh-CN"/>
          <w:highlight w:val="none"/>
        </w:rPr>
        <w:t>原因分析信息应包括根本原因、分析人</w:t>
      </w:r>
      <w:r>
        <w:rPr>
          <w:rFonts w:ascii="Times New Roman" w:hAnsi="Times New Roman" w:hint="eastAsia"/>
          <w:lang w:val="en-US" w:eastAsia="zh-CN"/>
          <w:highlight w:val="none"/>
        </w:rPr>
        <w:t>和</w:t>
      </w:r>
      <w:r>
        <w:rPr>
          <w:rFonts w:ascii="Times New Roman" w:hAnsi="Times New Roman"/>
          <w:lang w:val="en-US" w:eastAsia="zh-CN"/>
          <w:highlight w:val="none"/>
        </w:rPr>
        <w:t>验证人；</w:t>
      </w:r>
    </w:p>
    <w:p>
      <w:pPr>
        <w:keepNext w:val="0"/>
        <w:keepLines w:val="0"/>
        <w:pageBreakBefore w:val="0"/>
        <w:widowControl w:val="0"/>
        <w:numPr>
          <w:ilvl w:val="0"/>
          <w:numId w:val="29"/>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整改信息应包括整改措施、责任人、完成时限</w:t>
      </w:r>
      <w:r>
        <w:rPr>
          <w:rFonts w:ascii="Times New Roman" w:hAnsi="Times New Roman" w:hint="eastAsia"/>
          <w:lang w:val="en-US" w:eastAsia="zh-CN"/>
          <w:highlight w:val="none"/>
        </w:rPr>
        <w:t>和</w:t>
      </w:r>
      <w:r>
        <w:rPr>
          <w:rFonts w:ascii="Times New Roman" w:hAnsi="Times New Roman"/>
          <w:lang w:val="en-US" w:eastAsia="zh-CN"/>
          <w:highlight w:val="none"/>
        </w:rPr>
        <w:t>验证结果。</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应统计不符合</w:t>
      </w:r>
      <w:r>
        <w:rPr>
          <w:rFonts w:ascii="Times New Roman" w:hAnsi="Times New Roman" w:hint="eastAsia"/>
          <w:lang w:val="en-US" w:eastAsia="zh-CN"/>
          <w:highlight w:val="none"/>
        </w:rPr>
        <w:t>事项</w:t>
      </w:r>
      <w:r>
        <w:rPr>
          <w:rFonts w:ascii="Times New Roman" w:hAnsi="Times New Roman"/>
          <w:lang w:val="en-US" w:eastAsia="zh-CN"/>
          <w:highlight w:val="none"/>
        </w:rPr>
        <w:t>数量、重复出现不符合</w:t>
      </w:r>
      <w:r>
        <w:rPr>
          <w:rFonts w:ascii="Times New Roman" w:hAnsi="Times New Roman" w:hint="eastAsia"/>
          <w:lang w:val="en-US" w:eastAsia="zh-CN"/>
          <w:highlight w:val="none"/>
        </w:rPr>
        <w:t>事项</w:t>
      </w:r>
      <w:r>
        <w:rPr>
          <w:rFonts w:ascii="Times New Roman" w:hAnsi="Times New Roman"/>
          <w:lang w:val="en-US" w:eastAsia="zh-CN"/>
          <w:highlight w:val="none"/>
        </w:rPr>
        <w:t>占比、整改完成率、平均整改周期，应分析高频不符合</w:t>
      </w:r>
      <w:r>
        <w:rPr>
          <w:rFonts w:ascii="Times New Roman" w:hAnsi="Times New Roman" w:hint="eastAsia"/>
          <w:lang w:val="en-US" w:eastAsia="zh-CN"/>
          <w:highlight w:val="none"/>
        </w:rPr>
        <w:t>事项</w:t>
      </w:r>
      <w:r>
        <w:rPr>
          <w:rFonts w:ascii="Times New Roman" w:hAnsi="Times New Roman"/>
          <w:lang w:val="en-US" w:eastAsia="zh-CN"/>
          <w:highlight w:val="none"/>
        </w:rPr>
        <w:t>与培训缺失的关联性、设备故障类不符合的分布规律。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应触发整改超期预警、不符合</w:t>
      </w:r>
      <w:r>
        <w:rPr>
          <w:rFonts w:ascii="Times New Roman" w:hAnsi="Times New Roman" w:hint="eastAsia"/>
          <w:lang w:val="en-US" w:eastAsia="zh-CN"/>
          <w:highlight w:val="none"/>
        </w:rPr>
        <w:t>事项</w:t>
      </w:r>
      <w:r>
        <w:rPr>
          <w:rFonts w:ascii="Times New Roman" w:hAnsi="Times New Roman"/>
          <w:lang w:val="en-US" w:eastAsia="zh-CN"/>
          <w:highlight w:val="none"/>
        </w:rPr>
        <w:t>关联业务锁定、同类不符合项重复发生预警，对严重不符合</w:t>
      </w:r>
      <w:r>
        <w:rPr>
          <w:rFonts w:ascii="Times New Roman" w:hAnsi="Times New Roman" w:hint="eastAsia"/>
          <w:lang w:val="en-US" w:eastAsia="zh-CN"/>
          <w:highlight w:val="none"/>
        </w:rPr>
        <w:t>事项</w:t>
      </w:r>
      <w:r>
        <w:rPr>
          <w:rFonts w:ascii="Times New Roman" w:hAnsi="Times New Roman"/>
          <w:lang w:val="en-US" w:eastAsia="zh-CN"/>
          <w:highlight w:val="none"/>
        </w:rPr>
        <w:t>推送管理</w:t>
      </w:r>
      <w:r>
        <w:rPr>
          <w:rFonts w:ascii="Times New Roman" w:hAnsi="Times New Roman" w:hint="eastAsia"/>
          <w:lang w:val="en-US" w:eastAsia="zh-CN"/>
          <w:highlight w:val="none"/>
        </w:rPr>
        <w:t>人员</w:t>
      </w:r>
      <w:r>
        <w:rPr>
          <w:rFonts w:ascii="Times New Roman" w:hAnsi="Times New Roman"/>
          <w:lang w:val="en-US" w:eastAsia="zh-CN"/>
          <w:highlight w:val="none"/>
        </w:rPr>
        <w:t>。</w:t>
      </w:r>
    </w:p>
    <w:p>
      <w:pPr>
        <w:numPr>
          <w:ilvl w:val="1"/>
          <w:numId w:val="1"/>
        </w:numPr>
        <w:jc w:val="center"/>
        <w:outlineLvl w:val="1"/>
        <w:rPr>
          <w:rFonts w:ascii="Times New Roman" w:eastAsia="黑体" w:hAnsi="Times New Roman"/>
          <w:b/>
          <w:bCs/>
          <w:sz w:val="28"/>
          <w:szCs w:val="28"/>
          <w:lang w:val="en-US" w:eastAsia="zh-CN"/>
          <w:highlight w:val="none"/>
        </w:rPr>
      </w:pPr>
      <w:bookmarkStart w:id="73" w:name="_Toc1848167948"/>
      <w:bookmarkStart w:id="74" w:name="_Toc30997"/>
      <w:r>
        <w:rPr>
          <w:rFonts w:ascii="Times New Roman" w:eastAsia="黑体" w:hAnsi="Times New Roman" w:hint="eastAsia"/>
          <w:b/>
          <w:bCs/>
          <w:sz w:val="28"/>
          <w:szCs w:val="28"/>
          <w:lang w:val="en-US" w:eastAsia="zh-CN"/>
          <w:highlight w:val="none"/>
        </w:rPr>
        <w:t>数据控制和信息管理</w:t>
      </w:r>
      <w:bookmarkEnd w:id="73"/>
      <w:bookmarkEnd w:id="74"/>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建立和规范数据控制和信息管理流程</w:t>
      </w:r>
      <w:r>
        <w:rPr>
          <w:rFonts w:ascii="Times New Roman" w:hAnsi="Times New Roman"/>
          <w:lang w:val="en-US" w:eastAsia="zh-CN"/>
          <w:highlight w:val="none"/>
        </w:rPr>
        <w:t>。</w:t>
      </w:r>
      <w:r>
        <w:rPr>
          <w:rFonts w:ascii="Times New Roman" w:hAnsi="Times New Roman" w:hint="eastAsia"/>
          <w:lang w:val="en-US" w:eastAsia="zh-CN"/>
          <w:highlight w:val="none"/>
        </w:rPr>
        <w:t>数据控制流程管理应包括</w:t>
      </w:r>
      <w:r>
        <w:rPr>
          <w:rFonts w:ascii="宋体" w:eastAsia="宋体" w:cs="宋体" w:hAnsi="宋体"/>
          <w:sz w:val="24"/>
          <w:szCs w:val="24"/>
        </w:rPr>
        <w:t>数据产生、采集、处理、集成、质量控制和安全管控等关键环节</w:t>
      </w:r>
      <w:r>
        <w:rPr>
          <w:rFonts w:ascii="宋体" w:eastAsia="宋体" w:cs="宋体" w:hAnsi="宋体" w:hint="eastAsia"/>
          <w:sz w:val="24"/>
          <w:szCs w:val="24"/>
          <w:lang w:eastAsia="zh-CN"/>
        </w:rPr>
        <w:t>的</w:t>
      </w:r>
      <w:r>
        <w:rPr>
          <w:rFonts w:ascii="宋体" w:eastAsia="宋体" w:cs="宋体" w:hAnsi="宋体" w:hint="eastAsia"/>
          <w:sz w:val="24"/>
          <w:szCs w:val="24"/>
          <w:lang w:val="en-US" w:eastAsia="zh-CN"/>
        </w:rPr>
        <w:t>管理</w:t>
      </w:r>
      <w:r>
        <w:rPr>
          <w:rFonts w:ascii="Times New Roman" w:hAnsi="Times New Roman" w:hint="eastAsia"/>
          <w:lang w:val="en-US" w:eastAsia="zh-CN"/>
          <w:highlight w:val="none"/>
        </w:rPr>
        <w:t>。信息管理流</w:t>
      </w:r>
      <w:r>
        <w:rPr>
          <w:rFonts w:ascii="Times New Roman" w:hAnsi="Times New Roman" w:hint="eastAsia"/>
          <w:b w:val="0"/>
          <w:bCs w:val="0"/>
          <w:lang w:val="en-US" w:eastAsia="zh-CN"/>
          <w:highlight w:val="none"/>
        </w:rPr>
        <w:t>程应包括信息的</w:t>
      </w:r>
      <w:r>
        <w:rPr>
          <w:rFonts w:ascii="宋体" w:eastAsia="宋体" w:cs="宋体" w:hAnsi="宋体"/>
          <w:b w:val="0"/>
          <w:bCs w:val="0"/>
          <w:sz w:val="24"/>
          <w:szCs w:val="24"/>
        </w:rPr>
        <w:t>记录、归档、存储、备份、检索、共享、分析、应用及持续改进</w:t>
      </w:r>
      <w:r>
        <w:rPr>
          <w:rFonts w:ascii="Times New Roman" w:hAnsi="Times New Roman" w:hint="eastAsia"/>
          <w:lang w:val="en-US" w:eastAsia="zh-CN"/>
          <w:highlight w:val="none"/>
        </w:rPr>
        <w:t>等关键环节的管理。</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应采集</w:t>
      </w:r>
      <w:r>
        <w:rPr>
          <w:rFonts w:ascii="宋体" w:eastAsia="宋体" w:cs="宋体" w:hAnsi="宋体"/>
          <w:b w:val="0"/>
          <w:bCs w:val="0"/>
          <w:sz w:val="24"/>
          <w:szCs w:val="24"/>
        </w:rPr>
        <w:t>关键数据</w:t>
      </w:r>
      <w:r>
        <w:rPr>
          <w:rFonts w:ascii="Times New Roman" w:hAnsi="Times New Roman"/>
          <w:b w:val="0"/>
          <w:bCs w:val="0"/>
          <w:lang w:val="en-US" w:eastAsia="zh-CN"/>
          <w:highlight w:val="none"/>
        </w:rPr>
        <w:t>的基础信息、流转信息</w:t>
      </w:r>
      <w:r>
        <w:rPr>
          <w:rFonts w:ascii="Times New Roman" w:hAnsi="Times New Roman"/>
          <w:lang w:val="en-US" w:eastAsia="zh-CN"/>
          <w:highlight w:val="none"/>
        </w:rPr>
        <w:t>、存储信息</w:t>
      </w:r>
      <w:r>
        <w:rPr>
          <w:rFonts w:ascii="Times New Roman" w:hAnsi="Times New Roman" w:hint="eastAsia"/>
          <w:lang w:val="en-US" w:eastAsia="zh-CN"/>
          <w:highlight w:val="none"/>
        </w:rPr>
        <w:t>和</w:t>
      </w:r>
      <w:r>
        <w:rPr>
          <w:rFonts w:ascii="Times New Roman" w:hAnsi="Times New Roman"/>
          <w:lang w:val="en-US" w:eastAsia="zh-CN"/>
          <w:highlight w:val="none"/>
        </w:rPr>
        <w:t>安全信息</w:t>
      </w:r>
      <w:r>
        <w:rPr>
          <w:rFonts w:ascii="Times New Roman" w:hAnsi="Times New Roman" w:hint="eastAsia"/>
          <w:lang w:val="en-US" w:eastAsia="zh-CN"/>
          <w:highlight w:val="none"/>
        </w:rPr>
        <w:t>，并符合下列规定：</w:t>
      </w:r>
    </w:p>
    <w:p>
      <w:pPr>
        <w:keepNext w:val="0"/>
        <w:keepLines w:val="0"/>
        <w:pageBreakBefore w:val="0"/>
        <w:widowControl w:val="0"/>
        <w:numPr>
          <w:ilvl w:val="0"/>
          <w:numId w:val="30"/>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hint="eastAsia"/>
          <w:lang w:val="en-US" w:eastAsia="zh-CN"/>
          <w:highlight w:val="none"/>
        </w:rPr>
        <w:t>关键数据应包括</w:t>
      </w:r>
      <w:r>
        <w:rPr>
          <w:rFonts w:ascii="宋体" w:eastAsia="宋体" w:cs="宋体" w:hAnsi="宋体"/>
          <w:sz w:val="24"/>
          <w:szCs w:val="24"/>
        </w:rPr>
        <w:t>影响工程质量检测结果有效性</w:t>
      </w:r>
      <w:r>
        <w:rPr>
          <w:rFonts w:ascii="宋体" w:cs="宋体" w:hAnsi="宋体" w:hint="eastAsia"/>
          <w:sz w:val="24"/>
          <w:szCs w:val="24"/>
          <w:lang w:val="en-US" w:eastAsia="zh-CN"/>
        </w:rPr>
        <w:t>和</w:t>
      </w:r>
      <w:r>
        <w:rPr>
          <w:rFonts w:ascii="宋体" w:eastAsia="宋体" w:cs="宋体" w:hAnsi="宋体"/>
          <w:b w:val="0"/>
          <w:bCs w:val="0"/>
          <w:sz w:val="24"/>
          <w:szCs w:val="24"/>
        </w:rPr>
        <w:t>涉及数据安全的</w:t>
      </w:r>
      <w:r>
        <w:rPr>
          <w:rFonts w:ascii="宋体" w:cs="宋体" w:hAnsi="宋体" w:hint="eastAsia"/>
          <w:b w:val="0"/>
          <w:bCs w:val="0"/>
          <w:sz w:val="24"/>
          <w:szCs w:val="24"/>
          <w:lang w:val="en-US" w:eastAsia="zh-CN"/>
        </w:rPr>
        <w:t>数据；</w:t>
      </w:r>
    </w:p>
    <w:p>
      <w:pPr>
        <w:keepNext w:val="0"/>
        <w:keepLines w:val="0"/>
        <w:pageBreakBefore w:val="0"/>
        <w:widowControl w:val="0"/>
        <w:numPr>
          <w:ilvl w:val="0"/>
          <w:numId w:val="30"/>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基础信息应包括</w:t>
      </w:r>
      <w:r>
        <w:rPr>
          <w:rFonts w:ascii="宋体" w:eastAsia="宋体" w:cs="宋体" w:hAnsi="宋体"/>
          <w:sz w:val="24"/>
          <w:szCs w:val="24"/>
        </w:rPr>
        <w:t>关键数据的</w:t>
      </w:r>
      <w:r>
        <w:rPr>
          <w:rFonts w:ascii="Times New Roman" w:hAnsi="Times New Roman"/>
          <w:lang w:val="en-US" w:eastAsia="zh-CN"/>
          <w:highlight w:val="none"/>
        </w:rPr>
        <w:t>数据类型、数据来源、数据权限、数据模型、数据存储路径和关联的业务流程编号</w:t>
      </w:r>
      <w:r>
        <w:rPr>
          <w:rFonts w:ascii="Times New Roman" w:hAnsi="Times New Roman" w:hint="eastAsia"/>
          <w:lang w:val="en-US" w:eastAsia="zh-CN"/>
          <w:highlight w:val="none"/>
        </w:rPr>
        <w:t>；</w:t>
      </w:r>
    </w:p>
    <w:p>
      <w:pPr>
        <w:keepNext w:val="0"/>
        <w:keepLines w:val="0"/>
        <w:pageBreakBefore w:val="0"/>
        <w:widowControl w:val="0"/>
        <w:numPr>
          <w:ilvl w:val="0"/>
          <w:numId w:val="30"/>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流转信息</w:t>
      </w:r>
      <w:r>
        <w:rPr>
          <w:rFonts w:ascii="Times New Roman" w:hAnsi="Times New Roman"/>
          <w:b w:val="0"/>
          <w:bCs w:val="0"/>
          <w:lang w:val="en-US" w:eastAsia="zh-CN"/>
          <w:highlight w:val="none"/>
        </w:rPr>
        <w:t>应包括</w:t>
      </w:r>
      <w:r>
        <w:rPr>
          <w:rFonts w:ascii="宋体" w:eastAsia="宋体" w:cs="宋体" w:hAnsi="宋体"/>
          <w:b w:val="0"/>
          <w:bCs w:val="0"/>
          <w:sz w:val="24"/>
          <w:szCs w:val="24"/>
        </w:rPr>
        <w:t>关键数据记录的</w:t>
      </w:r>
      <w:r>
        <w:rPr>
          <w:rFonts w:ascii="Times New Roman" w:hAnsi="Times New Roman"/>
          <w:b w:val="0"/>
          <w:bCs w:val="0"/>
          <w:lang w:val="en-US" w:eastAsia="zh-CN"/>
          <w:highlight w:val="none"/>
        </w:rPr>
        <w:t>产生/</w:t>
      </w:r>
      <w:r>
        <w:rPr>
          <w:rFonts w:ascii="Times New Roman" w:hAnsi="Times New Roman"/>
          <w:lang w:val="en-US" w:eastAsia="zh-CN"/>
          <w:highlight w:val="none"/>
        </w:rPr>
        <w:t>记录时间、传递时间、接收人、存储时间、处理时间、检索时间、分析时间和利用时间</w:t>
      </w:r>
      <w:r>
        <w:rPr>
          <w:rFonts w:ascii="Times New Roman" w:hAnsi="Times New Roman" w:hint="eastAsia"/>
          <w:lang w:val="en-US" w:eastAsia="zh-CN"/>
          <w:highlight w:val="none"/>
        </w:rPr>
        <w:t>；</w:t>
      </w:r>
    </w:p>
    <w:p>
      <w:pPr>
        <w:keepNext w:val="0"/>
        <w:keepLines w:val="0"/>
        <w:pageBreakBefore w:val="0"/>
        <w:widowControl w:val="0"/>
        <w:numPr>
          <w:ilvl w:val="0"/>
          <w:numId w:val="30"/>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存储信息应包括</w:t>
      </w:r>
      <w:r>
        <w:rPr>
          <w:rFonts w:ascii="宋体" w:eastAsia="宋体" w:cs="宋体" w:hAnsi="宋体"/>
          <w:sz w:val="24"/>
          <w:szCs w:val="24"/>
        </w:rPr>
        <w:t>关键数据存储的</w:t>
      </w:r>
      <w:r>
        <w:rPr>
          <w:rFonts w:ascii="Times New Roman" w:hAnsi="Times New Roman"/>
          <w:lang w:val="en-US" w:eastAsia="zh-CN"/>
          <w:highlight w:val="none"/>
        </w:rPr>
        <w:t>存储介质、备份策略、保存期限、查阅记录和检索响应时长</w:t>
      </w:r>
      <w:r>
        <w:rPr>
          <w:rFonts w:ascii="Times New Roman" w:hAnsi="Times New Roman" w:hint="eastAsia"/>
          <w:lang w:val="en-US" w:eastAsia="zh-CN"/>
          <w:highlight w:val="none"/>
        </w:rPr>
        <w:t>；</w:t>
      </w:r>
    </w:p>
    <w:p>
      <w:pPr>
        <w:keepNext w:val="0"/>
        <w:keepLines w:val="0"/>
        <w:pageBreakBefore w:val="0"/>
        <w:widowControl w:val="0"/>
        <w:numPr>
          <w:ilvl w:val="0"/>
          <w:numId w:val="30"/>
        </w:numPr>
        <w:kinsoku/>
        <w:wordWrap/>
        <w:overflowPunct/>
        <w:topLinePunct w:val="0"/>
        <w:autoSpaceDE/>
        <w:autoSpaceDN/>
        <w:bidi w:val="0"/>
        <w:adjustRightInd/>
        <w:snapToGrid/>
        <w:spacing w:before="0" w:after="0"/>
        <w:ind w:left="0" w:firstLineChars="200" w:firstLine="480"/>
        <w:textAlignment w:val="auto"/>
        <w:rPr>
          <w:rFonts w:ascii="Times New Roman" w:hAnsi="Times New Roman"/>
          <w:lang w:val="en-US" w:eastAsia="zh-CN"/>
          <w:highlight w:val="none"/>
        </w:rPr>
      </w:pPr>
      <w:r>
        <w:rPr>
          <w:rFonts w:ascii="Times New Roman" w:hAnsi="Times New Roman"/>
          <w:lang w:val="en-US" w:eastAsia="zh-CN"/>
          <w:highlight w:val="none"/>
        </w:rPr>
        <w:t>安全信息应包括</w:t>
      </w:r>
      <w:r>
        <w:rPr>
          <w:rFonts w:ascii="宋体" w:eastAsia="宋体" w:cs="宋体" w:hAnsi="宋体"/>
          <w:sz w:val="24"/>
          <w:szCs w:val="24"/>
        </w:rPr>
        <w:t>所有业务系统和数据库的</w:t>
      </w:r>
      <w:r>
        <w:rPr>
          <w:rFonts w:ascii="Times New Roman" w:hAnsi="Times New Roman"/>
          <w:lang w:val="en-US" w:eastAsia="zh-CN"/>
          <w:highlight w:val="none"/>
        </w:rPr>
        <w:t>访问日志、安全校验记录、防篡改记录、加密等级和权限变更记录。</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hAnsi="Times New Roman"/>
          <w:shd w:val="clear" w:color="FFFFFF" w:fill="D9D9D9"/>
          <w:lang w:val="en-US" w:eastAsia="zh-CN"/>
          <w:highlight w:val="none"/>
        </w:rPr>
      </w:pPr>
      <w:r>
        <w:rPr>
          <w:rFonts w:ascii="Times New Roman" w:hAnsi="Times New Roman" w:hint="eastAsia"/>
          <w:shd w:val="clear" w:color="FFFFFF" w:fill="D9D9D9"/>
          <w:lang w:val="en-US" w:eastAsia="zh-CN"/>
          <w:highlight w:val="none"/>
        </w:rPr>
        <w:t>【条文说明】考虑到实际操作难度，本条规定仅采集关键数据的信息，而非所有数据。</w:t>
      </w:r>
      <w:r>
        <w:rPr>
          <w:rFonts w:ascii="Times New Roman" w:hAnsi="Times New Roman"/>
          <w:shd w:val="clear" w:color="FFFFFF" w:fill="D9D9D9"/>
          <w:lang w:val="en-US" w:eastAsia="zh-CN"/>
          <w:highlight w:val="none"/>
        </w:rPr>
        <w:t>关键数据是在建设工程质量检测活动中，直接决定检测结论和报告有效性，以及影响企业信用、法律责任和业务合规性的数据和信息。关键数据主要根据其对工程质量检测结果的影响有效性和对信息系统的数据安全性两个维度进行划分：</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b/>
          <w:bCs/>
          <w:shd w:val="clear" w:color="FFFFFF" w:fill="D9D9D9"/>
          <w:lang w:val="en-US" w:eastAsia="zh-CN"/>
          <w:highlight w:val="none"/>
        </w:rPr>
        <w:t>1</w:t>
      </w:r>
      <w:r>
        <w:rPr>
          <w:rFonts w:ascii="Times New Roman" w:hAnsi="Times New Roman"/>
          <w:shd w:val="clear" w:color="FFFFFF" w:fill="D9D9D9"/>
          <w:lang w:val="en-US" w:eastAsia="zh-CN"/>
          <w:highlight w:val="none"/>
        </w:rPr>
        <w:t>.</w:t>
      </w:r>
      <w:r>
        <w:rPr>
          <w:rFonts w:ascii="Times New Roman" w:hAnsi="Times New Roman" w:hint="eastAsia"/>
          <w:shd w:val="clear" w:color="FFFFFF" w:fill="D9D9D9"/>
          <w:lang w:val="en-US" w:eastAsia="zh-CN"/>
          <w:highlight w:val="none"/>
        </w:rPr>
        <w:t xml:space="preserve"> </w:t>
      </w:r>
      <w:r>
        <w:rPr>
          <w:rFonts w:ascii="Times New Roman" w:hAnsi="Times New Roman"/>
          <w:shd w:val="clear" w:color="FFFFFF" w:fill="D9D9D9"/>
          <w:lang w:val="en-US" w:eastAsia="zh-CN"/>
          <w:highlight w:val="none"/>
        </w:rPr>
        <w:t>影响工程质量检测结果有效性的数据直接构成检测报告的依据和结论，其准确性、完整性和溯源性至关重要</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主要包括原始检测数据</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结果判定数据</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核心溯源数据</w:t>
      </w:r>
      <w:r>
        <w:rPr>
          <w:rFonts w:ascii="Times New Roman" w:hAnsi="Times New Roman" w:hint="eastAsia"/>
          <w:shd w:val="clear" w:color="FFFFFF" w:fill="D9D9D9"/>
          <w:lang w:val="en-US" w:eastAsia="zh-CN"/>
          <w:highlight w:val="none"/>
        </w:rPr>
        <w:t>和</w:t>
      </w:r>
      <w:r>
        <w:rPr>
          <w:rFonts w:ascii="Times New Roman" w:hAnsi="Times New Roman"/>
          <w:shd w:val="clear" w:color="FFFFFF" w:fill="D9D9D9"/>
          <w:lang w:val="en-US" w:eastAsia="zh-CN"/>
          <w:highlight w:val="none"/>
        </w:rPr>
        <w:t>见证和送检数据</w:t>
      </w:r>
      <w:r>
        <w:rPr>
          <w:rFonts w:ascii="Times New Roman" w:hAnsi="Times New Roman" w:hint="eastAsia"/>
          <w:shd w:val="clear" w:color="FFFFFF" w:fill="D9D9D9"/>
          <w:lang w:val="en-US"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原始检测数据</w:t>
      </w:r>
      <w:r>
        <w:rPr>
          <w:rFonts w:ascii="Times New Roman" w:hAnsi="Times New Roman" w:hint="eastAsia"/>
          <w:shd w:val="clear" w:color="FFFFFF" w:fill="D9D9D9"/>
          <w:lang w:val="en-US" w:eastAsia="zh-CN"/>
          <w:highlight w:val="none"/>
        </w:rPr>
        <w:t>包括</w:t>
      </w:r>
      <w:r>
        <w:rPr>
          <w:rFonts w:ascii="Times New Roman" w:hAnsi="Times New Roman"/>
          <w:shd w:val="clear" w:color="FFFFFF" w:fill="D9D9D9"/>
          <w:lang w:val="en-US" w:eastAsia="zh-CN"/>
          <w:highlight w:val="none"/>
        </w:rPr>
        <w:t>经仪器自动采集或人工记录的原始测试值、环境条件、计算过程中的中间值、系数和修正参数。</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结果判定数据</w:t>
      </w:r>
      <w:r>
        <w:rPr>
          <w:rFonts w:ascii="Times New Roman" w:hAnsi="Times New Roman" w:hint="eastAsia"/>
          <w:shd w:val="clear" w:color="FFFFFF" w:fill="D9D9D9"/>
          <w:lang w:val="en-US" w:eastAsia="zh-CN"/>
          <w:highlight w:val="none"/>
        </w:rPr>
        <w:t>包括</w:t>
      </w:r>
      <w:r>
        <w:rPr>
          <w:rFonts w:ascii="Times New Roman" w:hAnsi="Times New Roman"/>
          <w:shd w:val="clear" w:color="FFFFFF" w:fill="D9D9D9"/>
          <w:lang w:val="en-US" w:eastAsia="zh-CN"/>
          <w:highlight w:val="none"/>
        </w:rPr>
        <w:t>最终的合格/不合格判定结论及判定依据的标准要求。</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核心溯源数据</w:t>
      </w:r>
      <w:r>
        <w:rPr>
          <w:rFonts w:ascii="Times New Roman" w:hAnsi="Times New Roman" w:hint="eastAsia"/>
          <w:shd w:val="clear" w:color="FFFFFF" w:fill="D9D9D9"/>
          <w:lang w:val="en-US" w:eastAsia="zh-CN"/>
          <w:highlight w:val="none"/>
        </w:rPr>
        <w:t>包括</w:t>
      </w:r>
      <w:r>
        <w:rPr>
          <w:rFonts w:ascii="Times New Roman" w:hAnsi="Times New Roman"/>
          <w:shd w:val="clear" w:color="FFFFFF" w:fill="D9D9D9"/>
          <w:lang w:val="en-US" w:eastAsia="zh-CN"/>
          <w:highlight w:val="none"/>
        </w:rPr>
        <w:t>设备的检定/校准证书有效期、期间核查记录及状态信息；人员的检测项目授权范围、权限变更记录和证书有效期。</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见证和送检数据</w:t>
      </w:r>
      <w:r>
        <w:rPr>
          <w:rFonts w:ascii="Times New Roman" w:hAnsi="Times New Roman" w:hint="eastAsia"/>
          <w:shd w:val="clear" w:color="FFFFFF" w:fill="D9D9D9"/>
          <w:lang w:val="en-US" w:eastAsia="zh-CN"/>
          <w:highlight w:val="none"/>
        </w:rPr>
        <w:t>包括</w:t>
      </w:r>
      <w:r>
        <w:rPr>
          <w:rFonts w:ascii="Times New Roman" w:hAnsi="Times New Roman"/>
          <w:shd w:val="clear" w:color="FFFFFF" w:fill="D9D9D9"/>
          <w:lang w:val="en-US" w:eastAsia="zh-CN"/>
          <w:highlight w:val="none"/>
        </w:rPr>
        <w:t>用于定位、防作弊和合规性校验的GPS轨迹、时间戳、现场影像等见证取样和送检记录。</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b/>
          <w:bCs/>
          <w:shd w:val="clear" w:color="FFFFFF" w:fill="D9D9D9"/>
          <w:lang w:val="en-US" w:eastAsia="zh-CN"/>
          <w:highlight w:val="none"/>
        </w:rPr>
        <w:t>2.</w:t>
      </w:r>
      <w:r>
        <w:rPr>
          <w:rFonts w:ascii="Times New Roman" w:hAnsi="Times New Roman" w:hint="eastAsia"/>
          <w:b/>
          <w:bCs/>
          <w:shd w:val="clear" w:color="FFFFFF" w:fill="D9D9D9"/>
          <w:lang w:val="en-US" w:eastAsia="zh-CN"/>
          <w:highlight w:val="none"/>
        </w:rPr>
        <w:t xml:space="preserve"> </w:t>
      </w:r>
      <w:r>
        <w:rPr>
          <w:rFonts w:ascii="Times New Roman" w:hAnsi="Times New Roman"/>
          <w:shd w:val="clear" w:color="FFFFFF" w:fill="D9D9D9"/>
          <w:lang w:val="en-US" w:eastAsia="zh-CN"/>
          <w:highlight w:val="none"/>
        </w:rPr>
        <w:t>涉及数据安全的数据是保障系统和信息管理体系运行安全的记录，是后续进行数据审计、防篡改和权限控制的</w:t>
      </w:r>
      <w:r>
        <w:rPr>
          <w:rFonts w:ascii="Times New Roman" w:hAnsi="Times New Roman" w:hint="eastAsia"/>
          <w:shd w:val="clear" w:color="FFFFFF" w:fill="D9D9D9"/>
          <w:lang w:val="en-US" w:eastAsia="zh-CN"/>
          <w:highlight w:val="none"/>
        </w:rPr>
        <w:t>重要</w:t>
      </w:r>
      <w:r>
        <w:rPr>
          <w:rFonts w:ascii="Times New Roman" w:hAnsi="Times New Roman"/>
          <w:shd w:val="clear" w:color="FFFFFF" w:fill="D9D9D9"/>
          <w:lang w:val="en-US" w:eastAsia="zh-CN"/>
          <w:highlight w:val="none"/>
        </w:rPr>
        <w:t>依据</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主要包括报告和记录签发信息</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数据访问日志</w:t>
      </w:r>
      <w:r>
        <w:rPr>
          <w:rFonts w:ascii="Times New Roman" w:hAnsi="Times New Roman" w:hint="eastAsia"/>
          <w:shd w:val="clear" w:color="FFFFFF" w:fill="D9D9D9"/>
          <w:lang w:val="en-US" w:eastAsia="zh-CN"/>
          <w:highlight w:val="none"/>
        </w:rPr>
        <w:t>、</w:t>
      </w:r>
      <w:r>
        <w:rPr>
          <w:rFonts w:ascii="Times New Roman" w:hAnsi="Times New Roman"/>
          <w:shd w:val="clear" w:color="FFFFFF" w:fill="D9D9D9"/>
          <w:lang w:val="en-US" w:eastAsia="zh-CN"/>
          <w:highlight w:val="none"/>
        </w:rPr>
        <w:t>权限变更信息</w:t>
      </w:r>
      <w:r>
        <w:rPr>
          <w:rFonts w:ascii="Times New Roman" w:hAnsi="Times New Roman" w:hint="eastAsia"/>
          <w:shd w:val="clear" w:color="FFFFFF" w:fill="D9D9D9"/>
          <w:lang w:val="en-US" w:eastAsia="zh-CN"/>
          <w:highlight w:val="none"/>
        </w:rPr>
        <w:t>和</w:t>
      </w:r>
      <w:r>
        <w:rPr>
          <w:rFonts w:ascii="Times New Roman" w:hAnsi="Times New Roman"/>
          <w:shd w:val="clear" w:color="FFFFFF" w:fill="D9D9D9"/>
          <w:lang w:val="en-US" w:eastAsia="zh-CN"/>
          <w:highlight w:val="none"/>
        </w:rPr>
        <w:t>防篡改和安全校验记录</w:t>
      </w:r>
      <w:r>
        <w:rPr>
          <w:rFonts w:ascii="Times New Roman" w:hAnsi="Times New Roman" w:hint="eastAsia"/>
          <w:shd w:val="clear" w:color="FFFFFF" w:fill="D9D9D9"/>
          <w:lang w:val="en-US"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报告和记录签发信息包括检测报告中关键人员的电子签名、CA证书信息及签发时间。</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数据访问日志包括所有业务系统和数据库中关于数据的访问、修改、删除和检索的详细记录。</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权限变更信息包括用户权限的创建、修改和撤销记录。</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0" w:firstLineChars="200" w:firstLine="480"/>
        <w:textAlignment w:val="auto"/>
        <w:rPr>
          <w:rFonts w:ascii="Times New Roman" w:hAnsi="Times New Roman"/>
          <w:shd w:val="clear" w:color="FFFFFF" w:fill="D9D9D9"/>
          <w:lang w:val="en-US" w:eastAsia="zh-CN"/>
          <w:highlight w:val="none"/>
        </w:rPr>
      </w:pPr>
      <w:r>
        <w:rPr>
          <w:rFonts w:ascii="Times New Roman" w:hAnsi="Times New Roman"/>
          <w:shd w:val="clear" w:color="FFFFFF" w:fill="D9D9D9"/>
          <w:lang w:val="en-US" w:eastAsia="zh-CN"/>
          <w:highlight w:val="none"/>
        </w:rPr>
        <w:t>防篡改和安全校验记录包括数据在存储和流转过程中的哈希值校验记录、加密等级和防篡改记录。</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应统计数据</w:t>
      </w:r>
      <w:r>
        <w:rPr>
          <w:rFonts w:ascii="Times New Roman" w:hAnsi="Times New Roman" w:hint="eastAsia"/>
          <w:lang w:val="en-US" w:eastAsia="zh-CN"/>
          <w:highlight w:val="none"/>
        </w:rPr>
        <w:t>自动</w:t>
      </w:r>
      <w:r>
        <w:rPr>
          <w:rFonts w:ascii="Times New Roman" w:hAnsi="Times New Roman"/>
          <w:lang w:val="en-US" w:eastAsia="zh-CN"/>
          <w:highlight w:val="none"/>
        </w:rPr>
        <w:t>采集率、数据传输异常率、数据存储完整率、检索响应平均时长和权限变更频次。应分析数据质量控制结果、数据处理过程监管异常分布、数据集成效率、信息检索效率和高频检索信息类型。宜采用大数据分析和人工智能技术对信息利用情况进行分析。</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应触发数据传输异常、存储介质故障、安全校验失败、权限异常变更和关键信息检索超时</w:t>
      </w:r>
      <w:r>
        <w:rPr>
          <w:rFonts w:ascii="Times New Roman" w:hAnsi="Times New Roman" w:hint="eastAsia"/>
          <w:lang w:val="en-US" w:eastAsia="zh-CN"/>
          <w:highlight w:val="none"/>
        </w:rPr>
        <w:t>的</w:t>
      </w:r>
      <w:r>
        <w:rPr>
          <w:rFonts w:ascii="Times New Roman" w:hAnsi="Times New Roman"/>
          <w:lang w:val="en-US" w:eastAsia="zh-CN"/>
          <w:highlight w:val="none"/>
        </w:rPr>
        <w:t>预警，并对关键数据操作触发双人复核或权限锁定。宜根据数据质量控制结果和信息利用分析结果，优化信息传递和存储流程，辅助管理层制定信息管理战略</w:t>
      </w:r>
      <w:r>
        <w:rPr>
          <w:rFonts w:ascii="Times New Roman" w:hAnsi="Times New Roman" w:hint="eastAsia"/>
          <w:lang w:val="en-US" w:eastAsia="zh-CN"/>
          <w:highlight w:val="none"/>
        </w:rPr>
        <w:t>。</w:t>
      </w:r>
    </w:p>
    <w:p>
      <w:pPr>
        <w:tabs>
          <w:tab w:val="left" w:pos="0"/>
        </w:tabs>
        <w:rPr>
          <w:rFonts w:ascii="Times New Roman" w:hAnsi="Times New Roman"/>
          <w:shd w:val="clear" w:color="FFFFFF" w:fill="D9D9D9"/>
          <w:highlight w:val="none"/>
        </w:rPr>
      </w:pPr>
      <w:r>
        <w:rPr>
          <w:rFonts w:ascii="Times New Roman" w:hAnsi="Times New Roman"/>
          <w:b/>
          <w:bCs/>
          <w:kern w:val="44"/>
          <w:sz w:val="30"/>
          <w:szCs w:val="30"/>
          <w:highlight w:val="none"/>
        </w:rPr>
        <w:br w:type="page"/>
      </w:r>
    </w:p>
    <w:p>
      <w:pPr>
        <w:pStyle w:val="1"/>
        <w:numPr>
          <w:ilvl w:val="0"/>
          <w:numId w:val="1"/>
        </w:numPr>
        <w:bidi w:val="0"/>
        <w:ind w:left="425" w:hanging="425"/>
        <w:rPr>
          <w:rFonts w:ascii="Times New Roman" w:cs="Times New Roman" w:hAnsi="Times New Roman"/>
          <w:lang w:val="en-US" w:eastAsia="zh-CN"/>
          <w:highlight w:val="none"/>
        </w:rPr>
      </w:pPr>
      <w:bookmarkStart w:id="75" w:name="_Toc955231828"/>
      <w:bookmarkStart w:id="76" w:name="_Toc25699"/>
      <w:bookmarkStart w:id="77" w:name="_Toc11937"/>
      <w:bookmarkStart w:id="78" w:name="_Toc8435"/>
      <w:bookmarkStart w:id="79" w:name="_Toc4736"/>
      <w:bookmarkStart w:id="80" w:name="_Toc5758"/>
      <w:bookmarkStart w:id="81" w:name="_Toc12730"/>
      <w:bookmarkStart w:id="82" w:name="_Toc16842"/>
      <w:bookmarkStart w:id="83" w:name="_Toc1703"/>
      <w:bookmarkStart w:id="84" w:name="_Toc1092"/>
      <w:bookmarkStart w:id="85" w:name="_Toc32457"/>
      <w:bookmarkStart w:id="86" w:name="_Toc22360"/>
      <w:bookmarkStart w:id="87" w:name="_Toc7592"/>
      <w:bookmarkStart w:id="88" w:name="_Toc14155"/>
      <w:bookmarkStart w:id="89" w:name="_Toc17296"/>
      <w:bookmarkStart w:id="90" w:name="_Toc15574"/>
      <w:bookmarkStart w:id="91" w:name="_Toc7382"/>
      <w:bookmarkStart w:id="92" w:name="_Toc32012"/>
      <w:bookmarkStart w:id="93" w:name="_Toc15397"/>
      <w:bookmarkStart w:id="94" w:name="_Toc30082"/>
      <w:bookmarkStart w:id="95" w:name="_Toc25401"/>
      <w:bookmarkStart w:id="96" w:name="_Toc18614"/>
      <w:bookmarkStart w:id="97" w:name="_Toc19774"/>
      <w:bookmarkStart w:id="98" w:name="_Toc10834"/>
      <w:bookmarkStart w:id="99" w:name="_Toc2489"/>
      <w:bookmarkStart w:id="100" w:name="_Toc30758"/>
      <w:bookmarkStart w:id="101" w:name="_Toc30416"/>
      <w:bookmarkStart w:id="102" w:name="_Toc25661"/>
      <w:bookmarkStart w:id="103" w:name="_Toc24389"/>
      <w:bookmarkStart w:id="104" w:name="_Toc27995"/>
      <w:r>
        <w:rPr>
          <w:rFonts w:cs="Times New Roman" w:hint="eastAsia"/>
          <w:lang w:val="en-US" w:eastAsia="zh-CN"/>
          <w:highlight w:val="none"/>
        </w:rPr>
        <w:t>体系</w:t>
      </w:r>
      <w:bookmarkEnd w:id="75"/>
      <w:r>
        <w:rPr>
          <w:rFonts w:cs="Times New Roman" w:hint="eastAsia"/>
          <w:lang w:val="en-US" w:eastAsia="zh-CN"/>
          <w:highlight w:val="none"/>
        </w:rPr>
        <w:t>数字化管理</w:t>
      </w:r>
      <w:bookmarkEnd w:id="76"/>
    </w:p>
    <w:p>
      <w:pPr>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67" w:hanging="567"/>
        <w:jc w:val="center"/>
        <w:textAlignment w:val="auto"/>
        <w:outlineLvl w:val="1"/>
        <w:rPr>
          <w:rFonts w:ascii="Times New Roman" w:eastAsia="黑体" w:cs="Times New Roman" w:hAnsi="Times New Roman"/>
          <w:b/>
          <w:bCs/>
          <w:color w:val="auto"/>
          <w:sz w:val="28"/>
          <w:szCs w:val="28"/>
          <w:lang w:val="en-US" w:eastAsia="zh-CN"/>
          <w:highlight w:val="none"/>
        </w:rPr>
      </w:pPr>
      <w:bookmarkStart w:id="105" w:name="_Toc2141071871"/>
      <w:bookmarkStart w:id="106" w:name="_Toc17444"/>
      <w:r>
        <w:rPr>
          <w:rFonts w:ascii="Times New Roman" w:eastAsia="黑体" w:cs="Times New Roman" w:hAnsi="Times New Roman"/>
          <w:b/>
          <w:bCs/>
          <w:color w:val="auto"/>
          <w:sz w:val="28"/>
          <w:szCs w:val="28"/>
          <w:lang w:val="en-US" w:eastAsia="zh-CN"/>
          <w:highlight w:val="none"/>
        </w:rPr>
        <w:t>一般规定</w:t>
      </w:r>
      <w:bookmarkEnd w:id="105"/>
      <w:bookmarkEnd w:id="106"/>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cs="Times New Roman" w:hAnsi="Times New Roman" w:hint="eastAsia"/>
          <w:color w:val="auto"/>
          <w:sz w:val="24"/>
          <w:szCs w:val="24"/>
          <w:lang w:val="en-US" w:eastAsia="zh-CN"/>
          <w:highlight w:val="none"/>
        </w:rPr>
        <w:t>体系数字化</w:t>
      </w:r>
      <w:r>
        <w:rPr>
          <w:rFonts w:ascii="Times New Roman" w:eastAsia="宋体" w:cs="Times New Roman" w:hAnsi="Times New Roman"/>
          <w:color w:val="auto"/>
          <w:sz w:val="24"/>
          <w:szCs w:val="24"/>
          <w:lang w:val="en-US" w:eastAsia="zh-CN"/>
          <w:highlight w:val="none"/>
        </w:rPr>
        <w:t>管理应包括文件控制、</w:t>
      </w:r>
      <w:r>
        <w:rPr>
          <w:rFonts w:ascii="Times New Roman" w:cs="Times New Roman" w:hAnsi="Times New Roman" w:hint="eastAsia"/>
          <w:color w:val="auto"/>
          <w:sz w:val="24"/>
          <w:szCs w:val="24"/>
          <w:lang w:val="en-US" w:eastAsia="zh-CN"/>
          <w:highlight w:val="none"/>
        </w:rPr>
        <w:t>记录控制、应对风险和机遇的措施、改进、纠正措施、内部审核和管理评审的</w:t>
      </w:r>
      <w:r>
        <w:rPr>
          <w:rFonts w:ascii="Times New Roman" w:eastAsia="宋体" w:cs="Times New Roman" w:hAnsi="Times New Roman"/>
          <w:color w:val="auto"/>
          <w:sz w:val="24"/>
          <w:szCs w:val="24"/>
          <w:lang w:val="en-US" w:eastAsia="zh-CN"/>
          <w:highlight w:val="none"/>
        </w:rPr>
        <w:t>数字化管理。</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b w:val="0"/>
          <w:bCs w:val="0"/>
          <w:color w:val="auto"/>
          <w:sz w:val="24"/>
          <w:szCs w:val="24"/>
          <w:shd w:val="clear" w:color="FFFFFF" w:fill="D9D9D9"/>
          <w:lang w:val="en-US" w:eastAsia="zh-CN"/>
          <w:highlight w:val="none"/>
        </w:rPr>
        <w:t>【参考引用】</w:t>
      </w:r>
      <w:r>
        <w:rPr>
          <w:rFonts w:ascii="Times New Roman" w:cs="Times New Roman" w:hAnsi="Times New Roman" w:hint="eastAsia"/>
          <w:b w:val="0"/>
          <w:bCs w:val="0"/>
          <w:color w:val="auto"/>
          <w:sz w:val="24"/>
          <w:szCs w:val="24"/>
          <w:shd w:val="clear" w:color="FFFFFF" w:fill="D9D9D9"/>
          <w:lang w:val="en-US" w:eastAsia="zh-CN"/>
          <w:highlight w:val="none"/>
        </w:rPr>
        <w:t>《检测和校准实验室能力的通用要求》</w:t>
      </w:r>
      <w:r>
        <w:rPr>
          <w:rFonts w:ascii="Times New Roman" w:eastAsia="宋体" w:cs="Times New Roman" w:hAnsi="Times New Roman"/>
          <w:b w:val="0"/>
          <w:bCs w:val="0"/>
          <w:color w:val="auto"/>
          <w:sz w:val="24"/>
          <w:szCs w:val="24"/>
          <w:shd w:val="clear" w:color="FFFFFF" w:fill="D9D9D9"/>
          <w:lang w:val="en-US" w:eastAsia="zh-CN"/>
          <w:highlight w:val="none"/>
        </w:rPr>
        <w:t>GB/T 27025-2019中第8.1.2款。</w:t>
      </w:r>
    </w:p>
    <w:p>
      <w:pPr>
        <w:keepNext w:val="0"/>
        <w:keepLines w:val="0"/>
        <w:pageBreakBefore w:val="0"/>
        <w:widowControl w:val="0"/>
        <w:numPr>
          <w:ilvl w:val="2"/>
          <w:numId w:val="1"/>
        </w:numPr>
        <w:kinsoku/>
        <w:wordWrap/>
        <w:overflowPunct/>
        <w:topLinePunct w:val="0"/>
        <w:autoSpaceDE/>
        <w:autoSpaceDN/>
        <w:bidi w:val="0"/>
        <w:adjustRightInd/>
        <w:snapToGrid/>
        <w:spacing w:before="0" w:after="0"/>
        <w:ind w:left="0" w:firstLine="0"/>
        <w:textAlignment w:val="auto"/>
        <w:rPr>
          <w:rFonts w:ascii="Times New Roman" w:eastAsia="宋体" w:cs="Times New Roman" w:hAnsi="Times New Roman"/>
          <w:color w:val="auto"/>
          <w:sz w:val="24"/>
          <w:szCs w:val="24"/>
          <w:lang w:val="en-US" w:eastAsia="zh-CN"/>
          <w:highlight w:val="none"/>
        </w:rPr>
      </w:pPr>
      <w:r>
        <w:rPr>
          <w:rFonts w:ascii="Times New Roman" w:eastAsia="宋体" w:cs="Times New Roman" w:hAnsi="Times New Roman"/>
          <w:color w:val="auto"/>
          <w:sz w:val="24"/>
          <w:szCs w:val="24"/>
          <w:lang w:val="en-US" w:eastAsia="zh-CN"/>
          <w:highlight w:val="none"/>
        </w:rPr>
        <w:t>检测机构应根据自身需求，规划</w:t>
      </w:r>
      <w:r>
        <w:rPr>
          <w:rFonts w:ascii="Times New Roman" w:cs="Times New Roman" w:hAnsi="Times New Roman" w:hint="eastAsia"/>
          <w:color w:val="auto"/>
          <w:sz w:val="24"/>
          <w:szCs w:val="24"/>
          <w:lang w:val="en-US" w:eastAsia="zh-CN"/>
          <w:highlight w:val="none"/>
        </w:rPr>
        <w:t>体系数字化</w:t>
      </w:r>
      <w:r>
        <w:rPr>
          <w:rFonts w:ascii="Times New Roman" w:eastAsia="宋体" w:cs="Times New Roman" w:hAnsi="Times New Roman"/>
          <w:color w:val="auto"/>
          <w:sz w:val="24"/>
          <w:szCs w:val="24"/>
          <w:lang w:val="en-US" w:eastAsia="zh-CN"/>
          <w:highlight w:val="none"/>
        </w:rPr>
        <w:t>管理的功能与流程</w:t>
      </w:r>
      <w:r>
        <w:rPr>
          <w:rFonts w:ascii="Times New Roman" w:cs="Times New Roman" w:hAnsi="Times New Roman" w:hint="eastAsia"/>
          <w:color w:val="auto"/>
          <w:sz w:val="24"/>
          <w:szCs w:val="24"/>
          <w:lang w:val="en-US" w:eastAsia="zh-CN"/>
          <w:highlight w:val="none"/>
        </w:rPr>
        <w:t>，设置</w:t>
      </w:r>
      <w:r>
        <w:rPr>
          <w:rFonts w:ascii="Times New Roman" w:cs="Times New Roman" w:hAnsi="Times New Roman" w:hint="eastAsia"/>
          <w:b w:val="0"/>
          <w:bCs w:val="0"/>
          <w:color w:val="auto"/>
          <w:sz w:val="24"/>
          <w:szCs w:val="24"/>
          <w:lang w:val="en-US" w:eastAsia="zh-CN"/>
          <w:highlight w:val="none"/>
        </w:rPr>
        <w:t>数据互联互通的在线</w:t>
      </w:r>
      <w:r>
        <w:rPr>
          <w:rFonts w:ascii="Times New Roman" w:cs="Times New Roman" w:hAnsi="Times New Roman" w:hint="eastAsia"/>
          <w:color w:val="auto"/>
          <w:sz w:val="24"/>
          <w:szCs w:val="24"/>
          <w:lang w:val="en-US" w:eastAsia="zh-CN"/>
          <w:highlight w:val="none"/>
        </w:rPr>
        <w:t>管理流程，并</w:t>
      </w:r>
      <w:r>
        <w:rPr>
          <w:rFonts w:ascii="Times New Roman" w:eastAsia="宋体" w:cs="Times New Roman" w:hAnsi="Times New Roman"/>
          <w:color w:val="auto"/>
          <w:sz w:val="24"/>
          <w:szCs w:val="24"/>
          <w:lang w:val="en-US" w:eastAsia="zh-CN"/>
          <w:highlight w:val="none"/>
        </w:rPr>
        <w:t>明确流程节点的操作要求、责任主体</w:t>
      </w:r>
      <w:r>
        <w:rPr>
          <w:rFonts w:ascii="Times New Roman" w:cs="Times New Roman" w:hAnsi="Times New Roman" w:hint="eastAsia"/>
          <w:color w:val="auto"/>
          <w:sz w:val="24"/>
          <w:szCs w:val="24"/>
          <w:lang w:val="en-US" w:eastAsia="zh-CN"/>
          <w:highlight w:val="none"/>
        </w:rPr>
        <w:t>、</w:t>
      </w:r>
      <w:r>
        <w:rPr>
          <w:rFonts w:ascii="Times New Roman" w:eastAsia="宋体" w:cs="Times New Roman" w:hAnsi="Times New Roman"/>
          <w:color w:val="auto"/>
          <w:sz w:val="24"/>
          <w:szCs w:val="24"/>
          <w:lang w:val="en-US" w:eastAsia="zh-CN"/>
          <w:highlight w:val="none"/>
        </w:rPr>
        <w:t>流转规则</w:t>
      </w:r>
      <w:r>
        <w:rPr>
          <w:rFonts w:ascii="Times New Roman" w:cs="Times New Roman" w:hAnsi="Times New Roman" w:hint="eastAsia"/>
          <w:color w:val="auto"/>
          <w:sz w:val="24"/>
          <w:szCs w:val="24"/>
          <w:lang w:val="en-US" w:eastAsia="zh-CN"/>
          <w:highlight w:val="none"/>
        </w:rPr>
        <w:t>、</w:t>
      </w:r>
      <w:r>
        <w:rPr>
          <w:rFonts w:ascii="Times New Roman" w:eastAsia="宋体" w:cs="Times New Roman" w:hAnsi="Times New Roman"/>
          <w:color w:val="auto"/>
          <w:sz w:val="24"/>
          <w:szCs w:val="24"/>
          <w:lang w:val="en-US" w:eastAsia="zh-CN"/>
          <w:highlight w:val="none"/>
        </w:rPr>
        <w:t>时限</w:t>
      </w:r>
      <w:r>
        <w:rPr>
          <w:rFonts w:ascii="Times New Roman" w:cs="Times New Roman" w:hAnsi="Times New Roman" w:hint="eastAsia"/>
          <w:color w:val="auto"/>
          <w:sz w:val="24"/>
          <w:szCs w:val="24"/>
          <w:lang w:val="en-US" w:eastAsia="zh-CN"/>
          <w:highlight w:val="none"/>
        </w:rPr>
        <w:t>要求与通知</w:t>
      </w:r>
      <w:r>
        <w:rPr>
          <w:rFonts w:ascii="Times New Roman" w:cs="Times New Roman" w:hAnsi="Times New Roman"/>
          <w:b w:val="0"/>
          <w:bCs w:val="0"/>
          <w:color w:val="auto"/>
          <w:sz w:val="24"/>
          <w:szCs w:val="24"/>
          <w:lang w:val="en-US" w:eastAsia="zh-CN"/>
          <w:highlight w:val="none"/>
        </w:rPr>
        <w:t>推送</w:t>
      </w:r>
      <w:r>
        <w:rPr>
          <w:rFonts w:ascii="Times New Roman" w:cs="Times New Roman" w:hAnsi="Times New Roman" w:hint="eastAsia"/>
          <w:b w:val="0"/>
          <w:bCs w:val="0"/>
          <w:color w:val="auto"/>
          <w:sz w:val="24"/>
          <w:szCs w:val="24"/>
          <w:lang w:val="en-US" w:eastAsia="zh-CN"/>
          <w:highlight w:val="none"/>
        </w:rPr>
        <w:t>规则</w:t>
      </w:r>
      <w:r>
        <w:rPr>
          <w:rFonts w:ascii="Times New Roman" w:cs="Times New Roman" w:hAnsi="Times New Roman" w:hint="eastAsia"/>
          <w:color w:val="auto"/>
          <w:sz w:val="24"/>
          <w:szCs w:val="24"/>
          <w:lang w:val="en-US" w:eastAsia="zh-CN"/>
          <w:highlight w:val="none"/>
        </w:rPr>
        <w:t>。</w:t>
      </w:r>
    </w:p>
    <w:p>
      <w:pPr>
        <w:keepNext w:val="0"/>
        <w:keepLines w:val="0"/>
        <w:pageBreakBefore w:val="0"/>
        <w:widowControl w:val="0"/>
        <w:tabs>
          <w:tab w:val="left" w:pos="0"/>
        </w:tabs>
        <w:kinsoku/>
        <w:wordWrap/>
        <w:overflowPunct/>
        <w:topLinePunct w:val="0"/>
        <w:autoSpaceDE/>
        <w:autoSpaceDN/>
        <w:bidi w:val="0"/>
        <w:adjustRightInd/>
        <w:snapToGrid/>
        <w:spacing w:before="0" w:after="0"/>
        <w:textAlignment w:val="auto"/>
        <w:rPr>
          <w:rFonts w:ascii="Times New Roman" w:eastAsia="黑体" w:cs="Times New Roman" w:hAnsi="Times New Roman"/>
          <w:b/>
          <w:bCs/>
          <w:color w:val="auto"/>
          <w:sz w:val="28"/>
          <w:szCs w:val="28"/>
          <w:lang w:val="en-US" w:eastAsia="zh-CN"/>
          <w:highlight w:val="none"/>
        </w:rPr>
      </w:pPr>
      <w:r>
        <w:rPr>
          <w:rFonts w:ascii="Times New Roman" w:eastAsia="宋体" w:cs="Times New Roman" w:hAnsi="Times New Roman"/>
          <w:b w:val="0"/>
          <w:bCs w:val="0"/>
          <w:color w:val="auto"/>
          <w:sz w:val="24"/>
          <w:szCs w:val="24"/>
          <w:shd w:val="clear" w:color="FFFFFF" w:fill="D9D9D9"/>
          <w:lang w:val="en-US" w:eastAsia="zh-CN"/>
          <w:highlight w:val="none"/>
        </w:rPr>
        <w:t>【</w:t>
      </w:r>
      <w:r>
        <w:rPr>
          <w:rFonts w:ascii="Times New Roman" w:cs="Times New Roman" w:hAnsi="Times New Roman" w:hint="eastAsia"/>
          <w:b w:val="0"/>
          <w:bCs w:val="0"/>
          <w:color w:val="auto"/>
          <w:sz w:val="24"/>
          <w:szCs w:val="24"/>
          <w:shd w:val="clear" w:color="FFFFFF" w:fill="D9D9D9"/>
          <w:lang w:val="en-US" w:eastAsia="zh-CN"/>
          <w:highlight w:val="none"/>
        </w:rPr>
        <w:t>条文说明</w:t>
      </w:r>
      <w:r>
        <w:rPr>
          <w:rFonts w:ascii="Times New Roman" w:eastAsia="宋体" w:cs="Times New Roman" w:hAnsi="Times New Roman"/>
          <w:b w:val="0"/>
          <w:bCs w:val="0"/>
          <w:color w:val="auto"/>
          <w:sz w:val="24"/>
          <w:szCs w:val="24"/>
          <w:shd w:val="clear" w:color="FFFFFF" w:fill="D9D9D9"/>
          <w:lang w:val="en-US" w:eastAsia="zh-CN"/>
          <w:highlight w:val="none"/>
        </w:rPr>
        <w:t>】检测机构应根据自身需求，规划数字化管理的功能与流程，确保数字化方案具备灵活性与可扩展性，能够适配机构业务范围扩大、管理要求升级等发展变化。</w:t>
      </w:r>
    </w:p>
    <w:p>
      <w:pPr>
        <w:numPr>
          <w:ilvl w:val="1"/>
          <w:numId w:val="1"/>
        </w:numPr>
        <w:jc w:val="center"/>
        <w:outlineLvl w:val="1"/>
        <w:rPr>
          <w:rFonts w:ascii="Times New Roman" w:eastAsia="黑体" w:hAnsi="Times New Roman"/>
          <w:b/>
          <w:bCs/>
          <w:sz w:val="28"/>
          <w:szCs w:val="28"/>
          <w:lang w:val="en-US" w:eastAsia="zh-CN"/>
          <w:highlight w:val="none"/>
        </w:rPr>
      </w:pPr>
      <w:bookmarkStart w:id="107" w:name="_Toc25937"/>
      <w:bookmarkStart w:id="108" w:name="_Toc1758946765"/>
      <w:r>
        <w:rPr>
          <w:rFonts w:ascii="Times New Roman" w:eastAsia="黑体" w:hAnsi="Times New Roman"/>
          <w:b/>
          <w:bCs/>
          <w:sz w:val="28"/>
          <w:szCs w:val="28"/>
          <w:lang w:val="en-US" w:eastAsia="zh-CN"/>
          <w:highlight w:val="none"/>
        </w:rPr>
        <w:t>文件控制</w:t>
      </w:r>
      <w:bookmarkEnd w:id="107"/>
      <w:bookmarkEnd w:id="108"/>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应建立和规范文件的编制、审核、批准、发布、实施、查新、撤回、修订和作废的管理流程，设置受控文件的查阅、修改和下载权限，并形成文件台账。</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文件控制的</w:t>
      </w:r>
      <w:r>
        <w:rPr>
          <w:rFonts w:ascii="Times New Roman" w:hAnsi="Times New Roman" w:hint="eastAsia"/>
          <w:lang w:val="en-US" w:eastAsia="zh-CN"/>
          <w:highlight w:val="none"/>
        </w:rPr>
        <w:t>基本</w:t>
      </w:r>
      <w:r>
        <w:rPr>
          <w:rFonts w:ascii="Times New Roman" w:hAnsi="Times New Roman"/>
          <w:lang w:val="en-US" w:eastAsia="zh-CN"/>
          <w:highlight w:val="none"/>
        </w:rPr>
        <w:t>信息、流转信息及版本信息，</w:t>
      </w:r>
      <w:r>
        <w:rPr>
          <w:rFonts w:ascii="Times New Roman" w:hAnsi="Times New Roman" w:hint="eastAsia"/>
          <w:lang w:val="en-US" w:eastAsia="zh-CN"/>
          <w:highlight w:val="none"/>
        </w:rPr>
        <w:t>并符合下列规定：</w:t>
      </w:r>
    </w:p>
    <w:p>
      <w:pPr>
        <w:keepNext w:val="0"/>
        <w:keepLines w:val="0"/>
        <w:pageBreakBefore w:val="0"/>
        <w:widowControl w:val="0"/>
        <w:numPr>
          <w:ilvl w:val="0"/>
          <w:numId w:val="3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lang w:val="en-US" w:eastAsia="zh-CN"/>
          <w:highlight w:val="none"/>
        </w:rPr>
      </w:pPr>
      <w:r>
        <w:rPr>
          <w:rFonts w:ascii="Times New Roman" w:hAnsi="Times New Roman" w:hint="eastAsia"/>
          <w:lang w:val="en-US" w:eastAsia="zh-CN"/>
          <w:highlight w:val="none"/>
        </w:rPr>
        <w:t>基本</w:t>
      </w:r>
      <w:r>
        <w:rPr>
          <w:rFonts w:ascii="Times New Roman" w:hAnsi="Times New Roman"/>
          <w:lang w:val="en-US" w:eastAsia="zh-CN"/>
          <w:highlight w:val="none"/>
        </w:rPr>
        <w:t>信息</w:t>
      </w:r>
      <w:r>
        <w:rPr>
          <w:rFonts w:ascii="Times New Roman" w:hAnsi="Times New Roman" w:hint="eastAsia"/>
          <w:lang w:val="en-US" w:eastAsia="zh-CN"/>
          <w:highlight w:val="none"/>
        </w:rPr>
        <w:t>应</w:t>
      </w:r>
      <w:r>
        <w:rPr>
          <w:rFonts w:ascii="Times New Roman" w:eastAsia="宋体" w:cs="Times New Roman" w:hAnsi="Times New Roman"/>
          <w:lang w:val="en-US" w:eastAsia="zh-CN"/>
          <w:highlight w:val="none"/>
        </w:rPr>
        <w:t>包括文件名称、编号、类型</w:t>
      </w:r>
      <w:r>
        <w:rPr>
          <w:rFonts w:ascii="Times New Roman" w:eastAsia="宋体" w:cs="Times New Roman" w:hAnsi="Times New Roman" w:hint="eastAsia"/>
          <w:lang w:val="en-US" w:eastAsia="zh-CN"/>
          <w:highlight w:val="none"/>
        </w:rPr>
        <w:t>和</w:t>
      </w:r>
      <w:r>
        <w:rPr>
          <w:rFonts w:ascii="Times New Roman" w:eastAsia="宋体" w:cs="Times New Roman" w:hAnsi="Times New Roman"/>
          <w:lang w:val="en-US" w:eastAsia="zh-CN"/>
          <w:highlight w:val="none"/>
        </w:rPr>
        <w:t>电子存储路径</w:t>
      </w:r>
      <w:r>
        <w:rPr>
          <w:rFonts w:ascii="Times New Roman" w:eastAsia="宋体" w:cs="Times New Roman" w:hAnsi="Times New Roman" w:hint="eastAsia"/>
          <w:lang w:val="en-US" w:eastAsia="zh-CN"/>
          <w:highlight w:val="none"/>
        </w:rPr>
        <w:t>；</w:t>
      </w:r>
    </w:p>
    <w:p>
      <w:pPr>
        <w:keepNext w:val="0"/>
        <w:keepLines w:val="0"/>
        <w:pageBreakBefore w:val="0"/>
        <w:widowControl w:val="0"/>
        <w:numPr>
          <w:ilvl w:val="0"/>
          <w:numId w:val="3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流转信息应包括</w:t>
      </w:r>
      <w:r>
        <w:rPr>
          <w:rFonts w:ascii="Times New Roman" w:eastAsia="宋体" w:cs="Times New Roman" w:hAnsi="Times New Roman"/>
          <w:lang w:val="en-US" w:eastAsia="zh-CN"/>
          <w:highlight w:val="none"/>
        </w:rPr>
        <w:t>编制</w:t>
      </w:r>
      <w:r>
        <w:rPr>
          <w:rFonts w:ascii="Times New Roman" w:eastAsia="宋体" w:cs="Times New Roman" w:hAnsi="Times New Roman" w:hint="eastAsia"/>
          <w:lang w:val="en-US" w:eastAsia="zh-CN"/>
          <w:highlight w:val="none"/>
        </w:rPr>
        <w:t>/撤回/修</w:t>
      </w:r>
      <w:r>
        <w:rPr>
          <w:rFonts w:ascii="Times New Roman" w:eastAsia="宋体" w:cs="Times New Roman" w:hAnsi="Times New Roman"/>
          <w:lang w:val="en-US" w:eastAsia="zh-CN"/>
          <w:highlight w:val="none"/>
        </w:rPr>
        <w:t>订人、审核人、批准人、发布日期</w:t>
      </w:r>
      <w:r>
        <w:rPr>
          <w:rFonts w:ascii="Times New Roman" w:eastAsia="宋体" w:cs="Times New Roman" w:hAnsi="Times New Roman" w:hint="eastAsia"/>
          <w:lang w:val="en-US" w:eastAsia="zh-CN"/>
          <w:highlight w:val="none"/>
        </w:rPr>
        <w:t>、</w:t>
      </w:r>
      <w:r>
        <w:rPr>
          <w:rFonts w:ascii="Times New Roman" w:eastAsia="宋体" w:cs="Times New Roman" w:hAnsi="Times New Roman"/>
          <w:lang w:val="en-US" w:eastAsia="zh-CN"/>
          <w:highlight w:val="none"/>
        </w:rPr>
        <w:t>发布范围、</w:t>
      </w:r>
      <w:r>
        <w:rPr>
          <w:rFonts w:ascii="Times New Roman" w:eastAsia="宋体" w:cs="Times New Roman" w:hAnsi="Times New Roman" w:hint="eastAsia"/>
          <w:lang w:val="en-US" w:eastAsia="zh-CN"/>
          <w:highlight w:val="none"/>
        </w:rPr>
        <w:t>撤回日期、</w:t>
      </w:r>
      <w:r>
        <w:rPr>
          <w:rFonts w:ascii="Times New Roman" w:eastAsia="宋体" w:cs="Times New Roman" w:hAnsi="Times New Roman"/>
          <w:lang w:val="en-US" w:eastAsia="zh-CN"/>
          <w:highlight w:val="none"/>
        </w:rPr>
        <w:t>修订</w:t>
      </w:r>
      <w:r>
        <w:rPr>
          <w:rFonts w:ascii="Times New Roman" w:eastAsia="宋体" w:cs="Times New Roman" w:hAnsi="Times New Roman" w:hint="eastAsia"/>
          <w:lang w:val="en-US" w:eastAsia="zh-CN"/>
          <w:highlight w:val="none"/>
        </w:rPr>
        <w:t>日期和</w:t>
      </w:r>
      <w:r>
        <w:rPr>
          <w:rFonts w:ascii="Times New Roman" w:eastAsia="宋体" w:cs="Times New Roman" w:hAnsi="Times New Roman"/>
          <w:lang w:val="en-US" w:eastAsia="zh-CN"/>
          <w:highlight w:val="none"/>
        </w:rPr>
        <w:t>作废日期</w:t>
      </w:r>
      <w:r>
        <w:rPr>
          <w:rFonts w:ascii="Times New Roman" w:eastAsia="宋体" w:cs="Times New Roman" w:hAnsi="Times New Roman" w:hint="eastAsia"/>
          <w:lang w:val="en-US" w:eastAsia="zh-CN"/>
          <w:highlight w:val="none"/>
        </w:rPr>
        <w:t>，外来受控文件</w:t>
      </w:r>
      <w:r>
        <w:rPr>
          <w:rFonts w:ascii="Times New Roman" w:cs="Times New Roman" w:hAnsi="Times New Roman" w:hint="eastAsia"/>
          <w:lang w:val="en-US" w:eastAsia="zh-CN"/>
          <w:highlight w:val="none"/>
        </w:rPr>
        <w:t>的</w:t>
      </w:r>
      <w:r>
        <w:rPr>
          <w:rFonts w:ascii="Times New Roman" w:eastAsia="宋体" w:cs="Times New Roman" w:hAnsi="Times New Roman" w:hint="eastAsia"/>
          <w:lang w:val="en-US" w:eastAsia="zh-CN"/>
          <w:highlight w:val="none"/>
        </w:rPr>
        <w:t>流转信息尚应包括查新日期</w:t>
      </w:r>
      <w:r>
        <w:rPr>
          <w:rFonts w:ascii="Times New Roman" w:cs="Times New Roman" w:hAnsi="Times New Roman" w:hint="eastAsia"/>
          <w:lang w:val="en-US" w:eastAsia="zh-CN"/>
          <w:highlight w:val="none"/>
        </w:rPr>
        <w:t>、</w:t>
      </w:r>
      <w:r>
        <w:rPr>
          <w:rFonts w:ascii="Times New Roman" w:eastAsia="宋体" w:cs="Times New Roman" w:hAnsi="Times New Roman" w:hint="eastAsia"/>
          <w:lang w:val="en-US" w:eastAsia="zh-CN"/>
          <w:highlight w:val="none"/>
        </w:rPr>
        <w:t>查新周期</w:t>
      </w:r>
      <w:r>
        <w:rPr>
          <w:rFonts w:ascii="Times New Roman" w:cs="Times New Roman" w:hAnsi="Times New Roman" w:hint="eastAsia"/>
          <w:lang w:val="en-US" w:eastAsia="zh-CN"/>
          <w:highlight w:val="none"/>
        </w:rPr>
        <w:t>和查新记录</w:t>
      </w:r>
      <w:r>
        <w:rPr>
          <w:rFonts w:ascii="Times New Roman" w:eastAsia="宋体" w:cs="Times New Roman" w:hAnsi="Times New Roman" w:hint="eastAsia"/>
          <w:lang w:val="en-US" w:eastAsia="zh-CN"/>
          <w:highlight w:val="none"/>
        </w:rPr>
        <w:t>；</w:t>
      </w:r>
    </w:p>
    <w:p>
      <w:pPr>
        <w:keepNext w:val="0"/>
        <w:keepLines w:val="0"/>
        <w:pageBreakBefore w:val="0"/>
        <w:widowControl w:val="0"/>
        <w:numPr>
          <w:ilvl w:val="0"/>
          <w:numId w:val="31"/>
        </w:numPr>
        <w:kinsoku/>
        <w:wordWrap/>
        <w:overflowPunct/>
        <w:topLinePunct w:val="0"/>
        <w:autoSpaceDE/>
        <w:autoSpaceDN/>
        <w:bidi w:val="0"/>
        <w:adjustRightInd/>
        <w:snapToGrid/>
        <w:spacing w:before="0" w:after="0"/>
        <w:ind w:left="0" w:firstLineChars="200" w:firstLine="48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版本信息应包括</w:t>
      </w:r>
      <w:r>
        <w:rPr>
          <w:rFonts w:ascii="Times New Roman" w:eastAsia="宋体" w:cs="Times New Roman" w:hAnsi="Times New Roman"/>
          <w:lang w:val="en-US" w:eastAsia="zh-CN"/>
          <w:highlight w:val="none"/>
        </w:rPr>
        <w:t>当前版本号</w:t>
      </w:r>
      <w:r>
        <w:rPr>
          <w:rFonts w:ascii="Times New Roman" w:eastAsia="宋体" w:cs="Times New Roman" w:hAnsi="Times New Roman" w:hint="eastAsia"/>
          <w:lang w:val="en-US" w:eastAsia="zh-CN"/>
          <w:highlight w:val="none"/>
        </w:rPr>
        <w:t>和</w:t>
      </w:r>
      <w:r>
        <w:rPr>
          <w:rFonts w:ascii="Times New Roman" w:eastAsia="宋体" w:cs="Times New Roman" w:hAnsi="Times New Roman"/>
          <w:lang w:val="en-US" w:eastAsia="zh-CN"/>
          <w:highlight w:val="none"/>
        </w:rPr>
        <w:t>替代文件编号</w:t>
      </w:r>
      <w:r>
        <w:rPr>
          <w:rFonts w:ascii="Times New Roman" w:eastAsia="宋体" w:cs="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应统计文件编制至批准的平均周期、年度修订频次</w:t>
      </w:r>
      <w:r>
        <w:rPr>
          <w:rFonts w:ascii="Times New Roman" w:hAnsi="Times New Roman" w:hint="eastAsia"/>
          <w:lang w:val="en-US" w:eastAsia="zh-CN"/>
          <w:highlight w:val="none"/>
        </w:rPr>
        <w:t>，</w:t>
      </w:r>
      <w:r>
        <w:rPr>
          <w:rFonts w:ascii="Times New Roman" w:hAnsi="Times New Roman"/>
          <w:lang w:val="en-US" w:eastAsia="zh-CN"/>
          <w:highlight w:val="none"/>
        </w:rPr>
        <w:t>分析审批流程瓶颈</w:t>
      </w:r>
      <w:r>
        <w:rPr>
          <w:rFonts w:ascii="Times New Roman" w:hAnsi="Times New Roman" w:hint="eastAsia"/>
          <w:lang w:val="en-US" w:eastAsia="zh-CN"/>
          <w:highlight w:val="none"/>
        </w:rPr>
        <w:t>环节</w:t>
      </w:r>
      <w:r>
        <w:rPr>
          <w:rFonts w:ascii="Times New Roman" w:hAnsi="Times New Roman"/>
          <w:lang w:val="en-US" w:eastAsia="zh-CN"/>
          <w:highlight w:val="none"/>
        </w:rPr>
        <w:t>、高频修订文件特征、跨部门文件分发延迟率。</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应提醒审批流程超期、作废文件未回收、权限异常变更、版本冲突</w:t>
      </w:r>
      <w:r>
        <w:rPr>
          <w:rFonts w:ascii="Times New Roman" w:hAnsi="Times New Roman" w:hint="eastAsia"/>
          <w:lang w:val="en-US" w:eastAsia="zh-CN"/>
          <w:highlight w:val="none"/>
        </w:rPr>
        <w:t>、</w:t>
      </w:r>
      <w:r>
        <w:rPr>
          <w:rFonts w:ascii="Times New Roman" w:hAnsi="Times New Roman"/>
          <w:lang w:val="en-US" w:eastAsia="zh-CN"/>
          <w:highlight w:val="none"/>
        </w:rPr>
        <w:t>外来文件逾期未查新</w:t>
      </w:r>
      <w:r>
        <w:rPr>
          <w:rFonts w:ascii="Times New Roman" w:hAnsi="Times New Roman" w:hint="eastAsia"/>
          <w:lang w:val="en-US" w:eastAsia="zh-CN"/>
          <w:highlight w:val="none"/>
        </w:rPr>
        <w:t>等情况，</w:t>
      </w:r>
      <w:r>
        <w:rPr>
          <w:rFonts w:ascii="Times New Roman" w:hAnsi="Times New Roman"/>
          <w:lang w:val="en-US" w:eastAsia="zh-CN"/>
          <w:highlight w:val="none"/>
        </w:rPr>
        <w:t>根据统计结果优化文件审批流程、动态调整外来文件查新周期。</w:t>
      </w:r>
    </w:p>
    <w:p>
      <w:pPr>
        <w:numPr>
          <w:ilvl w:val="1"/>
          <w:numId w:val="1"/>
        </w:numPr>
        <w:jc w:val="center"/>
        <w:outlineLvl w:val="1"/>
        <w:rPr>
          <w:rFonts w:ascii="Times New Roman" w:eastAsia="黑体" w:hAnsi="Times New Roman"/>
          <w:b/>
          <w:bCs/>
          <w:sz w:val="28"/>
          <w:szCs w:val="28"/>
          <w:lang w:val="en-US" w:eastAsia="zh-CN"/>
          <w:highlight w:val="none"/>
        </w:rPr>
      </w:pPr>
      <w:bookmarkStart w:id="109" w:name="_Toc4138"/>
      <w:bookmarkStart w:id="110" w:name="_Toc358394753"/>
      <w:r>
        <w:rPr>
          <w:rFonts w:ascii="Times New Roman" w:eastAsia="黑体" w:hAnsi="Times New Roman"/>
          <w:b/>
          <w:bCs/>
          <w:sz w:val="28"/>
          <w:szCs w:val="28"/>
          <w:lang w:val="en-US" w:eastAsia="zh-CN"/>
          <w:highlight w:val="none"/>
        </w:rPr>
        <w:t>记录</w:t>
      </w:r>
      <w:bookmarkEnd w:id="109"/>
      <w:bookmarkEnd w:id="110"/>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应建立和规范记录的生成、分类、标识、保存、修改与删除的管理流程，并形成记录台账。</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记录的</w:t>
      </w:r>
      <w:r>
        <w:rPr>
          <w:rFonts w:ascii="Times New Roman" w:hAnsi="Times New Roman" w:hint="eastAsia"/>
          <w:lang w:val="en-US" w:eastAsia="zh-CN"/>
          <w:highlight w:val="none"/>
        </w:rPr>
        <w:t>基本</w:t>
      </w:r>
      <w:r>
        <w:rPr>
          <w:rFonts w:ascii="Times New Roman" w:hAnsi="Times New Roman"/>
          <w:lang w:val="en-US" w:eastAsia="zh-CN"/>
          <w:highlight w:val="none"/>
        </w:rPr>
        <w:t>信息</w:t>
      </w:r>
      <w:r>
        <w:rPr>
          <w:rFonts w:ascii="Times New Roman" w:hAnsi="Times New Roman" w:hint="eastAsia"/>
          <w:lang w:val="en-US" w:eastAsia="zh-CN"/>
          <w:highlight w:val="none"/>
        </w:rPr>
        <w:t>、保存信息和修改/删除</w:t>
      </w:r>
      <w:r>
        <w:rPr>
          <w:rFonts w:ascii="Times New Roman" w:hAnsi="Times New Roman"/>
          <w:lang w:val="en-US" w:eastAsia="zh-CN"/>
          <w:highlight w:val="none"/>
        </w:rPr>
        <w:t>信息，</w:t>
      </w:r>
      <w:r>
        <w:rPr>
          <w:rFonts w:ascii="Times New Roman" w:hAnsi="Times New Roman" w:hint="eastAsia"/>
          <w:lang w:val="en-US" w:eastAsia="zh-CN"/>
          <w:highlight w:val="none"/>
        </w:rPr>
        <w:t>基本信息应</w:t>
      </w:r>
      <w:r>
        <w:rPr>
          <w:rFonts w:ascii="Times New Roman" w:hAnsi="Times New Roman"/>
          <w:lang w:val="en-US" w:eastAsia="zh-CN"/>
          <w:highlight w:val="none"/>
        </w:rPr>
        <w:t>包括记录名称、编号、类型、填写人、填写日期</w:t>
      </w:r>
      <w:r>
        <w:rPr>
          <w:rFonts w:ascii="Times New Roman" w:hAnsi="Times New Roman" w:hint="eastAsia"/>
          <w:lang w:val="en-US" w:eastAsia="zh-CN"/>
          <w:highlight w:val="none"/>
        </w:rPr>
        <w:t>和</w:t>
      </w:r>
      <w:r>
        <w:rPr>
          <w:rFonts w:ascii="Times New Roman" w:hAnsi="Times New Roman"/>
          <w:lang w:val="en-US" w:eastAsia="zh-CN"/>
          <w:highlight w:val="none"/>
        </w:rPr>
        <w:t>关联业务编号</w:t>
      </w:r>
      <w:r>
        <w:rPr>
          <w:rFonts w:ascii="Times New Roman" w:hAnsi="Times New Roman" w:hint="eastAsia"/>
          <w:lang w:val="en-US" w:eastAsia="zh-CN"/>
          <w:highlight w:val="none"/>
        </w:rPr>
        <w:t>，保存信息应包括</w:t>
      </w:r>
      <w:r>
        <w:rPr>
          <w:rFonts w:ascii="Times New Roman" w:eastAsia="宋体" w:cs="Times New Roman" w:hAnsi="Times New Roman"/>
          <w:lang w:val="en-US" w:eastAsia="zh-CN"/>
          <w:highlight w:val="none"/>
        </w:rPr>
        <w:t>电子存储路径</w:t>
      </w:r>
      <w:r>
        <w:rPr>
          <w:rFonts w:ascii="Times New Roman" w:hAnsi="Times New Roman"/>
          <w:lang w:val="en-US" w:eastAsia="zh-CN"/>
          <w:highlight w:val="none"/>
        </w:rPr>
        <w:t>、保存期限</w:t>
      </w:r>
      <w:r>
        <w:rPr>
          <w:rFonts w:ascii="Times New Roman" w:hAnsi="Times New Roman" w:hint="eastAsia"/>
          <w:lang w:val="en-US" w:eastAsia="zh-CN"/>
          <w:highlight w:val="none"/>
        </w:rPr>
        <w:t>和</w:t>
      </w:r>
      <w:r>
        <w:rPr>
          <w:rFonts w:ascii="Times New Roman" w:hAnsi="Times New Roman"/>
          <w:lang w:val="en-US" w:eastAsia="zh-CN"/>
          <w:highlight w:val="none"/>
        </w:rPr>
        <w:t>查阅记录</w:t>
      </w:r>
      <w:r>
        <w:rPr>
          <w:rFonts w:ascii="Times New Roman" w:hAnsi="Times New Roman" w:hint="eastAsia"/>
          <w:lang w:val="en-US" w:eastAsia="zh-CN"/>
          <w:highlight w:val="none"/>
        </w:rPr>
        <w:t>，修改/删除信息包括修改/删除人、修改/删除时间、修改/删除内容和修改/删除原因。</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应统计记录完整率、电子记录占比、超期未归档记录数量、平均查阅响应时长，应分析记录缺失高频字段、长期未查阅记录占比</w:t>
      </w:r>
      <w:r>
        <w:rPr>
          <w:rFonts w:ascii="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应触发记录超期归档预警、保存期限到期提醒、电子记录备份失败报警、纸质记录借阅超期提醒，对关键记录修改操作触发双人审核流程</w:t>
      </w:r>
      <w:r>
        <w:rPr>
          <w:rFonts w:ascii="Times New Roman" w:hAnsi="Times New Roman" w:hint="eastAsia"/>
          <w:lang w:val="en-US" w:eastAsia="zh-CN"/>
          <w:highlight w:val="none"/>
        </w:rPr>
        <w:t>。</w:t>
      </w:r>
    </w:p>
    <w:p>
      <w:pPr>
        <w:numPr>
          <w:ilvl w:val="1"/>
          <w:numId w:val="1"/>
        </w:numPr>
        <w:jc w:val="center"/>
        <w:outlineLvl w:val="1"/>
        <w:rPr>
          <w:rFonts w:ascii="Times New Roman" w:eastAsia="黑体" w:hAnsi="Times New Roman"/>
          <w:b/>
          <w:bCs/>
          <w:sz w:val="28"/>
          <w:szCs w:val="28"/>
          <w:lang w:val="en-US" w:eastAsia="zh-CN"/>
          <w:highlight w:val="none"/>
        </w:rPr>
      </w:pPr>
      <w:bookmarkStart w:id="111" w:name="_Toc1996467483"/>
      <w:bookmarkStart w:id="112" w:name="_Toc13680"/>
      <w:r>
        <w:rPr>
          <w:rFonts w:ascii="Times New Roman" w:eastAsia="黑体" w:hAnsi="Times New Roman"/>
          <w:b/>
          <w:bCs/>
          <w:sz w:val="28"/>
          <w:szCs w:val="28"/>
          <w:lang w:val="en-US" w:eastAsia="zh-CN"/>
          <w:highlight w:val="none"/>
        </w:rPr>
        <w:t>应对风险和机遇的措施</w:t>
      </w:r>
      <w:bookmarkEnd w:id="111"/>
      <w:bookmarkEnd w:id="112"/>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应建立和规范风险和机遇识别、评估、应对和监控的管理流程。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风险/机遇名称、所属领域、触发事件描述、风险等级、机遇收益值、应对措施、责任人、完成时限</w:t>
      </w:r>
      <w:r>
        <w:rPr>
          <w:rFonts w:ascii="Times New Roman" w:hAnsi="Times New Roman" w:hint="eastAsia"/>
          <w:lang w:val="en-US" w:eastAsia="zh-CN"/>
          <w:highlight w:val="none"/>
        </w:rPr>
        <w:t>和</w:t>
      </w:r>
      <w:r>
        <w:rPr>
          <w:rFonts w:ascii="Times New Roman" w:hAnsi="Times New Roman"/>
          <w:lang w:val="en-US" w:eastAsia="zh-CN"/>
          <w:highlight w:val="none"/>
        </w:rPr>
        <w:t>验证结果</w:t>
      </w:r>
      <w:r>
        <w:rPr>
          <w:rFonts w:ascii="Times New Roman" w:hAnsi="Times New Roman" w:hint="eastAsia"/>
          <w:lang w:val="en-US" w:eastAsia="zh-CN"/>
          <w:highlight w:val="none"/>
        </w:rPr>
        <w:t>信息。</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应统计风险发生频率、机遇转化率、措施有效率，应分析高风险领域资源配置缺口、机遇错失原因</w:t>
      </w:r>
      <w:r>
        <w:rPr>
          <w:rFonts w:ascii="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应触发高风险项临近到期预警、机遇窗口期提醒、措施未按时完成报警、风险等级升级预警</w:t>
      </w:r>
      <w:r>
        <w:rPr>
          <w:rFonts w:ascii="Times New Roman" w:hAnsi="Times New Roman" w:hint="eastAsia"/>
          <w:lang w:val="en-US" w:eastAsia="zh-CN"/>
          <w:highlight w:val="none"/>
        </w:rPr>
        <w:t>与应急响应</w:t>
      </w:r>
      <w:r>
        <w:rPr>
          <w:rFonts w:ascii="Times New Roman" w:hAnsi="Times New Roman"/>
          <w:lang w:val="en-US" w:eastAsia="zh-CN"/>
          <w:highlight w:val="none"/>
        </w:rPr>
        <w:t>，</w:t>
      </w:r>
      <w:r>
        <w:rPr>
          <w:rFonts w:ascii="Times New Roman" w:hAnsi="Times New Roman" w:hint="eastAsia"/>
          <w:lang w:val="en-US" w:eastAsia="zh-CN"/>
          <w:highlight w:val="none"/>
        </w:rPr>
        <w:t>根据统计分析结果优化风险和机遇管理流程。</w:t>
      </w:r>
    </w:p>
    <w:p>
      <w:pPr>
        <w:numPr>
          <w:ilvl w:val="1"/>
          <w:numId w:val="1"/>
        </w:numPr>
        <w:jc w:val="center"/>
        <w:outlineLvl w:val="1"/>
        <w:rPr>
          <w:rFonts w:ascii="Times New Roman" w:eastAsia="黑体" w:hAnsi="Times New Roman"/>
          <w:b/>
          <w:bCs/>
          <w:sz w:val="28"/>
          <w:szCs w:val="28"/>
          <w:lang w:val="en-US" w:eastAsia="zh-CN"/>
          <w:highlight w:val="none"/>
        </w:rPr>
      </w:pPr>
      <w:bookmarkStart w:id="113" w:name="_Toc197002406"/>
      <w:bookmarkStart w:id="114" w:name="_Toc8538"/>
      <w:r>
        <w:rPr>
          <w:rFonts w:ascii="Times New Roman" w:eastAsia="黑体" w:hAnsi="Times New Roman"/>
          <w:b/>
          <w:bCs/>
          <w:sz w:val="28"/>
          <w:szCs w:val="28"/>
          <w:lang w:val="en-US" w:eastAsia="zh-CN"/>
          <w:highlight w:val="none"/>
        </w:rPr>
        <w:t>改进</w:t>
      </w:r>
      <w:bookmarkEnd w:id="113"/>
      <w:bookmarkEnd w:id="114"/>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应建立和规范改进的申请、审批、跟踪和效果评价的管理流程。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改进事项的主题、问题描述、改进方案、负责人、关键节点计划、实施记录、目标达成率</w:t>
      </w:r>
      <w:r>
        <w:rPr>
          <w:rFonts w:ascii="Times New Roman" w:hAnsi="Times New Roman" w:hint="eastAsia"/>
          <w:lang w:val="en-US" w:eastAsia="zh-CN"/>
          <w:highlight w:val="none"/>
        </w:rPr>
        <w:t>和</w:t>
      </w:r>
      <w:r>
        <w:rPr>
          <w:rFonts w:ascii="Times New Roman" w:hAnsi="Times New Roman"/>
          <w:lang w:val="en-US" w:eastAsia="zh-CN"/>
          <w:highlight w:val="none"/>
        </w:rPr>
        <w:t>受益范围</w:t>
      </w:r>
      <w:r>
        <w:rPr>
          <w:rFonts w:ascii="Times New Roman" w:hAnsi="Times New Roman" w:hint="eastAsia"/>
          <w:lang w:val="en-US" w:eastAsia="zh-CN"/>
          <w:highlight w:val="none"/>
        </w:rPr>
        <w:t>信息。</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应统计改进项目数量、平均实施周期、目标达成率，应分析未达标改进项原因</w:t>
      </w:r>
      <w:r>
        <w:rPr>
          <w:rFonts w:ascii="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应触发改进节点超期预警、资源投入超预算提醒、效果验证未通过预警提醒，</w:t>
      </w:r>
      <w:r>
        <w:rPr>
          <w:rFonts w:ascii="Times New Roman" w:hAnsi="Times New Roman" w:hint="eastAsia"/>
          <w:lang w:val="en-US" w:eastAsia="zh-CN"/>
          <w:highlight w:val="none"/>
        </w:rPr>
        <w:t>根据统计分析结果优化改进管理流程。</w:t>
      </w:r>
    </w:p>
    <w:p>
      <w:pPr>
        <w:numPr>
          <w:ilvl w:val="1"/>
          <w:numId w:val="1"/>
        </w:numPr>
        <w:jc w:val="center"/>
        <w:outlineLvl w:val="1"/>
        <w:rPr>
          <w:rFonts w:ascii="Times New Roman" w:eastAsia="黑体" w:hAnsi="Times New Roman"/>
          <w:b/>
          <w:bCs/>
          <w:sz w:val="28"/>
          <w:szCs w:val="28"/>
          <w:lang w:val="en-US" w:eastAsia="zh-CN"/>
          <w:highlight w:val="none"/>
        </w:rPr>
      </w:pPr>
      <w:bookmarkStart w:id="115" w:name="_Toc1747137615"/>
      <w:bookmarkStart w:id="116" w:name="_Toc8921"/>
      <w:r>
        <w:rPr>
          <w:rFonts w:ascii="Times New Roman" w:eastAsia="黑体" w:hAnsi="Times New Roman"/>
          <w:b/>
          <w:bCs/>
          <w:sz w:val="28"/>
          <w:szCs w:val="28"/>
          <w:lang w:val="en-US" w:eastAsia="zh-CN"/>
          <w:highlight w:val="none"/>
        </w:rPr>
        <w:t>纠正措施</w:t>
      </w:r>
      <w:bookmarkEnd w:id="115"/>
      <w:bookmarkEnd w:id="116"/>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应建立和规范纠正措施的</w:t>
      </w:r>
      <w:r>
        <w:rPr>
          <w:rFonts w:ascii="宋体" w:eastAsia="宋体" w:cs="宋体" w:hAnsi="宋体" w:hint="eastAsia"/>
        </w:rPr>
        <w:t>不符合事实</w:t>
      </w:r>
      <w:r>
        <w:rPr>
          <w:rFonts w:ascii="宋体" w:eastAsia="宋体" w:cs="宋体" w:hAnsi="宋体" w:hint="eastAsia"/>
          <w:lang w:val="en-US" w:eastAsia="zh-CN"/>
        </w:rPr>
        <w:t>录入、</w:t>
      </w:r>
      <w:r>
        <w:rPr>
          <w:rFonts w:ascii="Times New Roman" w:hAnsi="Times New Roman" w:hint="eastAsia"/>
          <w:lang w:val="en-US" w:eastAsia="zh-CN"/>
          <w:highlight w:val="none"/>
        </w:rPr>
        <w:t>不符合评价、原因分析、纠正措施制定、纠正措施实施与跟踪验证的管理流程。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纠正措施的问题描述、根本原因分析结论、纠正措施内容、责任人、完成时限、验证方法</w:t>
      </w:r>
      <w:r>
        <w:rPr>
          <w:rFonts w:ascii="Times New Roman" w:hAnsi="Times New Roman" w:hint="eastAsia"/>
          <w:lang w:val="en-US" w:eastAsia="zh-CN"/>
          <w:highlight w:val="none"/>
        </w:rPr>
        <w:t>和</w:t>
      </w:r>
      <w:r>
        <w:rPr>
          <w:rFonts w:ascii="Times New Roman" w:hAnsi="Times New Roman"/>
          <w:lang w:val="en-US" w:eastAsia="zh-CN"/>
          <w:highlight w:val="none"/>
        </w:rPr>
        <w:t>验证结果</w:t>
      </w:r>
      <w:r>
        <w:rPr>
          <w:rFonts w:ascii="Times New Roman" w:hAnsi="Times New Roman" w:hint="eastAsia"/>
          <w:lang w:val="en-US" w:eastAsia="zh-CN"/>
          <w:highlight w:val="none"/>
        </w:rPr>
        <w:t>信息。</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应统计纠正措施完成率、平均验证周期、措施有效率、重复问题发生率，应分析无效措施共性原因、高频纠正部门的管理短板</w:t>
      </w:r>
      <w:r>
        <w:rPr>
          <w:rFonts w:ascii="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应触发措施超期预警、验证未通过重试提醒、重复问题预警、措施未关闭关联业务锁定，</w:t>
      </w:r>
      <w:r>
        <w:rPr>
          <w:rFonts w:ascii="Times New Roman" w:hAnsi="Times New Roman" w:hint="eastAsia"/>
          <w:lang w:val="en-US" w:eastAsia="zh-CN"/>
          <w:highlight w:val="none"/>
        </w:rPr>
        <w:t>根据统计分析结果优化纠正措施管理流程。</w:t>
      </w:r>
    </w:p>
    <w:p>
      <w:pPr>
        <w:numPr>
          <w:ilvl w:val="1"/>
          <w:numId w:val="1"/>
        </w:numPr>
        <w:jc w:val="center"/>
        <w:outlineLvl w:val="1"/>
        <w:rPr>
          <w:rFonts w:ascii="Times New Roman" w:eastAsia="黑体" w:hAnsi="Times New Roman"/>
          <w:b/>
          <w:bCs/>
          <w:sz w:val="28"/>
          <w:szCs w:val="28"/>
          <w:lang w:val="en-US" w:eastAsia="zh-CN"/>
          <w:highlight w:val="none"/>
        </w:rPr>
      </w:pPr>
      <w:bookmarkStart w:id="117" w:name="_Toc1364"/>
      <w:bookmarkStart w:id="118" w:name="_Toc1597989874"/>
      <w:r>
        <w:rPr>
          <w:rFonts w:ascii="Times New Roman" w:eastAsia="黑体" w:hAnsi="Times New Roman"/>
          <w:b/>
          <w:bCs/>
          <w:sz w:val="28"/>
          <w:szCs w:val="28"/>
          <w:lang w:val="en-US" w:eastAsia="zh-CN"/>
          <w:highlight w:val="none"/>
        </w:rPr>
        <w:t>内部审核</w:t>
      </w:r>
      <w:bookmarkEnd w:id="117"/>
      <w:bookmarkEnd w:id="118"/>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应建立和规范审核计划/方案发布、审核通知、审核检查表制定与发布、审核检查表填写、不符合项确认、纠正措施与跟踪验证、审核报告发布、记录存档的管理流程。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内部审核的审核方案、审核范围、审核人员、计划审核日期、审核检查表、不符合项记录、审核报告</w:t>
      </w:r>
      <w:r>
        <w:rPr>
          <w:rFonts w:ascii="Times New Roman" w:hAnsi="Times New Roman" w:hint="eastAsia"/>
          <w:lang w:val="en-US" w:eastAsia="zh-CN"/>
          <w:highlight w:val="none"/>
        </w:rPr>
        <w:t>和</w:t>
      </w:r>
      <w:r>
        <w:rPr>
          <w:rFonts w:ascii="Times New Roman" w:hAnsi="Times New Roman"/>
          <w:lang w:val="en-US" w:eastAsia="zh-CN"/>
          <w:highlight w:val="none"/>
        </w:rPr>
        <w:t>整改验证结论</w:t>
      </w:r>
      <w:r>
        <w:rPr>
          <w:rFonts w:ascii="Times New Roman" w:hAnsi="Times New Roman" w:hint="eastAsia"/>
          <w:lang w:val="en-US" w:eastAsia="zh-CN"/>
          <w:highlight w:val="none"/>
        </w:rPr>
        <w:t>信息。</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应统计审核覆盖率、不符合项数量、整改完成率</w:t>
      </w:r>
      <w:r>
        <w:rPr>
          <w:rFonts w:ascii="Times New Roman" w:hAnsi="Times New Roman" w:hint="eastAsia"/>
          <w:lang w:val="en-US" w:eastAsia="zh-CN"/>
          <w:highlight w:val="none"/>
        </w:rPr>
        <w:t>和</w:t>
      </w:r>
      <w:r>
        <w:rPr>
          <w:rFonts w:ascii="Times New Roman" w:hAnsi="Times New Roman"/>
          <w:lang w:val="en-US" w:eastAsia="zh-CN"/>
          <w:highlight w:val="none"/>
        </w:rPr>
        <w:t>平均整改周期，分析重复出现不符合项的要素</w:t>
      </w:r>
      <w:r>
        <w:rPr>
          <w:rFonts w:ascii="Times New Roman" w:hAnsi="Times New Roman" w:hint="eastAsia"/>
          <w:lang w:val="en-US" w:eastAsia="zh-CN"/>
          <w:highlight w:val="none"/>
        </w:rPr>
        <w:t>。</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应触发审核计划超期预警、不符合项整改超期锁定、年度审核覆盖率不足提醒、审核证据未上传预警，</w:t>
      </w:r>
      <w:r>
        <w:rPr>
          <w:rFonts w:ascii="Times New Roman" w:hAnsi="Times New Roman" w:hint="eastAsia"/>
          <w:lang w:val="en-US" w:eastAsia="zh-CN"/>
          <w:highlight w:val="none"/>
        </w:rPr>
        <w:t>根据统计分析结果优化内部审核管理流程。</w:t>
      </w:r>
    </w:p>
    <w:p>
      <w:pPr>
        <w:numPr>
          <w:ilvl w:val="1"/>
          <w:numId w:val="1"/>
        </w:numPr>
        <w:jc w:val="center"/>
        <w:outlineLvl w:val="1"/>
        <w:rPr>
          <w:rFonts w:ascii="Times New Roman" w:eastAsia="黑体" w:hAnsi="Times New Roman"/>
          <w:b/>
          <w:bCs/>
          <w:sz w:val="28"/>
          <w:szCs w:val="28"/>
          <w:lang w:val="en-US" w:eastAsia="zh-CN"/>
          <w:highlight w:val="none"/>
        </w:rPr>
      </w:pPr>
      <w:bookmarkStart w:id="119" w:name="_Toc985322936"/>
      <w:bookmarkStart w:id="120" w:name="_Toc17648"/>
      <w:r>
        <w:rPr>
          <w:rFonts w:ascii="Times New Roman" w:eastAsia="黑体" w:hAnsi="Times New Roman"/>
          <w:b/>
          <w:bCs/>
          <w:sz w:val="28"/>
          <w:szCs w:val="28"/>
          <w:lang w:val="en-US" w:eastAsia="zh-CN"/>
          <w:highlight w:val="none"/>
        </w:rPr>
        <w:t>管理评审</w:t>
      </w:r>
      <w:bookmarkEnd w:id="119"/>
      <w:bookmarkEnd w:id="120"/>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应建立和规范管理评审计划制定与发布、管理评审汇报材料上报与审核、评审实施、评审报告、评审决策的实施和记录存档的管理流程。</w:t>
      </w:r>
    </w:p>
    <w:p>
      <w:pPr>
        <w:numPr>
          <w:ilvl w:val="2"/>
          <w:numId w:val="1"/>
        </w:numPr>
        <w:ind w:left="0" w:firstLine="0"/>
        <w:rPr>
          <w:rFonts w:ascii="Times New Roman" w:hAnsi="Times New Roman"/>
          <w:lang w:val="en-US" w:eastAsia="zh-CN"/>
          <w:highlight w:val="none"/>
        </w:rPr>
      </w:pPr>
      <w:r>
        <w:rPr>
          <w:rFonts w:ascii="Times New Roman" w:hAnsi="Times New Roman"/>
          <w:lang w:val="en-US" w:eastAsia="zh-CN"/>
          <w:highlight w:val="none"/>
        </w:rPr>
        <w:t>应</w:t>
      </w:r>
      <w:r>
        <w:rPr>
          <w:rFonts w:ascii="Times New Roman" w:hAnsi="Times New Roman" w:hint="eastAsia"/>
          <w:lang w:val="en-US" w:eastAsia="zh-CN"/>
          <w:highlight w:val="none"/>
        </w:rPr>
        <w:t>采集</w:t>
      </w:r>
      <w:r>
        <w:rPr>
          <w:rFonts w:ascii="Times New Roman" w:hAnsi="Times New Roman"/>
          <w:lang w:val="en-US" w:eastAsia="zh-CN"/>
          <w:highlight w:val="none"/>
        </w:rPr>
        <w:t>管理评审的</w:t>
      </w:r>
      <w:r>
        <w:rPr>
          <w:rFonts w:ascii="Times New Roman" w:hAnsi="Times New Roman" w:hint="eastAsia"/>
          <w:lang w:val="en-US" w:eastAsia="zh-CN"/>
          <w:highlight w:val="none"/>
        </w:rPr>
        <w:t>评审计划、评审汇报材料、评审报告、评审决策和记录存档信息，评审计划信息应包括评审计划、评审时间和评审内容，评审决策信息应包括改进措施、改进期限和改进措施跟踪验证结论。</w:t>
      </w:r>
    </w:p>
    <w:p>
      <w:pPr>
        <w:numPr>
          <w:ilvl w:val="2"/>
          <w:numId w:val="1"/>
        </w:numPr>
        <w:ind w:left="0" w:firstLine="0"/>
        <w:rPr>
          <w:rFonts w:ascii="Times New Roman" w:hAnsi="Times New Roman"/>
          <w:lang w:val="en-US" w:eastAsia="zh-CN"/>
          <w:highlight w:val="none"/>
        </w:rPr>
      </w:pPr>
      <w:r>
        <w:rPr>
          <w:rFonts w:ascii="Times New Roman" w:hAnsi="Times New Roman" w:hint="eastAsia"/>
          <w:lang w:val="en-US" w:eastAsia="zh-CN"/>
          <w:highlight w:val="none"/>
        </w:rPr>
        <w:t>应统计评审计划按时完成率、评审汇报材料完整率、评审决策措施落实率，分析评审计划制定延迟原因、评审决策措施未按期完成主因。</w:t>
      </w:r>
    </w:p>
    <w:p>
      <w:pPr>
        <w:numPr>
          <w:ilvl w:val="2"/>
          <w:numId w:val="1"/>
        </w:numPr>
        <w:ind w:left="0" w:firstLine="0"/>
        <w:rPr>
          <w:rFonts w:ascii="Times New Roman" w:eastAsia="黑体" w:cs="Times New Roman" w:hAnsi="Times New Roman"/>
          <w:b/>
          <w:bCs/>
          <w:color w:val="auto"/>
          <w:sz w:val="28"/>
          <w:szCs w:val="28"/>
          <w:lang w:val="en-US" w:eastAsia="zh-CN"/>
          <w:highlight w:val="none"/>
        </w:rPr>
      </w:pPr>
      <w:r>
        <w:rPr>
          <w:rFonts w:ascii="Times New Roman" w:hAnsi="Times New Roman" w:hint="eastAsia"/>
          <w:lang w:val="en-US" w:eastAsia="zh-CN"/>
          <w:highlight w:val="none"/>
        </w:rPr>
        <w:t>应触发评审计划超期、评审汇报材料缺失、评审决策措施未按期验证、评审实施效率低于基准值的预警，根据统计分析结果优化管理评审的管理流程。</w:t>
      </w:r>
    </w:p>
    <w:p>
      <w:pPr>
        <w:rPr>
          <w:highlight w:val="none"/>
        </w:rPr>
      </w:pPr>
      <w:r>
        <w:rPr>
          <w:highlight w:val="none"/>
        </w:rPr>
        <w:br w:type="page"/>
      </w:r>
    </w:p>
    <w:p>
      <w:pPr>
        <w:pStyle w:val="1"/>
        <w:numPr>
          <w:ilvl w:val="0"/>
          <w:numId w:val="1"/>
        </w:numPr>
        <w:bidi w:val="0"/>
        <w:ind w:left="425" w:hanging="425"/>
        <w:rPr>
          <w:rFonts w:ascii="Times New Roman" w:cs="Times New Roman" w:hAnsi="Times New Roman"/>
          <w:lang w:val="en-US" w:eastAsia="zh-CN"/>
          <w:highlight w:val="none"/>
        </w:rPr>
      </w:pPr>
      <w:bookmarkStart w:id="121" w:name="_Toc1076183335"/>
      <w:bookmarkStart w:id="122" w:name="_Toc15651"/>
      <w:bookmarkEnd w:id="77"/>
      <w:r>
        <w:rPr>
          <w:rFonts w:ascii="Times New Roman" w:eastAsia="黑体" w:hAnsi="Times New Roman" w:hint="eastAsia"/>
          <w:b/>
          <w:bCs/>
          <w:sz w:val="28"/>
          <w:szCs w:val="28"/>
          <w:highlight w:val="none"/>
        </w:rPr>
        <w:t>项目</w:t>
      </w:r>
      <w:r>
        <w:rPr>
          <w:rFonts w:eastAsia="黑体" w:hint="eastAsia"/>
          <w:b/>
          <w:bCs/>
          <w:sz w:val="28"/>
          <w:szCs w:val="28"/>
          <w:lang w:val="en-US" w:eastAsia="zh-CN"/>
          <w:highlight w:val="none"/>
        </w:rPr>
        <w:t>数字化</w:t>
      </w:r>
      <w:r>
        <w:rPr>
          <w:rFonts w:ascii="Times New Roman" w:eastAsia="黑体" w:hAnsi="Times New Roman" w:hint="eastAsia"/>
          <w:b/>
          <w:bCs/>
          <w:sz w:val="28"/>
          <w:szCs w:val="28"/>
          <w:highlight w:val="none"/>
        </w:rPr>
        <w:t>管理</w:t>
      </w:r>
      <w:bookmarkEnd w:id="121"/>
      <w:bookmarkEnd w:id="122"/>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eastAsia="宋体" w:cs="Times New Roman" w:hAnsi="Times New Roman"/>
          <w:lang w:val="en-US" w:eastAsia="zh-CN"/>
          <w:highlight w:val="none"/>
        </w:rPr>
        <w:t>项目数字化管理</w:t>
      </w:r>
      <w:r>
        <w:rPr>
          <w:rFonts w:ascii="Times New Roman" w:cs="Times New Roman" w:hAnsi="Times New Roman" w:hint="eastAsia"/>
          <w:lang w:val="en-US" w:eastAsia="zh-CN"/>
          <w:highlight w:val="none"/>
        </w:rPr>
        <w:t>应包括检测方案</w:t>
      </w:r>
      <w:r>
        <w:rPr>
          <w:rFonts w:ascii="Times New Roman" w:eastAsia="宋体" w:cs="Times New Roman" w:hAnsi="Times New Roman"/>
          <w:lang w:val="en-US" w:eastAsia="zh-CN"/>
          <w:highlight w:val="none"/>
        </w:rPr>
        <w:t>、</w:t>
      </w:r>
      <w:r>
        <w:rPr>
          <w:rFonts w:ascii="Times New Roman" w:cs="Times New Roman" w:hAnsi="Times New Roman" w:hint="eastAsia"/>
          <w:lang w:val="en-US" w:eastAsia="zh-CN"/>
          <w:highlight w:val="none"/>
        </w:rPr>
        <w:t>见证取样、送检、</w:t>
      </w:r>
      <w:r>
        <w:rPr>
          <w:rFonts w:ascii="Times New Roman" w:eastAsia="宋体" w:cs="Times New Roman" w:hAnsi="Times New Roman"/>
          <w:lang w:val="en-US" w:eastAsia="zh-CN"/>
          <w:highlight w:val="none"/>
        </w:rPr>
        <w:t>进度</w:t>
      </w:r>
      <w:r>
        <w:rPr>
          <w:rFonts w:ascii="Times New Roman" w:cs="Times New Roman" w:hAnsi="Times New Roman" w:hint="eastAsia"/>
          <w:lang w:val="en-US" w:eastAsia="zh-CN"/>
          <w:highlight w:val="none"/>
        </w:rPr>
        <w:t>和</w:t>
      </w:r>
      <w:r>
        <w:rPr>
          <w:rFonts w:ascii="Times New Roman" w:eastAsia="宋体" w:cs="Times New Roman" w:hAnsi="Times New Roman"/>
          <w:lang w:val="en-US" w:eastAsia="zh-CN"/>
          <w:highlight w:val="none"/>
        </w:rPr>
        <w:t>相关方</w:t>
      </w:r>
      <w:r>
        <w:rPr>
          <w:rFonts w:ascii="Times New Roman" w:cs="Times New Roman" w:hAnsi="Times New Roman" w:hint="eastAsia"/>
          <w:lang w:val="en-US" w:eastAsia="zh-CN"/>
          <w:highlight w:val="none"/>
        </w:rPr>
        <w:t>的数字化管理，并符合现行国家标准《项目、项目群和项目组合管理项目管理指南》GB/T 37507的有关规定。</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项目数字化管理除应符合本章规定外，尚应符合本标准第4~6章的有关规定。</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检测方案的数字化管理应符合下列规定：</w:t>
      </w:r>
    </w:p>
    <w:p>
      <w:pPr>
        <w:keepNext w:val="0"/>
        <w:keepLines w:val="0"/>
        <w:pageBreakBefore w:val="0"/>
        <w:widowControl w:val="0"/>
        <w:numPr>
          <w:ilvl w:val="0"/>
          <w:numId w:val="33"/>
        </w:numPr>
        <w:kinsoku/>
        <w:wordWrap/>
        <w:overflowPunct/>
        <w:topLinePunct w:val="0"/>
        <w:autoSpaceDE/>
        <w:autoSpaceDN/>
        <w:bidi w:val="0"/>
        <w:adjustRightInd/>
        <w:snapToGrid/>
        <w:spacing w:before="0" w:after="0"/>
        <w:ind w:left="0" w:firstLineChars="200" w:firstLine="480"/>
        <w:textAlignment w:val="auto"/>
        <w:rPr>
          <w:rFonts w:ascii="Times New Roman" w:eastAsia="宋体" w:hAnsi="Times New Roman"/>
          <w:lang w:val="en-US" w:eastAsia="zh-CN"/>
          <w:highlight w:val="none"/>
        </w:rPr>
      </w:pPr>
      <w:r>
        <w:rPr>
          <w:rFonts w:ascii="Times New Roman" w:eastAsia="宋体" w:hAnsi="Times New Roman" w:hint="eastAsia"/>
          <w:lang w:val="en-US" w:eastAsia="zh-CN"/>
          <w:highlight w:val="none"/>
        </w:rPr>
        <w:t>应建立和规范</w:t>
      </w:r>
      <w:r>
        <w:rPr>
          <w:rFonts w:ascii="Times New Roman" w:eastAsia="宋体" w:hAnsi="Times New Roman"/>
          <w:lang w:val="en-US" w:eastAsia="zh-CN"/>
          <w:highlight w:val="none"/>
        </w:rPr>
        <w:t>项目检测方案的编制、审批、变更及归档流程</w:t>
      </w:r>
      <w:r>
        <w:rPr>
          <w:rFonts w:ascii="Times New Roman" w:hAnsi="Times New Roman" w:hint="eastAsia"/>
          <w:lang w:val="en-US" w:eastAsia="zh-CN"/>
          <w:highlight w:val="none"/>
        </w:rPr>
        <w:t>；</w:t>
      </w:r>
    </w:p>
    <w:p>
      <w:pPr>
        <w:keepNext w:val="0"/>
        <w:keepLines w:val="0"/>
        <w:pageBreakBefore w:val="0"/>
        <w:widowControl w:val="0"/>
        <w:numPr>
          <w:ilvl w:val="0"/>
          <w:numId w:val="33"/>
        </w:numPr>
        <w:kinsoku/>
        <w:wordWrap/>
        <w:overflowPunct/>
        <w:topLinePunct w:val="0"/>
        <w:autoSpaceDE/>
        <w:autoSpaceDN/>
        <w:bidi w:val="0"/>
        <w:adjustRightInd/>
        <w:snapToGrid/>
        <w:spacing w:before="0" w:after="0"/>
        <w:ind w:left="0" w:firstLineChars="200" w:firstLine="480"/>
        <w:textAlignment w:val="auto"/>
        <w:rPr>
          <w:rFonts w:ascii="Times New Roman" w:eastAsia="宋体" w:hAnsi="Times New Roman"/>
          <w:lang w:val="en-US" w:eastAsia="zh-CN"/>
          <w:highlight w:val="none"/>
        </w:rPr>
      </w:pPr>
      <w:r>
        <w:rPr>
          <w:rFonts w:ascii="Times New Roman" w:eastAsia="宋体" w:hAnsi="Times New Roman"/>
          <w:lang w:val="en-US" w:eastAsia="zh-CN"/>
          <w:highlight w:val="none"/>
        </w:rPr>
        <w:t>应</w:t>
      </w:r>
      <w:r>
        <w:rPr>
          <w:rFonts w:ascii="Times New Roman" w:hAnsi="Times New Roman" w:hint="eastAsia"/>
          <w:lang w:val="en-US" w:eastAsia="zh-CN"/>
          <w:highlight w:val="none"/>
        </w:rPr>
        <w:t>采集</w:t>
      </w:r>
      <w:r>
        <w:rPr>
          <w:rFonts w:ascii="Times New Roman" w:eastAsia="宋体" w:hAnsi="Times New Roman"/>
          <w:lang w:val="en-US" w:eastAsia="zh-CN"/>
          <w:highlight w:val="none"/>
        </w:rPr>
        <w:t>检测方案的基本信息，包括项目名称、检测类型、设计图、检测数量、编制人、审批人及变更记录</w:t>
      </w:r>
      <w:r>
        <w:rPr>
          <w:rFonts w:ascii="Times New Roman" w:hAnsi="Times New Roman" w:hint="eastAsia"/>
          <w:lang w:val="en-US" w:eastAsia="zh-CN"/>
          <w:highlight w:val="none"/>
        </w:rPr>
        <w:t>；</w:t>
      </w:r>
    </w:p>
    <w:p>
      <w:pPr>
        <w:keepNext w:val="0"/>
        <w:keepLines w:val="0"/>
        <w:pageBreakBefore w:val="0"/>
        <w:widowControl w:val="0"/>
        <w:numPr>
          <w:ilvl w:val="0"/>
          <w:numId w:val="33"/>
        </w:numPr>
        <w:kinsoku/>
        <w:wordWrap/>
        <w:overflowPunct/>
        <w:topLinePunct w:val="0"/>
        <w:autoSpaceDE/>
        <w:autoSpaceDN/>
        <w:bidi w:val="0"/>
        <w:adjustRightInd/>
        <w:snapToGrid/>
        <w:spacing w:before="0" w:after="0"/>
        <w:ind w:left="0" w:firstLineChars="200" w:firstLine="480"/>
        <w:textAlignment w:val="auto"/>
        <w:rPr>
          <w:rFonts w:ascii="Times New Roman" w:eastAsia="宋体" w:hAnsi="Times New Roman"/>
          <w:lang w:val="en-US" w:eastAsia="zh-CN"/>
          <w:highlight w:val="none"/>
        </w:rPr>
      </w:pPr>
      <w:r>
        <w:rPr>
          <w:rFonts w:ascii="Times New Roman" w:eastAsia="宋体" w:hAnsi="Times New Roman"/>
          <w:lang w:val="en-US" w:eastAsia="zh-CN"/>
          <w:highlight w:val="none"/>
        </w:rPr>
        <w:t>应统计方案编制模板复用率、审批周期达标率，分析方案编制常见错误类型及变更原因分布</w:t>
      </w:r>
      <w:r>
        <w:rPr>
          <w:rFonts w:ascii="Times New Roman" w:hAnsi="Times New Roman" w:hint="eastAsia"/>
          <w:lang w:val="en-US" w:eastAsia="zh-CN"/>
          <w:highlight w:val="none"/>
        </w:rPr>
        <w:t>；</w:t>
      </w:r>
    </w:p>
    <w:p>
      <w:pPr>
        <w:keepNext w:val="0"/>
        <w:keepLines w:val="0"/>
        <w:pageBreakBefore w:val="0"/>
        <w:widowControl w:val="0"/>
        <w:numPr>
          <w:ilvl w:val="0"/>
          <w:numId w:val="33"/>
        </w:numPr>
        <w:kinsoku/>
        <w:wordWrap/>
        <w:overflowPunct/>
        <w:topLinePunct w:val="0"/>
        <w:autoSpaceDE/>
        <w:autoSpaceDN/>
        <w:bidi w:val="0"/>
        <w:adjustRightInd/>
        <w:snapToGrid/>
        <w:spacing w:before="0" w:after="0"/>
        <w:ind w:left="0" w:firstLineChars="200" w:firstLine="480"/>
        <w:textAlignment w:val="auto"/>
        <w:rPr>
          <w:rFonts w:ascii="Times New Roman" w:eastAsia="宋体" w:hAnsi="Times New Roman"/>
          <w:lang w:val="en-US" w:eastAsia="zh-CN"/>
          <w:highlight w:val="none"/>
        </w:rPr>
      </w:pPr>
      <w:r>
        <w:rPr>
          <w:rFonts w:ascii="Times New Roman" w:eastAsia="宋体" w:hAnsi="Times New Roman"/>
          <w:lang w:val="en-US" w:eastAsia="zh-CN"/>
          <w:highlight w:val="none"/>
        </w:rPr>
        <w:t>应</w:t>
      </w:r>
      <w:r>
        <w:rPr>
          <w:rFonts w:ascii="Times New Roman" w:eastAsia="宋体" w:hAnsi="Times New Roman" w:hint="eastAsia"/>
          <w:lang w:val="en-US" w:eastAsia="zh-CN"/>
          <w:highlight w:val="none"/>
        </w:rPr>
        <w:t>触发</w:t>
      </w:r>
      <w:r>
        <w:rPr>
          <w:rFonts w:ascii="Times New Roman" w:eastAsia="宋体" w:hAnsi="Times New Roman"/>
          <w:lang w:val="en-US" w:eastAsia="zh-CN"/>
          <w:highlight w:val="none"/>
        </w:rPr>
        <w:t>方案审批超期</w:t>
      </w:r>
      <w:r>
        <w:rPr>
          <w:rFonts w:ascii="Times New Roman" w:eastAsia="宋体" w:hAnsi="Times New Roman" w:hint="eastAsia"/>
          <w:lang w:val="en-US" w:eastAsia="zh-CN"/>
          <w:highlight w:val="none"/>
        </w:rPr>
        <w:t>预警</w:t>
      </w:r>
      <w:r>
        <w:rPr>
          <w:rFonts w:ascii="Times New Roman" w:eastAsia="宋体" w:hAnsi="Times New Roman"/>
          <w:lang w:val="en-US" w:eastAsia="zh-CN"/>
          <w:highlight w:val="none"/>
        </w:rPr>
        <w:t>、模板版本过低等异常情况，根据统计结果优化方案模板，对连续3次出现同类错误的编制人员推送专项培训。</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见证取样的数字化管理应符合下列规定：</w:t>
      </w:r>
    </w:p>
    <w:p>
      <w:pPr>
        <w:keepNext w:val="0"/>
        <w:keepLines w:val="0"/>
        <w:widowControl w:val="0"/>
        <w:numPr>
          <w:ilvl w:val="0"/>
          <w:numId w:val="34"/>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Times New Roman" w:cs="Times New Roman" w:hAnsi="Times New Roman" w:hint="eastAsia"/>
          <w:kern w:val="2"/>
          <w:sz w:val="24"/>
          <w:szCs w:val="24"/>
          <w:lang w:val="en-US" w:eastAsia="zh-CN"/>
        </w:rPr>
        <w:t>应</w:t>
      </w:r>
      <w:r>
        <w:rPr>
          <w:rFonts w:ascii="Times New Roman" w:eastAsia="宋体" w:hAnsi="Times New Roman" w:hint="eastAsia"/>
          <w:lang w:val="en-US" w:eastAsia="zh-CN"/>
          <w:highlight w:val="none"/>
        </w:rPr>
        <w:t>建立和</w:t>
      </w:r>
      <w:r>
        <w:rPr>
          <w:rFonts w:ascii="Times New Roman" w:cs="Times New Roman" w:hAnsi="Times New Roman" w:hint="eastAsia"/>
          <w:kern w:val="2"/>
          <w:sz w:val="24"/>
          <w:szCs w:val="24"/>
          <w:lang w:val="en-US" w:eastAsia="zh-CN"/>
        </w:rPr>
        <w:t>规范</w:t>
      </w:r>
      <w:r>
        <w:rPr>
          <w:rFonts w:ascii="Times New Roman" w:eastAsia="宋体" w:cs="Times New Roman" w:hAnsi="Times New Roman" w:hint="eastAsia"/>
          <w:lang w:val="en-US" w:eastAsia="zh-CN"/>
          <w:highlight w:val="none"/>
        </w:rPr>
        <w:t>见证取样的</w:t>
      </w:r>
      <w:r>
        <w:rPr>
          <w:rFonts w:ascii="Times New Roman" w:cs="Times New Roman" w:hAnsi="Times New Roman" w:hint="eastAsia"/>
          <w:lang w:val="en-US" w:eastAsia="zh-CN"/>
          <w:highlight w:val="none"/>
        </w:rPr>
        <w:t>委托、任务下达和取样过程的管理流程；</w:t>
      </w:r>
    </w:p>
    <w:p>
      <w:pPr>
        <w:keepNext w:val="0"/>
        <w:keepLines w:val="0"/>
        <w:widowControl w:val="0"/>
        <w:numPr>
          <w:ilvl w:val="0"/>
          <w:numId w:val="34"/>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采集</w:t>
      </w:r>
      <w:r>
        <w:rPr>
          <w:rFonts w:ascii="宋体" w:eastAsia="宋体" w:cs="宋体" w:hAnsi="宋体" w:hint="eastAsia"/>
          <w:kern w:val="2"/>
          <w:sz w:val="24"/>
          <w:szCs w:val="24"/>
          <w:lang w:val="en-US" w:eastAsia="zh-CN"/>
        </w:rPr>
        <w:t>见证取样人员的基本信息、培训记录与见证记录，基本信息应包括姓名、见证证书编号、联系方式与工作单位，培训记录应包括培训名称、培训时间、培训评价与培训有效期，见证记录应包括工程名称、取样</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检测部位、样品</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检测对象名称、取样</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检测地点、取样</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检测数量、见证时间与见证记录</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结论，宜包括见证过程</w:t>
      </w:r>
      <w:r>
        <w:rPr>
          <w:rFonts w:ascii="Times New Roman" w:eastAsia="宋体" w:cs="Times New Roman" w:hAnsi="Times New Roman"/>
          <w:kern w:val="2"/>
          <w:sz w:val="24"/>
          <w:szCs w:val="24"/>
          <w:lang w:val="en-US" w:eastAsia="zh-CN"/>
        </w:rPr>
        <w:t>GPS</w:t>
      </w:r>
      <w:r>
        <w:rPr>
          <w:rFonts w:ascii="宋体" w:eastAsia="宋体" w:cs="宋体" w:hAnsi="宋体" w:hint="eastAsia"/>
          <w:kern w:val="2"/>
          <w:sz w:val="24"/>
          <w:szCs w:val="24"/>
          <w:lang w:val="en-US" w:eastAsia="zh-CN"/>
        </w:rPr>
        <w:t>轨迹数据与见证视频。</w:t>
      </w:r>
    </w:p>
    <w:p>
      <w:pPr>
        <w:keepNext w:val="0"/>
        <w:keepLines w:val="0"/>
        <w:widowControl w:val="0"/>
        <w:numPr>
          <w:ilvl w:val="0"/>
          <w:numId w:val="34"/>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应评估见证记录的质量与合规性，应包括统计见证记录信息完整率、对比见证记录</w:t>
      </w:r>
      <w:r>
        <w:rPr>
          <w:rFonts w:ascii="Times New Roman" w:eastAsia="宋体" w:cs="Times New Roman" w:hAnsi="Times New Roman"/>
          <w:kern w:val="2"/>
          <w:sz w:val="24"/>
          <w:szCs w:val="24"/>
          <w:lang w:val="en-US" w:eastAsia="zh-CN"/>
        </w:rPr>
        <w:t>/</w:t>
      </w:r>
      <w:r>
        <w:rPr>
          <w:rFonts w:ascii="宋体" w:eastAsia="宋体" w:cs="宋体" w:hAnsi="宋体" w:hint="eastAsia"/>
          <w:kern w:val="2"/>
          <w:sz w:val="24"/>
          <w:szCs w:val="24"/>
          <w:lang w:val="en-US" w:eastAsia="zh-CN"/>
        </w:rPr>
        <w:t>结论与见证视频，宜包括采用时空数据比对技术识别见证时间、见证地点与</w:t>
      </w:r>
      <w:r>
        <w:rPr>
          <w:rFonts w:ascii="Times New Roman" w:eastAsia="宋体" w:cs="Times New Roman" w:hAnsi="Times New Roman"/>
          <w:kern w:val="2"/>
          <w:sz w:val="24"/>
          <w:szCs w:val="24"/>
          <w:lang w:val="en-US" w:eastAsia="zh-CN"/>
        </w:rPr>
        <w:t>GPS</w:t>
      </w:r>
      <w:r>
        <w:rPr>
          <w:rFonts w:ascii="宋体" w:eastAsia="宋体" w:cs="宋体" w:hAnsi="宋体" w:hint="eastAsia"/>
          <w:kern w:val="2"/>
          <w:sz w:val="24"/>
          <w:szCs w:val="24"/>
          <w:lang w:val="en-US" w:eastAsia="zh-CN"/>
        </w:rPr>
        <w:t>轨迹数据不相符情况；</w:t>
      </w:r>
    </w:p>
    <w:p>
      <w:pPr>
        <w:keepNext w:val="0"/>
        <w:keepLines w:val="0"/>
        <w:widowControl w:val="0"/>
        <w:numPr>
          <w:ilvl w:val="0"/>
          <w:numId w:val="34"/>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应建立见证预警机制，对</w:t>
      </w:r>
      <w:r>
        <w:rPr>
          <w:rFonts w:ascii="宋体" w:cs="宋体" w:hAnsi="宋体" w:hint="eastAsia"/>
          <w:kern w:val="2"/>
          <w:sz w:val="24"/>
          <w:szCs w:val="24"/>
          <w:lang w:val="en-US" w:eastAsia="zh-CN"/>
        </w:rPr>
        <w:t>触发</w:t>
      </w:r>
      <w:r>
        <w:rPr>
          <w:rFonts w:ascii="宋体" w:eastAsia="宋体" w:cs="宋体" w:hAnsi="宋体" w:hint="eastAsia"/>
          <w:kern w:val="2"/>
          <w:sz w:val="24"/>
          <w:szCs w:val="24"/>
          <w:lang w:val="en-US" w:eastAsia="zh-CN"/>
        </w:rPr>
        <w:t>见证记录质量与合规性不满足要求、超期未复训人员</w:t>
      </w:r>
      <w:r>
        <w:rPr>
          <w:rFonts w:ascii="宋体" w:cs="宋体" w:hAnsi="宋体" w:hint="eastAsia"/>
          <w:kern w:val="2"/>
          <w:sz w:val="24"/>
          <w:szCs w:val="24"/>
          <w:lang w:val="en-US" w:eastAsia="zh-CN"/>
        </w:rPr>
        <w:t>的</w:t>
      </w:r>
      <w:r>
        <w:rPr>
          <w:rFonts w:ascii="宋体" w:eastAsia="宋体" w:cs="宋体" w:hAnsi="宋体" w:hint="eastAsia"/>
          <w:kern w:val="2"/>
          <w:sz w:val="24"/>
          <w:szCs w:val="24"/>
          <w:lang w:val="en-US" w:eastAsia="zh-CN"/>
        </w:rPr>
        <w:t>提醒。</w:t>
      </w:r>
    </w:p>
    <w:p>
      <w:pPr>
        <w:tabs>
          <w:tab w:val="left" w:pos="0"/>
        </w:tabs>
        <w:rPr>
          <w:rFonts w:ascii="Times New Roman" w:eastAsia="宋体" w:cs="Times New Roman" w:hAnsi="Times New Roman" w:hint="eastAsia"/>
          <w:kern w:val="2"/>
          <w:sz w:val="24"/>
          <w:szCs w:val="24"/>
        </w:rPr>
      </w:pPr>
      <w:r>
        <w:rPr>
          <w:rFonts w:ascii="Times New Roman" w:hAnsi="Times New Roman"/>
          <w:shd w:val="clear" w:color="FFFFFF" w:fill="D9D9D9"/>
          <w:highlight w:val="none"/>
        </w:rPr>
        <w:t>【条文说明】</w:t>
      </w:r>
      <w:r>
        <w:rPr>
          <w:rFonts w:ascii="Times New Roman" w:hAnsi="Times New Roman" w:hint="eastAsia"/>
          <w:shd w:val="clear" w:color="FFFFFF" w:fill="D9D9D9"/>
          <w:highlight w:val="none"/>
        </w:rPr>
        <w:t>见证人员、取样人员和送检人员的数字化管理</w:t>
      </w:r>
      <w:r>
        <w:rPr>
          <w:rFonts w:ascii="Times New Roman" w:hAnsi="Times New Roman"/>
          <w:color w:val="auto"/>
          <w:shd w:val="clear" w:color="FFFFFF" w:fill="D9D9D9"/>
          <w:highlight w:val="none"/>
        </w:rPr>
        <w:t>，可实现人员信息的统一管控与高效查询</w:t>
      </w:r>
      <w:r>
        <w:rPr>
          <w:rFonts w:ascii="Times New Roman" w:hAnsi="Times New Roman" w:hint="eastAsia"/>
          <w:color w:val="auto"/>
          <w:shd w:val="clear" w:color="FFFFFF" w:fill="D9D9D9"/>
          <w:lang w:eastAsia="zh-CN"/>
          <w:highlight w:val="none"/>
        </w:rPr>
        <w:t>，</w:t>
      </w:r>
      <w:r>
        <w:rPr>
          <w:rFonts w:ascii="Times New Roman" w:hAnsi="Times New Roman"/>
          <w:color w:val="auto"/>
          <w:shd w:val="clear" w:color="FFFFFF" w:fill="D9D9D9"/>
          <w:highlight w:val="none"/>
        </w:rPr>
        <w:t>确保人员能力持续符合要求，强化了见证过程的规范性和可追溯性，有助于防范</w:t>
      </w:r>
      <w:r>
        <w:rPr>
          <w:rFonts w:ascii="Times New Roman" w:hAnsi="Times New Roman" w:hint="eastAsia"/>
          <w:color w:val="auto"/>
          <w:shd w:val="clear" w:color="FFFFFF" w:fill="D9D9D9"/>
          <w:lang w:val="en-US" w:eastAsia="zh-CN"/>
          <w:highlight w:val="none"/>
        </w:rPr>
        <w:t>见证与取送样过程</w:t>
      </w:r>
      <w:r>
        <w:rPr>
          <w:rFonts w:ascii="Times New Roman" w:hAnsi="Times New Roman"/>
          <w:color w:val="auto"/>
          <w:shd w:val="clear" w:color="FFFFFF" w:fill="D9D9D9"/>
          <w:highlight w:val="none"/>
        </w:rPr>
        <w:t>中的违规行为。</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cs="Times New Roman" w:hAnsi="Times New Roman" w:hint="eastAsia"/>
          <w:lang w:val="en-US" w:eastAsia="zh-CN"/>
          <w:highlight w:val="none"/>
        </w:rPr>
        <w:t>送检的数字化管理应符合下列规定：</w:t>
      </w:r>
    </w:p>
    <w:p>
      <w:pPr>
        <w:keepNext w:val="0"/>
        <w:keepLines w:val="0"/>
        <w:widowControl w:val="0"/>
        <w:numPr>
          <w:ilvl w:val="0"/>
          <w:numId w:val="35"/>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应建立和规范</w:t>
      </w:r>
      <w:r>
        <w:rPr>
          <w:rFonts w:ascii="宋体" w:cs="宋体" w:hAnsi="宋体" w:hint="eastAsia"/>
          <w:kern w:val="2"/>
          <w:sz w:val="24"/>
          <w:szCs w:val="24"/>
          <w:lang w:val="en-US" w:eastAsia="zh-CN"/>
        </w:rPr>
        <w:t>送检</w:t>
      </w:r>
      <w:r>
        <w:rPr>
          <w:rFonts w:ascii="宋体" w:eastAsia="宋体" w:cs="宋体" w:hAnsi="宋体" w:hint="eastAsia"/>
          <w:kern w:val="2"/>
          <w:sz w:val="24"/>
          <w:szCs w:val="24"/>
          <w:lang w:val="en-US" w:eastAsia="zh-CN"/>
        </w:rPr>
        <w:t>的管理流程；</w:t>
      </w:r>
    </w:p>
    <w:p>
      <w:pPr>
        <w:keepNext w:val="0"/>
        <w:keepLines w:val="0"/>
        <w:widowControl w:val="0"/>
        <w:numPr>
          <w:ilvl w:val="0"/>
          <w:numId w:val="35"/>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采集</w:t>
      </w:r>
      <w:r>
        <w:rPr>
          <w:rFonts w:ascii="宋体" w:eastAsia="宋体" w:cs="宋体" w:hAnsi="宋体" w:hint="eastAsia"/>
          <w:kern w:val="2"/>
          <w:sz w:val="24"/>
          <w:szCs w:val="24"/>
          <w:lang w:val="en-US" w:eastAsia="zh-CN"/>
        </w:rPr>
        <w:t>送检人员的基本信息与送检过程数据，基本信息包括姓名、工作单位、联系方式、岗位职责及生物特征，送检过程数据应记录取样地点、含</w:t>
      </w:r>
      <w:r>
        <w:rPr>
          <w:rFonts w:ascii="Times New Roman" w:eastAsia="宋体" w:cs="Times New Roman" w:hAnsi="Times New Roman"/>
          <w:kern w:val="2"/>
          <w:sz w:val="24"/>
          <w:szCs w:val="24"/>
          <w:lang w:val="en-US" w:eastAsia="zh-CN"/>
        </w:rPr>
        <w:t>GPS</w:t>
      </w:r>
      <w:r>
        <w:rPr>
          <w:rFonts w:ascii="宋体" w:eastAsia="宋体" w:cs="宋体" w:hAnsi="宋体" w:hint="eastAsia"/>
          <w:kern w:val="2"/>
          <w:sz w:val="24"/>
          <w:szCs w:val="24"/>
          <w:lang w:val="en-US" w:eastAsia="zh-CN"/>
        </w:rPr>
        <w:t>定位与时间戳的送检路线轨迹、试样编号、试样状态、试样封志、收样人、收样时间、收样影像及异常情况说明；</w:t>
      </w:r>
    </w:p>
    <w:p>
      <w:pPr>
        <w:keepNext w:val="0"/>
        <w:keepLines w:val="0"/>
        <w:widowControl w:val="0"/>
        <w:numPr>
          <w:ilvl w:val="0"/>
          <w:numId w:val="35"/>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记录送检人员异常情况台账，并统计异常送检率，异常情况应包括样品损坏、样品数量不足、样品标识不清、送检超时、轨迹异常、封志破损和信息记录不全等，宜通过时空数据比对技术识别送检超时与轨迹异常情况；</w:t>
      </w:r>
    </w:p>
    <w:p>
      <w:pPr>
        <w:keepNext w:val="0"/>
        <w:keepLines w:val="0"/>
        <w:widowControl w:val="0"/>
        <w:numPr>
          <w:ilvl w:val="0"/>
          <w:numId w:val="35"/>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hint="eastAsia"/>
          <w:kern w:val="2"/>
          <w:sz w:val="24"/>
          <w:szCs w:val="24"/>
        </w:rPr>
      </w:pPr>
      <w:r>
        <w:rPr>
          <w:rFonts w:ascii="宋体" w:eastAsia="宋体" w:cs="宋体" w:hAnsi="宋体" w:hint="eastAsia"/>
          <w:kern w:val="2"/>
          <w:sz w:val="24"/>
          <w:szCs w:val="24"/>
          <w:lang w:val="en-US" w:eastAsia="zh-CN"/>
        </w:rPr>
        <w:t>应对异常送检率超阈值的送检人员暂停送检权限。</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cs="Times New Roman" w:hAnsi="Times New Roman" w:hint="eastAsia"/>
          <w:lang w:val="en-US" w:eastAsia="zh-CN"/>
          <w:highlight w:val="none"/>
        </w:rPr>
        <w:t>进度的数字化管理应符合下列规定：</w:t>
      </w:r>
    </w:p>
    <w:p>
      <w:pPr>
        <w:keepNext w:val="0"/>
        <w:keepLines w:val="0"/>
        <w:widowControl w:val="0"/>
        <w:numPr>
          <w:ilvl w:val="0"/>
          <w:numId w:val="36"/>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hint="eastAsia"/>
          <w:kern w:val="2"/>
          <w:sz w:val="24"/>
          <w:szCs w:val="24"/>
          <w:lang w:val="en-US" w:eastAsia="zh-CN"/>
        </w:rPr>
        <w:t>应建立和规范进度计划制订与进度计划控制的管理流程</w:t>
      </w:r>
      <w:r>
        <w:rPr>
          <w:rFonts w:ascii="宋体" w:cs="宋体" w:hAnsi="宋体" w:hint="eastAsia"/>
          <w:kern w:val="2"/>
          <w:sz w:val="24"/>
          <w:szCs w:val="24"/>
          <w:lang w:val="en-US" w:eastAsia="zh-CN"/>
        </w:rPr>
        <w:t>；</w:t>
      </w:r>
    </w:p>
    <w:p>
      <w:pPr>
        <w:keepNext w:val="0"/>
        <w:keepLines w:val="0"/>
        <w:widowControl w:val="0"/>
        <w:numPr>
          <w:ilvl w:val="0"/>
          <w:numId w:val="36"/>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kern w:val="2"/>
          <w:sz w:val="24"/>
          <w:szCs w:val="24"/>
          <w:lang w:val="en-US" w:eastAsia="zh-CN"/>
        </w:rPr>
        <w:t>应</w:t>
      </w:r>
      <w:r>
        <w:rPr>
          <w:rFonts w:ascii="宋体" w:cs="宋体" w:hAnsi="宋体" w:hint="eastAsia"/>
          <w:kern w:val="2"/>
          <w:sz w:val="24"/>
          <w:szCs w:val="24"/>
          <w:lang w:val="en-US" w:eastAsia="zh-CN"/>
        </w:rPr>
        <w:t>采集</w:t>
      </w:r>
      <w:r>
        <w:rPr>
          <w:rFonts w:ascii="宋体" w:eastAsia="宋体" w:cs="宋体" w:hAnsi="宋体"/>
          <w:kern w:val="2"/>
          <w:sz w:val="24"/>
          <w:szCs w:val="24"/>
          <w:lang w:val="en-US" w:eastAsia="zh-CN"/>
        </w:rPr>
        <w:t>进度管理数据，包括计划开始</w:t>
      </w:r>
      <w:r>
        <w:rPr>
          <w:rFonts w:ascii="宋体" w:eastAsia="宋体" w:cs="宋体" w:hAnsi="宋体" w:hint="eastAsia"/>
          <w:kern w:val="2"/>
          <w:sz w:val="24"/>
          <w:szCs w:val="24"/>
          <w:lang w:val="en-US" w:eastAsia="zh-CN"/>
        </w:rPr>
        <w:t>时间、计划</w:t>
      </w:r>
      <w:r>
        <w:rPr>
          <w:rFonts w:ascii="宋体" w:eastAsia="宋体" w:cs="宋体" w:hAnsi="宋体"/>
          <w:kern w:val="2"/>
          <w:sz w:val="24"/>
          <w:szCs w:val="24"/>
          <w:lang w:val="en-US" w:eastAsia="zh-CN"/>
        </w:rPr>
        <w:t>结束时间、</w:t>
      </w:r>
      <w:r>
        <w:rPr>
          <w:rFonts w:ascii="宋体" w:eastAsia="宋体" w:cs="宋体" w:hAnsi="宋体" w:hint="eastAsia"/>
          <w:kern w:val="2"/>
          <w:sz w:val="24"/>
          <w:szCs w:val="24"/>
          <w:lang w:val="en-US" w:eastAsia="zh-CN"/>
        </w:rPr>
        <w:t>计划节点完成时间、</w:t>
      </w:r>
      <w:r>
        <w:rPr>
          <w:rFonts w:ascii="宋体" w:eastAsia="宋体" w:cs="宋体" w:hAnsi="宋体"/>
          <w:kern w:val="2"/>
          <w:sz w:val="24"/>
          <w:szCs w:val="24"/>
          <w:lang w:val="en-US" w:eastAsia="zh-CN"/>
        </w:rPr>
        <w:t>实际节点</w:t>
      </w:r>
      <w:r>
        <w:rPr>
          <w:rFonts w:ascii="宋体" w:eastAsia="宋体" w:cs="宋体" w:hAnsi="宋体" w:hint="eastAsia"/>
          <w:kern w:val="2"/>
          <w:sz w:val="24"/>
          <w:szCs w:val="24"/>
          <w:lang w:val="en-US" w:eastAsia="zh-CN"/>
        </w:rPr>
        <w:t>完成时间</w:t>
      </w:r>
      <w:r>
        <w:rPr>
          <w:rFonts w:ascii="宋体" w:eastAsia="宋体" w:cs="宋体" w:hAnsi="宋体"/>
          <w:kern w:val="2"/>
          <w:sz w:val="24"/>
          <w:szCs w:val="24"/>
          <w:lang w:val="en-US" w:eastAsia="zh-CN"/>
        </w:rPr>
        <w:t>、延期原因</w:t>
      </w:r>
      <w:r>
        <w:rPr>
          <w:rFonts w:ascii="宋体" w:eastAsia="宋体" w:cs="宋体" w:hAnsi="宋体" w:hint="eastAsia"/>
          <w:kern w:val="2"/>
          <w:sz w:val="24"/>
          <w:szCs w:val="24"/>
          <w:lang w:val="en-US" w:eastAsia="zh-CN"/>
        </w:rPr>
        <w:t>类型、项目负责</w:t>
      </w:r>
      <w:r>
        <w:rPr>
          <w:rFonts w:ascii="宋体" w:eastAsia="宋体" w:cs="宋体" w:hAnsi="宋体"/>
          <w:kern w:val="2"/>
          <w:sz w:val="24"/>
          <w:szCs w:val="24"/>
          <w:lang w:val="en-US" w:eastAsia="zh-CN"/>
        </w:rPr>
        <w:t>人</w:t>
      </w:r>
      <w:r>
        <w:rPr>
          <w:rFonts w:ascii="宋体" w:eastAsia="宋体" w:cs="宋体" w:hAnsi="宋体" w:hint="eastAsia"/>
          <w:kern w:val="2"/>
          <w:sz w:val="24"/>
          <w:szCs w:val="24"/>
          <w:lang w:val="en-US" w:eastAsia="zh-CN"/>
        </w:rPr>
        <w:t>和项目负责部门</w:t>
      </w:r>
      <w:r>
        <w:rPr>
          <w:rFonts w:ascii="宋体" w:cs="宋体" w:hAnsi="宋体" w:hint="eastAsia"/>
          <w:kern w:val="2"/>
          <w:sz w:val="24"/>
          <w:szCs w:val="24"/>
          <w:lang w:val="en-US" w:eastAsia="zh-CN"/>
        </w:rPr>
        <w:t>；</w:t>
      </w:r>
    </w:p>
    <w:p>
      <w:pPr>
        <w:keepNext w:val="0"/>
        <w:keepLines w:val="0"/>
        <w:widowControl w:val="0"/>
        <w:numPr>
          <w:ilvl w:val="0"/>
          <w:numId w:val="36"/>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kern w:val="2"/>
          <w:sz w:val="24"/>
          <w:szCs w:val="24"/>
          <w:lang w:val="en-US" w:eastAsia="zh-CN"/>
        </w:rPr>
        <w:t>应统计</w:t>
      </w:r>
      <w:r>
        <w:rPr>
          <w:rFonts w:ascii="宋体" w:eastAsia="宋体" w:cs="宋体" w:hAnsi="宋体" w:hint="eastAsia"/>
          <w:kern w:val="2"/>
          <w:sz w:val="24"/>
          <w:szCs w:val="24"/>
          <w:lang w:val="en-US" w:eastAsia="zh-CN"/>
        </w:rPr>
        <w:t>总</w:t>
      </w:r>
      <w:r>
        <w:rPr>
          <w:rFonts w:ascii="宋体" w:eastAsia="宋体" w:cs="宋体" w:hAnsi="宋体"/>
          <w:kern w:val="2"/>
          <w:sz w:val="24"/>
          <w:szCs w:val="24"/>
          <w:lang w:val="en-US" w:eastAsia="zh-CN"/>
        </w:rPr>
        <w:t>时长</w:t>
      </w:r>
      <w:r>
        <w:rPr>
          <w:rFonts w:ascii="宋体" w:eastAsia="宋体" w:cs="宋体" w:hAnsi="宋体" w:hint="eastAsia"/>
          <w:kern w:val="2"/>
          <w:sz w:val="24"/>
          <w:szCs w:val="24"/>
          <w:lang w:val="en-US" w:eastAsia="zh-CN"/>
        </w:rPr>
        <w:t>偏差、所有</w:t>
      </w:r>
      <w:r>
        <w:rPr>
          <w:rFonts w:ascii="宋体" w:eastAsia="宋体" w:cs="宋体" w:hAnsi="宋体"/>
          <w:kern w:val="2"/>
          <w:sz w:val="24"/>
          <w:szCs w:val="24"/>
          <w:lang w:val="en-US" w:eastAsia="zh-CN"/>
        </w:rPr>
        <w:t>节点</w:t>
      </w:r>
      <w:r>
        <w:rPr>
          <w:rFonts w:ascii="宋体" w:eastAsia="宋体" w:cs="宋体" w:hAnsi="宋体" w:hint="eastAsia"/>
          <w:kern w:val="2"/>
          <w:sz w:val="24"/>
          <w:szCs w:val="24"/>
          <w:lang w:val="en-US" w:eastAsia="zh-CN"/>
        </w:rPr>
        <w:t>时长偏差和</w:t>
      </w:r>
      <w:r>
        <w:rPr>
          <w:rFonts w:ascii="宋体" w:eastAsia="宋体" w:cs="宋体" w:hAnsi="宋体"/>
          <w:kern w:val="2"/>
          <w:sz w:val="24"/>
          <w:szCs w:val="24"/>
          <w:lang w:val="en-US" w:eastAsia="zh-CN"/>
        </w:rPr>
        <w:t>延期</w:t>
      </w:r>
      <w:r>
        <w:rPr>
          <w:rFonts w:ascii="宋体" w:eastAsia="宋体" w:cs="宋体" w:hAnsi="宋体" w:hint="eastAsia"/>
          <w:kern w:val="2"/>
          <w:sz w:val="24"/>
          <w:szCs w:val="24"/>
          <w:lang w:val="en-US" w:eastAsia="zh-CN"/>
        </w:rPr>
        <w:t>原因类型分布</w:t>
      </w:r>
      <w:r>
        <w:rPr>
          <w:rFonts w:ascii="宋体" w:cs="宋体" w:hAnsi="宋体" w:hint="eastAsia"/>
          <w:kern w:val="2"/>
          <w:sz w:val="24"/>
          <w:szCs w:val="24"/>
          <w:lang w:val="en-US" w:eastAsia="zh-CN"/>
        </w:rPr>
        <w:t>；</w:t>
      </w:r>
    </w:p>
    <w:p>
      <w:pPr>
        <w:keepNext w:val="0"/>
        <w:keepLines w:val="0"/>
        <w:widowControl w:val="0"/>
        <w:numPr>
          <w:ilvl w:val="0"/>
          <w:numId w:val="36"/>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kern w:val="2"/>
          <w:sz w:val="24"/>
          <w:szCs w:val="24"/>
          <w:lang w:val="en-US" w:eastAsia="zh-CN"/>
        </w:rPr>
        <w:t>应设置</w:t>
      </w:r>
      <w:r>
        <w:rPr>
          <w:rFonts w:ascii="宋体" w:eastAsia="宋体" w:cs="宋体" w:hAnsi="宋体" w:hint="eastAsia"/>
          <w:kern w:val="2"/>
          <w:sz w:val="24"/>
          <w:szCs w:val="24"/>
          <w:lang w:val="en-US" w:eastAsia="zh-CN"/>
        </w:rPr>
        <w:t>总时长偏差和节点时长偏差的</w:t>
      </w:r>
      <w:r>
        <w:rPr>
          <w:rFonts w:ascii="宋体" w:eastAsia="宋体" w:cs="宋体" w:hAnsi="宋体"/>
          <w:kern w:val="2"/>
          <w:sz w:val="24"/>
          <w:szCs w:val="24"/>
          <w:lang w:val="en-US" w:eastAsia="zh-CN"/>
        </w:rPr>
        <w:t>预警阈值</w:t>
      </w:r>
      <w:r>
        <w:rPr>
          <w:rFonts w:ascii="宋体" w:eastAsia="宋体" w:cs="宋体" w:hAnsi="宋体" w:hint="eastAsia"/>
          <w:kern w:val="2"/>
          <w:sz w:val="24"/>
          <w:szCs w:val="24"/>
          <w:lang w:val="en-US" w:eastAsia="zh-CN"/>
        </w:rPr>
        <w:t>，</w:t>
      </w:r>
      <w:r>
        <w:rPr>
          <w:rFonts w:ascii="宋体" w:eastAsia="宋体" w:cs="宋体" w:hAnsi="宋体"/>
          <w:kern w:val="2"/>
          <w:sz w:val="24"/>
          <w:szCs w:val="24"/>
          <w:lang w:val="en-US" w:eastAsia="zh-CN"/>
        </w:rPr>
        <w:t>根据预警结果优化进度计划制定流程，调整资源调度优先级，对高频延期的</w:t>
      </w:r>
      <w:r>
        <w:rPr>
          <w:rFonts w:ascii="宋体" w:eastAsia="宋体" w:cs="宋体" w:hAnsi="宋体" w:hint="eastAsia"/>
          <w:kern w:val="2"/>
          <w:sz w:val="24"/>
          <w:szCs w:val="24"/>
          <w:lang w:val="en-US" w:eastAsia="zh-CN"/>
        </w:rPr>
        <w:t>负责</w:t>
      </w:r>
      <w:r>
        <w:rPr>
          <w:rFonts w:ascii="宋体" w:eastAsia="宋体" w:cs="宋体" w:hAnsi="宋体"/>
          <w:kern w:val="2"/>
          <w:sz w:val="24"/>
          <w:szCs w:val="24"/>
          <w:lang w:val="en-US" w:eastAsia="zh-CN"/>
        </w:rPr>
        <w:t>人</w:t>
      </w:r>
      <w:r>
        <w:rPr>
          <w:rFonts w:ascii="宋体" w:eastAsia="宋体" w:cs="宋体" w:hAnsi="宋体" w:hint="eastAsia"/>
          <w:kern w:val="2"/>
          <w:sz w:val="24"/>
          <w:szCs w:val="24"/>
          <w:lang w:val="en-US" w:eastAsia="zh-CN"/>
        </w:rPr>
        <w:t>和</w:t>
      </w:r>
      <w:r>
        <w:rPr>
          <w:rFonts w:ascii="宋体" w:eastAsia="宋体" w:cs="宋体" w:hAnsi="宋体"/>
          <w:kern w:val="2"/>
          <w:sz w:val="24"/>
          <w:szCs w:val="24"/>
          <w:lang w:val="en-US" w:eastAsia="zh-CN"/>
        </w:rPr>
        <w:t>部门推送专项整改要求。</w:t>
      </w:r>
    </w:p>
    <w:p>
      <w:pPr>
        <w:keepNext w:val="0"/>
        <w:keepLines w:val="0"/>
        <w:pageBreakBefore w:val="0"/>
        <w:widowControl w:val="0"/>
        <w:numPr>
          <w:ilvl w:val="2"/>
          <w:numId w:val="32"/>
        </w:numPr>
        <w:kinsoku/>
        <w:wordWrap/>
        <w:overflowPunct/>
        <w:topLinePunct w:val="0"/>
        <w:autoSpaceDE/>
        <w:autoSpaceDN/>
        <w:bidi w:val="0"/>
        <w:adjustRightInd/>
        <w:snapToGrid/>
        <w:ind w:left="0" w:firstLine="0"/>
        <w:textAlignment w:val="auto"/>
        <w:rPr>
          <w:rFonts w:ascii="Times New Roman" w:eastAsia="宋体" w:cs="Times New Roman" w:hAnsi="Times New Roman"/>
          <w:lang w:val="en-US" w:eastAsia="zh-CN"/>
          <w:highlight w:val="none"/>
        </w:rPr>
      </w:pPr>
      <w:r>
        <w:rPr>
          <w:rFonts w:ascii="Times New Roman" w:cs="Times New Roman" w:hAnsi="Times New Roman" w:hint="eastAsia"/>
          <w:lang w:val="en-US" w:eastAsia="zh-CN"/>
          <w:highlight w:val="none"/>
        </w:rPr>
        <w:t>相关方的数字化管理应符合下列规定：</w:t>
      </w:r>
    </w:p>
    <w:p>
      <w:pPr>
        <w:keepNext w:val="0"/>
        <w:keepLines w:val="0"/>
        <w:widowControl w:val="0"/>
        <w:numPr>
          <w:ilvl w:val="0"/>
          <w:numId w:val="37"/>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hint="eastAsia"/>
          <w:kern w:val="2"/>
          <w:sz w:val="24"/>
          <w:szCs w:val="24"/>
          <w:lang w:val="en-US" w:eastAsia="zh-CN"/>
        </w:rPr>
        <w:t>应建立和规范建设各方的管理流程，包括合同签订、对接台账建立和检测异议处理</w:t>
      </w:r>
      <w:r>
        <w:rPr>
          <w:rFonts w:ascii="宋体" w:cs="宋体" w:hAnsi="宋体" w:hint="eastAsia"/>
          <w:kern w:val="2"/>
          <w:sz w:val="24"/>
          <w:szCs w:val="24"/>
          <w:lang w:val="en-US" w:eastAsia="zh-CN"/>
        </w:rPr>
        <w:t>；</w:t>
      </w:r>
    </w:p>
    <w:p>
      <w:pPr>
        <w:keepNext w:val="0"/>
        <w:keepLines w:val="0"/>
        <w:widowControl w:val="0"/>
        <w:numPr>
          <w:ilvl w:val="0"/>
          <w:numId w:val="37"/>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kern w:val="2"/>
          <w:sz w:val="24"/>
          <w:szCs w:val="24"/>
          <w:lang w:val="en-US" w:eastAsia="zh-CN"/>
        </w:rPr>
        <w:t>应</w:t>
      </w:r>
      <w:r>
        <w:rPr>
          <w:rFonts w:ascii="宋体" w:cs="宋体" w:hAnsi="宋体" w:hint="eastAsia"/>
          <w:kern w:val="2"/>
          <w:sz w:val="24"/>
          <w:szCs w:val="24"/>
          <w:lang w:val="en-US" w:eastAsia="zh-CN"/>
        </w:rPr>
        <w:t>采集</w:t>
      </w:r>
      <w:r>
        <w:rPr>
          <w:rFonts w:ascii="宋体" w:eastAsia="宋体" w:cs="宋体" w:hAnsi="宋体" w:hint="eastAsia"/>
          <w:kern w:val="2"/>
          <w:sz w:val="24"/>
          <w:szCs w:val="24"/>
          <w:lang w:val="en-US" w:eastAsia="zh-CN"/>
        </w:rPr>
        <w:t>建设各方</w:t>
      </w:r>
      <w:r>
        <w:rPr>
          <w:rFonts w:ascii="宋体" w:eastAsia="宋体" w:cs="宋体" w:hAnsi="宋体"/>
          <w:kern w:val="2"/>
          <w:sz w:val="24"/>
          <w:szCs w:val="24"/>
          <w:lang w:val="en-US" w:eastAsia="zh-CN"/>
        </w:rPr>
        <w:t>信息，</w:t>
      </w:r>
      <w:r>
        <w:rPr>
          <w:rFonts w:ascii="宋体" w:eastAsia="宋体" w:cs="宋体" w:hAnsi="宋体" w:hint="eastAsia"/>
          <w:kern w:val="2"/>
          <w:sz w:val="24"/>
          <w:szCs w:val="24"/>
          <w:lang w:val="en-US" w:eastAsia="zh-CN"/>
        </w:rPr>
        <w:t>包括</w:t>
      </w:r>
      <w:r>
        <w:rPr>
          <w:rFonts w:ascii="宋体" w:eastAsia="宋体" w:cs="宋体" w:hAnsi="宋体"/>
          <w:kern w:val="2"/>
          <w:sz w:val="24"/>
          <w:szCs w:val="24"/>
          <w:lang w:val="en-US" w:eastAsia="zh-CN"/>
        </w:rPr>
        <w:t>项目名称、</w:t>
      </w:r>
      <w:r>
        <w:rPr>
          <w:rFonts w:ascii="宋体" w:eastAsia="宋体" w:cs="宋体" w:hAnsi="宋体" w:hint="eastAsia"/>
          <w:kern w:val="2"/>
          <w:sz w:val="24"/>
          <w:szCs w:val="24"/>
          <w:lang w:val="en-US" w:eastAsia="zh-CN"/>
        </w:rPr>
        <w:t>单位名称、单位类型、单位联系人</w:t>
      </w:r>
      <w:r>
        <w:rPr>
          <w:rFonts w:ascii="宋体" w:cs="宋体" w:hAnsi="宋体" w:hint="eastAsia"/>
          <w:kern w:val="2"/>
          <w:sz w:val="24"/>
          <w:szCs w:val="24"/>
          <w:lang w:val="en-US" w:eastAsia="zh-CN"/>
        </w:rPr>
        <w:t>和</w:t>
      </w:r>
      <w:r>
        <w:rPr>
          <w:rFonts w:ascii="宋体" w:eastAsia="宋体" w:cs="宋体" w:hAnsi="宋体" w:hint="eastAsia"/>
          <w:kern w:val="2"/>
          <w:sz w:val="24"/>
          <w:szCs w:val="24"/>
          <w:lang w:val="en-US" w:eastAsia="zh-CN"/>
        </w:rPr>
        <w:t>单位联系方式</w:t>
      </w:r>
      <w:r>
        <w:rPr>
          <w:rFonts w:ascii="宋体" w:cs="宋体" w:hAnsi="宋体" w:hint="eastAsia"/>
          <w:kern w:val="2"/>
          <w:sz w:val="24"/>
          <w:szCs w:val="24"/>
          <w:lang w:val="en-US" w:eastAsia="zh-CN"/>
        </w:rPr>
        <w:t>；</w:t>
      </w:r>
    </w:p>
    <w:p>
      <w:pPr>
        <w:keepNext w:val="0"/>
        <w:keepLines w:val="0"/>
        <w:widowControl w:val="0"/>
        <w:numPr>
          <w:ilvl w:val="0"/>
          <w:numId w:val="37"/>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kern w:val="2"/>
          <w:sz w:val="24"/>
          <w:szCs w:val="24"/>
          <w:lang w:val="en-US" w:eastAsia="zh-CN"/>
        </w:rPr>
        <w:t>应统计</w:t>
      </w:r>
      <w:r>
        <w:rPr>
          <w:rFonts w:ascii="宋体" w:cs="宋体" w:hAnsi="宋体" w:hint="eastAsia"/>
          <w:kern w:val="2"/>
          <w:sz w:val="24"/>
          <w:szCs w:val="24"/>
          <w:lang w:val="en-US" w:eastAsia="zh-CN"/>
        </w:rPr>
        <w:t>与</w:t>
      </w:r>
      <w:r>
        <w:rPr>
          <w:rFonts w:ascii="宋体" w:eastAsia="宋体" w:cs="宋体" w:hAnsi="宋体"/>
          <w:kern w:val="2"/>
          <w:sz w:val="24"/>
          <w:szCs w:val="24"/>
          <w:lang w:val="en-US" w:eastAsia="zh-CN"/>
        </w:rPr>
        <w:t>分析建设各方的协作数据，包括合同履约率、异议处理响应时长、对接频次</w:t>
      </w:r>
      <w:r>
        <w:rPr>
          <w:rFonts w:ascii="宋体" w:cs="宋体" w:hAnsi="宋体" w:hint="eastAsia"/>
          <w:kern w:val="2"/>
          <w:sz w:val="24"/>
          <w:szCs w:val="24"/>
          <w:lang w:val="en-US" w:eastAsia="zh-CN"/>
        </w:rPr>
        <w:t>和</w:t>
      </w:r>
      <w:r>
        <w:rPr>
          <w:rFonts w:ascii="宋体" w:eastAsia="宋体" w:cs="宋体" w:hAnsi="宋体"/>
          <w:kern w:val="2"/>
          <w:sz w:val="24"/>
          <w:szCs w:val="24"/>
          <w:lang w:val="en-US" w:eastAsia="zh-CN"/>
        </w:rPr>
        <w:t>问题整改完成率，识别高频协作障碍与风险点</w:t>
      </w:r>
      <w:r>
        <w:rPr>
          <w:rFonts w:ascii="宋体" w:cs="宋体" w:hAnsi="宋体" w:hint="eastAsia"/>
          <w:kern w:val="2"/>
          <w:sz w:val="24"/>
          <w:szCs w:val="24"/>
          <w:lang w:val="en-US" w:eastAsia="zh-CN"/>
        </w:rPr>
        <w:t>；</w:t>
      </w:r>
    </w:p>
    <w:p>
      <w:pPr>
        <w:keepNext w:val="0"/>
        <w:keepLines w:val="0"/>
        <w:widowControl w:val="0"/>
        <w:numPr>
          <w:ilvl w:val="0"/>
          <w:numId w:val="37"/>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kern w:val="2"/>
          <w:sz w:val="24"/>
          <w:szCs w:val="24"/>
          <w:lang w:val="en-US" w:eastAsia="zh-CN"/>
        </w:rPr>
      </w:pPr>
      <w:r>
        <w:rPr>
          <w:rFonts w:ascii="宋体" w:eastAsia="宋体" w:cs="宋体" w:hAnsi="宋体" w:hint="eastAsia"/>
          <w:kern w:val="2"/>
          <w:sz w:val="24"/>
          <w:szCs w:val="24"/>
          <w:lang w:val="en-US" w:eastAsia="zh-CN"/>
        </w:rPr>
        <w:t>应基于</w:t>
      </w:r>
      <w:r>
        <w:rPr>
          <w:rFonts w:ascii="宋体" w:eastAsia="宋体" w:cs="宋体" w:hAnsi="宋体"/>
          <w:kern w:val="2"/>
          <w:sz w:val="24"/>
          <w:szCs w:val="24"/>
          <w:lang w:val="en-US" w:eastAsia="zh-CN"/>
        </w:rPr>
        <w:t>统计</w:t>
      </w:r>
      <w:r>
        <w:rPr>
          <w:rFonts w:ascii="宋体" w:cs="宋体" w:hAnsi="宋体" w:hint="eastAsia"/>
          <w:kern w:val="2"/>
          <w:sz w:val="24"/>
          <w:szCs w:val="24"/>
          <w:lang w:val="en-US" w:eastAsia="zh-CN"/>
        </w:rPr>
        <w:t>与</w:t>
      </w:r>
      <w:r>
        <w:rPr>
          <w:rFonts w:ascii="宋体" w:eastAsia="宋体" w:cs="宋体" w:hAnsi="宋体"/>
          <w:kern w:val="2"/>
          <w:sz w:val="24"/>
          <w:szCs w:val="24"/>
          <w:lang w:val="en-US" w:eastAsia="zh-CN"/>
        </w:rPr>
        <w:t>分析</w:t>
      </w:r>
      <w:r>
        <w:rPr>
          <w:rFonts w:ascii="宋体" w:eastAsia="宋体" w:cs="宋体" w:hAnsi="宋体" w:hint="eastAsia"/>
          <w:kern w:val="2"/>
          <w:sz w:val="24"/>
          <w:szCs w:val="24"/>
          <w:lang w:val="en-US" w:eastAsia="zh-CN"/>
        </w:rPr>
        <w:t>结果优化协作机制，对高风险相关方触发预警并调整对接策略。</w:t>
      </w:r>
    </w:p>
    <w:p>
      <w:pPr>
        <w:rPr>
          <w:rFonts w:ascii="Times New Roman" w:cs="Times New Roman" w:hAnsi="Times New Roman"/>
          <w:lang w:val="zh-CN"/>
          <w:highlight w:val="none"/>
        </w:rPr>
      </w:pPr>
      <w:r>
        <w:rPr>
          <w:rFonts w:ascii="Times New Roman" w:cs="Times New Roman" w:hAnsi="Times New Roman"/>
          <w:lang w:val="zh-CN"/>
          <w:highlight w:val="none"/>
        </w:rPr>
        <w:br w:type="page"/>
      </w:r>
    </w:p>
    <w:p>
      <w:pPr>
        <w:pStyle w:val="1"/>
        <w:numPr>
          <w:ilvl w:val="0"/>
          <w:numId w:val="1"/>
        </w:numPr>
        <w:bidi w:val="0"/>
        <w:ind w:left="425" w:hanging="425"/>
        <w:rPr>
          <w:rFonts w:ascii="Times New Roman" w:eastAsia="黑体" w:hAnsi="Times New Roman"/>
          <w:b/>
          <w:bCs/>
          <w:sz w:val="28"/>
          <w:szCs w:val="28"/>
          <w:lang w:val="en-US" w:eastAsia="zh-CN"/>
          <w:highlight w:val="none"/>
        </w:rPr>
      </w:pPr>
      <w:bookmarkStart w:id="123" w:name="_Toc10979"/>
      <w:r>
        <w:rPr>
          <w:rFonts w:ascii="Times New Roman" w:eastAsia="黑体" w:hAnsi="Times New Roman" w:hint="eastAsia"/>
          <w:b/>
          <w:bCs/>
          <w:sz w:val="28"/>
          <w:szCs w:val="28"/>
          <w:lang w:val="en-US" w:eastAsia="zh-CN"/>
          <w:highlight w:val="none"/>
        </w:rPr>
        <w:t>数字化</w:t>
      </w:r>
      <w:r>
        <w:rPr>
          <w:rFonts w:ascii="Times New Roman" w:eastAsia="黑体" w:hAnsi="Times New Roman" w:hint="eastAsia"/>
          <w:b/>
          <w:bCs/>
          <w:sz w:val="28"/>
          <w:szCs w:val="28"/>
          <w:highlight w:val="none"/>
        </w:rPr>
        <w:t>管理</w:t>
      </w:r>
      <w:r>
        <w:rPr>
          <w:rFonts w:ascii="Times New Roman" w:eastAsia="黑体" w:hAnsi="Times New Roman" w:hint="eastAsia"/>
          <w:b/>
          <w:bCs/>
          <w:sz w:val="28"/>
          <w:szCs w:val="28"/>
          <w:lang w:val="en-US" w:eastAsia="zh-CN"/>
          <w:highlight w:val="none"/>
        </w:rPr>
        <w:t>评估</w:t>
      </w:r>
      <w:bookmarkEnd w:id="123"/>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eastAsia="宋体" w:cs="Times New Roman" w:hAnsi="Times New Roman"/>
          <w:color w:val="auto"/>
          <w:lang w:val="en-US" w:eastAsia="zh-CN"/>
          <w:highlight w:val="none"/>
        </w:rPr>
      </w:pPr>
      <w:r>
        <w:rPr>
          <w:rFonts w:ascii="Times New Roman" w:cs="Times New Roman" w:hAnsi="Times New Roman" w:hint="eastAsia"/>
          <w:color w:val="auto"/>
          <w:lang w:val="en-US" w:eastAsia="zh-CN"/>
          <w:highlight w:val="none"/>
        </w:rPr>
        <w:t>建设工程质量检测数字化管理水平应采用能力成熟度模型评估。</w:t>
      </w:r>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highlight w:val="none"/>
        </w:rPr>
      </w:pPr>
      <w:r>
        <w:rPr>
          <w:rFonts w:ascii="Times New Roman" w:hAnsi="Times New Roman"/>
          <w:color w:val="auto"/>
          <w:highlight w:val="none"/>
        </w:rPr>
        <w:t>成熟度等级</w:t>
      </w:r>
      <w:r>
        <w:rPr>
          <w:rFonts w:ascii="Times New Roman" w:hAnsi="Times New Roman" w:hint="eastAsia"/>
          <w:color w:val="auto"/>
          <w:lang w:val="en-US" w:eastAsia="zh-CN"/>
          <w:highlight w:val="none"/>
        </w:rPr>
        <w:t>按从低到高</w:t>
      </w:r>
      <w:r>
        <w:rPr>
          <w:rFonts w:ascii="Times New Roman" w:hAnsi="Times New Roman"/>
          <w:color w:val="auto"/>
          <w:highlight w:val="none"/>
        </w:rPr>
        <w:t>应分为</w:t>
      </w:r>
      <w:r>
        <w:rPr>
          <w:rFonts w:ascii="Times New Roman" w:hAnsi="Times New Roman" w:hint="eastAsia"/>
          <w:color w:val="auto"/>
          <w:lang w:val="en-US" w:eastAsia="zh-CN"/>
          <w:highlight w:val="none"/>
        </w:rPr>
        <w:t>规范级、场景级、领域级、平台级和生态级五</w:t>
      </w:r>
      <w:r>
        <w:rPr>
          <w:rFonts w:ascii="Times New Roman" w:hAnsi="Times New Roman"/>
          <w:color w:val="auto"/>
          <w:highlight w:val="none"/>
        </w:rPr>
        <w:t>个等级</w:t>
      </w:r>
      <w:r>
        <w:rPr>
          <w:rFonts w:ascii="Times New Roman" w:hAnsi="Times New Roman" w:hint="eastAsia"/>
          <w:color w:val="auto"/>
          <w:lang w:eastAsia="zh-CN"/>
          <w:highlight w:val="none"/>
        </w:rPr>
        <w:t>。</w:t>
      </w:r>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highlight w:val="none"/>
        </w:rPr>
      </w:pPr>
      <w:r>
        <w:rPr>
          <w:rFonts w:ascii="Times New Roman" w:hAnsi="Times New Roman" w:hint="eastAsia"/>
          <w:color w:val="auto"/>
          <w:lang w:val="en-US" w:eastAsia="zh-CN"/>
          <w:highlight w:val="none"/>
        </w:rPr>
        <w:t>数字化管理成熟度能力域应符合表8.0.3的规定。</w:t>
      </w:r>
    </w:p>
    <w:p>
      <w:pPr>
        <w:tabs>
          <w:tab w:val="left" w:pos="0"/>
        </w:tabs>
        <w:jc w:val="center"/>
        <w:rPr>
          <w:rFonts w:ascii="Times New Roman" w:eastAsia="宋体" w:cs="Times New Roman" w:hAnsi="Times New Roman"/>
          <w:b/>
          <w:bCs/>
          <w:color w:val="auto"/>
          <w:lang w:val="en-US" w:eastAsia="zh-CN"/>
          <w:highlight w:val="none"/>
        </w:rPr>
      </w:pPr>
      <w:r>
        <w:rPr>
          <w:rFonts w:ascii="Times New Roman" w:cs="Times New Roman" w:hAnsi="Times New Roman"/>
          <w:b/>
          <w:bCs/>
          <w:color w:val="auto"/>
          <w:lang w:val="en-US" w:eastAsia="zh-CN"/>
          <w:highlight w:val="none"/>
        </w:rPr>
        <w:t>表8.</w:t>
      </w:r>
      <w:r>
        <w:rPr>
          <w:rFonts w:ascii="Times New Roman" w:cs="Times New Roman" w:hAnsi="Times New Roman" w:hint="eastAsia"/>
          <w:b/>
          <w:bCs/>
          <w:color w:val="auto"/>
          <w:lang w:val="en-US" w:eastAsia="zh-CN"/>
          <w:highlight w:val="none"/>
        </w:rPr>
        <w:t>0</w:t>
      </w:r>
      <w:r>
        <w:rPr>
          <w:rFonts w:ascii="Times New Roman" w:cs="Times New Roman" w:hAnsi="Times New Roman"/>
          <w:b/>
          <w:bCs/>
          <w:color w:val="auto"/>
          <w:lang w:val="en-US" w:eastAsia="zh-CN"/>
          <w:highlight w:val="none"/>
        </w:rPr>
        <w:t xml:space="preserve">.3 </w:t>
      </w:r>
      <w:r>
        <w:rPr>
          <w:rFonts w:ascii="Times New Roman" w:cs="Times New Roman" w:hAnsi="Times New Roman" w:hint="eastAsia"/>
          <w:b/>
          <w:bCs/>
          <w:color w:val="auto"/>
          <w:lang w:val="en-US" w:eastAsia="zh-CN"/>
          <w:highlight w:val="none"/>
        </w:rPr>
        <w:t>建设工程质量检测数字化管理主要评估域及权重</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1083"/>
        <w:gridCol w:w="917"/>
        <w:gridCol w:w="1752"/>
        <w:gridCol w:w="1297"/>
        <w:gridCol w:w="2351"/>
        <w:gridCol w:w="1120"/>
      </w:tblGrid>
      <w:tr>
        <w:trPr>
          <w:trHeight w:val="90"/>
          <w:tblHeader/>
        </w:trPr>
        <w:tc>
          <w:tcPr>
            <w:tcW w:w="1083" w:type="dxa"/>
            <w:vAlign w:val="center"/>
          </w:tcPr>
          <w:p>
            <w:pPr>
              <w:tabs>
                <w:tab w:val="left" w:pos="0"/>
              </w:tabs>
              <w:spacing w:line="240" w:lineRule="auto"/>
              <w:jc w:val="center"/>
              <w:rPr>
                <w:rFonts w:ascii="Times New Roman" w:eastAsia="宋体" w:cs="Times New Roman" w:hAnsi="Times New Roman"/>
                <w:b/>
                <w:bCs/>
                <w:color w:val="auto"/>
                <w:sz w:val="21"/>
                <w:szCs w:val="21"/>
                <w:vertAlign w:val="baseline"/>
                <w:lang w:val="en-US" w:eastAsia="zh-CN"/>
                <w:highlight w:val="none"/>
              </w:rPr>
            </w:pPr>
            <w:r>
              <w:rPr>
                <w:rFonts w:ascii="Times New Roman" w:cs="Times New Roman" w:hAnsi="Times New Roman"/>
                <w:b/>
                <w:bCs/>
                <w:color w:val="auto"/>
                <w:sz w:val="21"/>
                <w:szCs w:val="21"/>
                <w:vertAlign w:val="baseline"/>
                <w:lang w:val="en-US" w:eastAsia="zh-CN"/>
                <w:highlight w:val="none"/>
              </w:rPr>
              <w:t>能力要素</w:t>
            </w:r>
          </w:p>
        </w:tc>
        <w:tc>
          <w:tcPr>
            <w:tcW w:w="917" w:type="dxa"/>
            <w:vAlign w:val="center"/>
          </w:tcPr>
          <w:p>
            <w:pPr>
              <w:tabs>
                <w:tab w:val="left" w:pos="0"/>
              </w:tabs>
              <w:spacing w:line="240" w:lineRule="auto"/>
              <w:jc w:val="center"/>
              <w:rPr>
                <w:rFonts w:ascii="Times New Roman" w:cs="Times New Roman" w:hAnsi="Times New Roman"/>
                <w:b/>
                <w:bCs/>
                <w:color w:val="auto"/>
                <w:sz w:val="21"/>
                <w:szCs w:val="21"/>
                <w:vertAlign w:val="baseline"/>
                <w:lang w:val="en-US" w:eastAsia="zh-CN"/>
                <w:highlight w:val="none"/>
              </w:rPr>
            </w:pPr>
            <w:r>
              <w:rPr>
                <w:rFonts w:ascii="Times New Roman" w:cs="Times New Roman" w:hAnsi="Times New Roman"/>
                <w:b/>
                <w:bCs/>
                <w:color w:val="auto"/>
                <w:sz w:val="21"/>
                <w:szCs w:val="21"/>
                <w:vertAlign w:val="baseline"/>
                <w:lang w:val="en-US" w:eastAsia="zh-CN"/>
                <w:highlight w:val="none"/>
              </w:rPr>
              <w:t>能力要素权重</w:t>
            </w: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b/>
                <w:bCs/>
                <w:color w:val="auto"/>
                <w:kern w:val="2"/>
                <w:sz w:val="21"/>
                <w:szCs w:val="21"/>
                <w:vertAlign w:val="baseline"/>
                <w:lang w:val="en-US" w:eastAsia="zh-CN" w:bidi="ar-SA"/>
                <w:highlight w:val="none"/>
              </w:rPr>
            </w:pPr>
            <w:r>
              <w:rPr>
                <w:rFonts w:ascii="Times New Roman" w:cs="Times New Roman" w:hAnsi="Times New Roman"/>
                <w:b/>
                <w:bCs/>
                <w:color w:val="auto"/>
                <w:sz w:val="21"/>
                <w:szCs w:val="21"/>
                <w:vertAlign w:val="baseline"/>
                <w:lang w:val="en-US" w:eastAsia="zh-CN"/>
                <w:highlight w:val="none"/>
              </w:rPr>
              <w:t>能力域</w:t>
            </w:r>
          </w:p>
        </w:tc>
        <w:tc>
          <w:tcPr>
            <w:tcW w:w="1297" w:type="dxa"/>
            <w:vAlign w:val="center"/>
          </w:tcPr>
          <w:p>
            <w:pPr>
              <w:tabs>
                <w:tab w:val="left" w:pos="0"/>
              </w:tabs>
              <w:spacing w:line="240" w:lineRule="auto"/>
              <w:jc w:val="center"/>
              <w:rPr>
                <w:rFonts w:ascii="Times New Roman" w:cs="Times New Roman" w:hAnsi="Times New Roman"/>
                <w:b/>
                <w:bCs/>
                <w:color w:val="auto"/>
                <w:sz w:val="21"/>
                <w:szCs w:val="21"/>
                <w:vertAlign w:val="baseline"/>
                <w:lang w:val="en-US" w:eastAsia="zh-CN"/>
                <w:highlight w:val="none"/>
              </w:rPr>
            </w:pPr>
            <w:r>
              <w:rPr>
                <w:rFonts w:ascii="Times New Roman" w:cs="Times New Roman" w:hAnsi="Times New Roman"/>
                <w:b/>
                <w:bCs/>
                <w:color w:val="auto"/>
                <w:sz w:val="21"/>
                <w:szCs w:val="21"/>
                <w:vertAlign w:val="baseline"/>
                <w:lang w:val="en-US" w:eastAsia="zh-CN"/>
                <w:highlight w:val="none"/>
              </w:rPr>
              <w:t>能力域权重</w:t>
            </w:r>
          </w:p>
        </w:tc>
        <w:tc>
          <w:tcPr>
            <w:tcW w:w="2351" w:type="dxa"/>
            <w:vAlign w:val="center"/>
          </w:tcPr>
          <w:p>
            <w:pPr>
              <w:tabs>
                <w:tab w:val="left" w:pos="0"/>
              </w:tabs>
              <w:spacing w:line="240" w:lineRule="auto"/>
              <w:jc w:val="center"/>
              <w:rPr>
                <w:rFonts w:ascii="Times New Roman" w:cs="Times New Roman" w:hAnsi="Times New Roman"/>
                <w:b/>
                <w:bCs/>
                <w:color w:val="auto"/>
                <w:sz w:val="21"/>
                <w:szCs w:val="21"/>
                <w:vertAlign w:val="baseline"/>
                <w:lang w:val="en-US" w:eastAsia="zh-CN"/>
                <w:highlight w:val="none"/>
              </w:rPr>
            </w:pPr>
            <w:r>
              <w:rPr>
                <w:rFonts w:ascii="Times New Roman" w:cs="Times New Roman" w:hAnsi="Times New Roman"/>
                <w:b/>
                <w:bCs/>
                <w:color w:val="auto"/>
                <w:sz w:val="21"/>
                <w:szCs w:val="21"/>
                <w:vertAlign w:val="baseline"/>
                <w:lang w:val="en-US" w:eastAsia="zh-CN"/>
                <w:highlight w:val="none"/>
              </w:rPr>
              <w:t>能力子域</w:t>
            </w:r>
          </w:p>
        </w:tc>
        <w:tc>
          <w:tcPr>
            <w:tcW w:w="1120" w:type="dxa"/>
            <w:vAlign w:val="center"/>
          </w:tcPr>
          <w:p>
            <w:pPr>
              <w:tabs>
                <w:tab w:val="left" w:pos="0"/>
              </w:tabs>
              <w:spacing w:line="240" w:lineRule="auto"/>
              <w:jc w:val="center"/>
              <w:rPr>
                <w:rFonts w:ascii="Times New Roman" w:cs="Times New Roman" w:hAnsi="Times New Roman"/>
                <w:b/>
                <w:bCs/>
                <w:color w:val="auto"/>
                <w:sz w:val="21"/>
                <w:szCs w:val="21"/>
                <w:vertAlign w:val="baseline"/>
                <w:lang w:val="en-US" w:eastAsia="zh-CN"/>
                <w:highlight w:val="none"/>
              </w:rPr>
            </w:pPr>
            <w:r>
              <w:rPr>
                <w:rFonts w:ascii="Times New Roman" w:cs="Times New Roman" w:hAnsi="Times New Roman"/>
                <w:b/>
                <w:bCs/>
                <w:color w:val="auto"/>
                <w:sz w:val="21"/>
                <w:szCs w:val="21"/>
                <w:vertAlign w:val="baseline"/>
                <w:lang w:val="en-US" w:eastAsia="zh-CN"/>
                <w:highlight w:val="none"/>
              </w:rPr>
              <w:t>能力子域权重</w:t>
            </w:r>
          </w:p>
        </w:tc>
      </w:tr>
      <w:tr>
        <w:trPr>
          <w:trHeight w:val="90"/>
        </w:trPr>
        <w:tc>
          <w:tcPr>
            <w:tcW w:w="1083" w:type="dxa"/>
            <w:vMerge w:val="restart"/>
            <w:vAlign w:val="center"/>
          </w:tcPr>
          <w:p>
            <w:pPr>
              <w:tabs>
                <w:tab w:val="left" w:pos="0"/>
              </w:tabs>
              <w:spacing w:line="240" w:lineRule="auto"/>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b w:val="0"/>
                <w:bCs w:val="0"/>
                <w:color w:val="auto"/>
                <w:sz w:val="21"/>
                <w:szCs w:val="21"/>
                <w:vertAlign w:val="baseline"/>
                <w:lang w:val="en-US" w:eastAsia="zh-CN"/>
                <w:highlight w:val="none"/>
              </w:rPr>
              <w:t>组织</w:t>
            </w:r>
          </w:p>
        </w:tc>
        <w:tc>
          <w:tcPr>
            <w:tcW w:w="917" w:type="dxa"/>
            <w:vMerge w:val="restart"/>
            <w:vAlign w:val="center"/>
          </w:tcPr>
          <w:p>
            <w:pPr>
              <w:keepNext w:val="0"/>
              <w:keepLines w:val="0"/>
              <w:widowControl/>
              <w:suppressLineNumbers w:val="0"/>
              <w:jc w:val="center"/>
              <w:textAlignment w:val="center"/>
              <w:rPr>
                <w:rFonts w:ascii="Times New Roman" w:cs="Times New Roman" w:hAnsi="Times New Roman"/>
                <w:b w:val="0"/>
                <w:bCs w:val="0"/>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13</w:t>
            </w:r>
            <w:r>
              <w:rPr>
                <w:rFonts w:ascii="Times New Roman" w:cs="Times New Roman" w:hAnsi="Times New Roman" w:hint="eastAsia"/>
                <w:i w:val="0"/>
                <w:iCs w:val="0"/>
                <w:color w:val="000000"/>
                <w:kern w:val="0"/>
                <w:sz w:val="21"/>
                <w:szCs w:val="21"/>
                <w:u w:val="none"/>
                <w:lang w:val="en-US" w:eastAsia="zh-CN"/>
              </w:rPr>
              <w:t>%</w:t>
            </w:r>
          </w:p>
        </w:tc>
        <w:tc>
          <w:tcPr>
            <w:tcW w:w="1752" w:type="dxa"/>
            <w:shd w:val="clear" w:color="auto" w:fill="auto"/>
            <w:vAlign w:val="center"/>
          </w:tcPr>
          <w:p>
            <w:pPr>
              <w:tabs>
                <w:tab w:val="left" w:pos="0"/>
              </w:tabs>
              <w:spacing w:line="240" w:lineRule="auto"/>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b w:val="0"/>
                <w:bCs w:val="0"/>
                <w:color w:val="auto"/>
                <w:sz w:val="21"/>
                <w:szCs w:val="21"/>
                <w:vertAlign w:val="baseline"/>
                <w:lang w:val="en-US" w:eastAsia="zh-CN"/>
                <w:highlight w:val="none"/>
              </w:rPr>
              <w:t>组织战略</w:t>
            </w:r>
          </w:p>
        </w:tc>
        <w:tc>
          <w:tcPr>
            <w:tcW w:w="1297" w:type="dxa"/>
            <w:vAlign w:val="center"/>
          </w:tcPr>
          <w:p>
            <w:pPr>
              <w:keepNext w:val="0"/>
              <w:keepLines w:val="0"/>
              <w:widowControl/>
              <w:suppressLineNumbers w:val="0"/>
              <w:jc w:val="center"/>
              <w:textAlignment w:val="center"/>
              <w:rPr>
                <w:rFonts w:ascii="Times New Roman" w:cs="Times New Roman" w:hAnsi="Times New Roman"/>
                <w:b w:val="0"/>
                <w:bCs w:val="0"/>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51</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b w:val="0"/>
                <w:bCs w:val="0"/>
                <w:color w:val="auto"/>
                <w:kern w:val="2"/>
                <w:sz w:val="21"/>
                <w:szCs w:val="21"/>
                <w:vertAlign w:val="baseline"/>
                <w:lang w:val="en-US" w:eastAsia="zh-CN" w:bidi="ar-SA"/>
                <w:highlight w:val="none"/>
              </w:rPr>
            </w:pPr>
            <w:r>
              <w:rPr>
                <w:rFonts w:ascii="Times New Roman" w:cs="Times New Roman" w:hAnsi="Times New Roman"/>
                <w:b w:val="0"/>
                <w:bCs w:val="0"/>
                <w:color w:val="auto"/>
                <w:sz w:val="21"/>
                <w:szCs w:val="21"/>
                <w:vertAlign w:val="baseline"/>
                <w:lang w:val="en-US" w:eastAsia="zh-CN"/>
                <w:highlight w:val="none"/>
              </w:rPr>
              <w:t>组织战略</w:t>
            </w:r>
          </w:p>
        </w:tc>
        <w:tc>
          <w:tcPr>
            <w:tcW w:w="1120" w:type="dxa"/>
            <w:vAlign w:val="center"/>
          </w:tcPr>
          <w:p>
            <w:pPr>
              <w:tabs>
                <w:tab w:val="left" w:pos="0"/>
              </w:tabs>
              <w:spacing w:line="240" w:lineRule="auto"/>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rPr>
          <w:trHeight w:val="90"/>
        </w:trP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b w:val="0"/>
                <w:bCs w:val="0"/>
                <w:color w:val="auto"/>
                <w:sz w:val="21"/>
                <w:szCs w:val="21"/>
                <w:vertAlign w:val="baseline"/>
                <w:lang w:val="en-US" w:eastAsia="zh-CN"/>
                <w:highlight w:val="none"/>
              </w:rPr>
              <w:t>组织架构</w:t>
            </w:r>
          </w:p>
        </w:tc>
        <w:tc>
          <w:tcPr>
            <w:tcW w:w="1297" w:type="dxa"/>
            <w:vAlign w:val="center"/>
          </w:tcPr>
          <w:p>
            <w:pPr>
              <w:keepNext w:val="0"/>
              <w:keepLines w:val="0"/>
              <w:widowControl/>
              <w:suppressLineNumbers w:val="0"/>
              <w:jc w:val="center"/>
              <w:textAlignment w:val="center"/>
              <w:rPr>
                <w:rFonts w:ascii="Times New Roman" w:cs="Times New Roman" w:hAnsi="Times New Roman"/>
                <w:b w:val="0"/>
                <w:bCs w:val="0"/>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49</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b w:val="0"/>
                <w:bCs w:val="0"/>
                <w:color w:val="auto"/>
                <w:sz w:val="21"/>
                <w:szCs w:val="21"/>
                <w:vertAlign w:val="baseline"/>
                <w:lang w:val="en-US" w:eastAsia="zh-CN"/>
                <w:highlight w:val="none"/>
              </w:rPr>
              <w:t>组织架构</w:t>
            </w:r>
          </w:p>
        </w:tc>
        <w:tc>
          <w:tcPr>
            <w:tcW w:w="1120" w:type="dxa"/>
            <w:vAlign w:val="center"/>
          </w:tcPr>
          <w:p>
            <w:pPr>
              <w:tabs>
                <w:tab w:val="left" w:pos="0"/>
              </w:tabs>
              <w:spacing w:line="240" w:lineRule="auto"/>
              <w:jc w:val="center"/>
              <w:rPr>
                <w:rFonts w:ascii="Times New Roman" w:cs="Times New Roman" w:hAnsi="Times New Roman"/>
                <w:b w:val="0"/>
                <w:bCs w:val="0"/>
                <w:color w:val="auto"/>
                <w:sz w:val="21"/>
                <w:szCs w:val="21"/>
                <w:vertAlign w:val="baseline"/>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restart"/>
            <w:vAlign w:val="center"/>
          </w:tcPr>
          <w:p>
            <w:pPr>
              <w:tabs>
                <w:tab w:val="left" w:pos="0"/>
              </w:tabs>
              <w:spacing w:line="240" w:lineRule="auto"/>
              <w:jc w:val="center"/>
              <w:rPr>
                <w:rFonts w:ascii="Times New Roman" w:eastAsia="宋体"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vertAlign w:val="baseline"/>
                <w:lang w:val="en-US" w:eastAsia="zh-CN"/>
                <w:highlight w:val="none"/>
              </w:rPr>
              <w:t>资源</w:t>
            </w:r>
          </w:p>
        </w:tc>
        <w:tc>
          <w:tcPr>
            <w:tcW w:w="91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21</w:t>
            </w:r>
            <w:r>
              <w:rPr>
                <w:rFonts w:ascii="Times New Roman" w:cs="Times New Roman" w:hAnsi="Times New Roman" w:hint="eastAsia"/>
                <w:i w:val="0"/>
                <w:iCs w:val="0"/>
                <w:color w:val="000000"/>
                <w:kern w:val="0"/>
                <w:sz w:val="21"/>
                <w:szCs w:val="21"/>
                <w:u w:val="none"/>
                <w:lang w:val="en-US" w:eastAsia="zh-CN"/>
              </w:rPr>
              <w:t>%</w:t>
            </w:r>
          </w:p>
        </w:tc>
        <w:tc>
          <w:tcPr>
            <w:tcW w:w="1752" w:type="dxa"/>
            <w:vMerge w:val="restart"/>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vertAlign w:val="baseline"/>
                <w:lang w:val="en-US" w:eastAsia="zh-CN"/>
                <w:highlight w:val="none"/>
              </w:rPr>
              <w:t>人员</w:t>
            </w:r>
          </w:p>
        </w:tc>
        <w:tc>
          <w:tcPr>
            <w:tcW w:w="129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35</w:t>
            </w:r>
            <w:r>
              <w:rPr>
                <w:rFonts w:ascii="Times New Roman" w:cs="Times New Roman" w:hAnsi="Times New Roman" w:hint="eastAsia"/>
                <w:i w:val="0"/>
                <w:iCs w:val="0"/>
                <w:color w:val="000000"/>
                <w:kern w:val="0"/>
                <w:sz w:val="21"/>
                <w:szCs w:val="21"/>
                <w:u w:val="none"/>
                <w:lang w:val="en-US" w:eastAsia="zh-CN"/>
              </w:rPr>
              <w:t>%</w:t>
            </w: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sz w:val="21"/>
                <w:szCs w:val="21"/>
                <w:lang w:val="en-US" w:eastAsia="zh-CN"/>
                <w:highlight w:val="none"/>
              </w:rPr>
              <w:t>人员培训</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26</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sz w:val="21"/>
                <w:szCs w:val="21"/>
                <w:lang w:val="en-US" w:eastAsia="zh-CN"/>
                <w:highlight w:val="none"/>
              </w:rPr>
              <w:t>人员</w:t>
            </w:r>
            <w:r>
              <w:rPr>
                <w:rFonts w:ascii="Times New Roman" w:cs="Times New Roman" w:hAnsi="Times New Roman"/>
                <w:color w:val="auto"/>
                <w:sz w:val="21"/>
                <w:szCs w:val="21"/>
                <w:lang w:val="en-US" w:eastAsia="zh-CN"/>
                <w:highlight w:val="none"/>
              </w:rPr>
              <w:t>监督与能力监控</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25</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sz w:val="21"/>
                <w:szCs w:val="21"/>
                <w:lang w:val="en-US" w:eastAsia="zh-CN"/>
                <w:highlight w:val="none"/>
              </w:rPr>
              <w:t>人员能力</w:t>
            </w:r>
            <w:r>
              <w:rPr>
                <w:rFonts w:ascii="Times New Roman" w:cs="Times New Roman" w:hAnsi="Times New Roman"/>
                <w:color w:val="auto"/>
                <w:sz w:val="21"/>
                <w:szCs w:val="21"/>
                <w:lang w:val="en-US" w:eastAsia="zh-CN"/>
                <w:highlight w:val="none"/>
              </w:rPr>
              <w:t>确认与授权</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26</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sz w:val="21"/>
                <w:szCs w:val="21"/>
                <w:lang w:val="en-US" w:eastAsia="zh-CN"/>
                <w:highlight w:val="none"/>
              </w:rPr>
              <w:t>人员档案</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24</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val="restart"/>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vertAlign w:val="baseline"/>
                <w:lang w:val="en-US" w:eastAsia="zh-CN"/>
                <w:highlight w:val="none"/>
              </w:rPr>
              <w:t>设备</w:t>
            </w:r>
          </w:p>
        </w:tc>
        <w:tc>
          <w:tcPr>
            <w:tcW w:w="129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29</w:t>
            </w:r>
            <w:r>
              <w:rPr>
                <w:rFonts w:ascii="Times New Roman" w:cs="Times New Roman" w:hAnsi="Times New Roman" w:hint="eastAsia"/>
                <w:i w:val="0"/>
                <w:iCs w:val="0"/>
                <w:color w:val="000000"/>
                <w:kern w:val="0"/>
                <w:sz w:val="21"/>
                <w:szCs w:val="21"/>
                <w:u w:val="none"/>
                <w:lang w:val="en-US" w:eastAsia="zh-CN"/>
              </w:rPr>
              <w:t>%</w:t>
            </w: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color w:val="auto"/>
                <w:sz w:val="21"/>
                <w:szCs w:val="21"/>
                <w:lang w:val="en-US" w:eastAsia="zh-CN"/>
                <w:highlight w:val="none"/>
              </w:rPr>
              <w:t>设备</w:t>
            </w:r>
            <w:r>
              <w:rPr>
                <w:rFonts w:ascii="Times New Roman" w:cs="Times New Roman" w:hAnsi="Times New Roman"/>
                <w:color w:val="auto"/>
                <w:sz w:val="21"/>
                <w:szCs w:val="21"/>
                <w:lang w:val="en-US" w:eastAsia="zh-CN"/>
                <w:highlight w:val="none"/>
              </w:rPr>
              <w:t>使用</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22</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lang w:val="en-US" w:eastAsia="zh-CN"/>
                <w:highlight w:val="none"/>
              </w:rPr>
              <w:t>设备维护</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16</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lang w:val="en-US" w:eastAsia="zh-CN"/>
                <w:highlight w:val="none"/>
              </w:rPr>
              <w:t>设备计量溯源</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26</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lang w:val="en-US" w:eastAsia="zh-CN"/>
                <w:highlight w:val="none"/>
              </w:rPr>
              <w:t>设备期间核查</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19</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lang w:val="en-US" w:eastAsia="zh-CN"/>
                <w:highlight w:val="none"/>
              </w:rPr>
              <w:t>设备档案</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18</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val="restart"/>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vertAlign w:val="baseline"/>
                <w:lang w:val="en-US" w:eastAsia="zh-CN"/>
                <w:highlight w:val="none"/>
              </w:rPr>
              <w:t>设施和环境</w:t>
            </w:r>
          </w:p>
        </w:tc>
        <w:tc>
          <w:tcPr>
            <w:tcW w:w="129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21</w:t>
            </w:r>
            <w:r>
              <w:rPr>
                <w:rFonts w:ascii="Times New Roman" w:cs="Times New Roman" w:hAnsi="Times New Roman" w:hint="eastAsia"/>
                <w:i w:val="0"/>
                <w:iCs w:val="0"/>
                <w:color w:val="000000"/>
                <w:kern w:val="0"/>
                <w:sz w:val="21"/>
                <w:szCs w:val="21"/>
                <w:u w:val="none"/>
                <w:lang w:val="en-US" w:eastAsia="zh-CN"/>
              </w:rPr>
              <w:t>%</w:t>
            </w: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vertAlign w:val="baseline"/>
                <w:lang w:val="en-US" w:eastAsia="zh-CN"/>
                <w:highlight w:val="none"/>
              </w:rPr>
              <w:t>设施</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47</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vMerge/>
            <w:shd w:val="clear" w:color="auto" w:fill="auto"/>
            <w:vAlign w:val="center"/>
          </w:tcPr>
          <w:p/>
        </w:tc>
        <w:tc>
          <w:tcPr>
            <w:tcW w:w="1297" w:type="dxa"/>
            <w:vMerge/>
            <w:vAlign w:val="center"/>
          </w:tcP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vertAlign w:val="baseline"/>
                <w:lang w:val="en-US" w:eastAsia="zh-CN"/>
                <w:highlight w:val="none"/>
              </w:rPr>
              <w:t>环境</w:t>
            </w:r>
          </w:p>
        </w:tc>
        <w:tc>
          <w:tcPr>
            <w:tcW w:w="1120"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53</w:t>
            </w:r>
            <w:r>
              <w:rPr>
                <w:rFonts w:ascii="Times New Roman" w:cs="Times New Roman" w:hAnsi="Times New Roman" w:hint="eastAsia"/>
                <w:i w:val="0"/>
                <w:iCs w:val="0"/>
                <w:color w:val="000000"/>
                <w:kern w:val="0"/>
                <w:sz w:val="21"/>
                <w:szCs w:val="21"/>
                <w:u w:val="none"/>
                <w:lang w:val="en-US" w:eastAsia="zh-CN"/>
              </w:rPr>
              <w:t>%</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vertAlign w:val="baseline"/>
                <w:lang w:val="en-US" w:eastAsia="zh-CN"/>
                <w:highlight w:val="none"/>
              </w:rPr>
              <w:t>外部服务</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15</w:t>
            </w:r>
            <w:r>
              <w:rPr>
                <w:rFonts w:ascii="Times New Roman" w:cs="Times New Roman" w:hAnsi="Times New Roman" w:hint="eastAsia"/>
                <w:i w:val="0"/>
                <w:iCs w:val="0"/>
                <w:color w:val="000000"/>
                <w:kern w:val="0"/>
                <w:sz w:val="21"/>
                <w:szCs w:val="21"/>
                <w:u w:val="none"/>
                <w:lang w:val="en-US" w:eastAsia="zh-CN"/>
              </w:rPr>
              <w:t>%</w:t>
            </w:r>
          </w:p>
        </w:tc>
        <w:tc>
          <w:tcPr>
            <w:tcW w:w="2351"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vertAlign w:val="baseline"/>
                <w:lang w:val="en-US" w:eastAsia="zh-CN"/>
                <w:highlight w:val="none"/>
              </w:rPr>
              <w:t>外部服务</w:t>
            </w:r>
          </w:p>
        </w:tc>
        <w:tc>
          <w:tcPr>
            <w:tcW w:w="1120" w:type="dxa"/>
            <w:vAlign w:val="center"/>
          </w:tcPr>
          <w:p>
            <w:pPr>
              <w:tabs>
                <w:tab w:val="left" w:pos="0"/>
              </w:tabs>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restart"/>
            <w:vAlign w:val="center"/>
          </w:tcPr>
          <w:p>
            <w:pPr>
              <w:tabs>
                <w:tab w:val="left" w:pos="0"/>
              </w:tabs>
              <w:spacing w:line="240" w:lineRule="auto"/>
              <w:jc w:val="center"/>
              <w:rPr>
                <w:rFonts w:ascii="Times New Roman" w:eastAsia="宋体" w:cs="Times New Roman" w:hAnsi="Times New Roman"/>
                <w:color w:val="auto"/>
                <w:sz w:val="21"/>
                <w:szCs w:val="21"/>
                <w:vertAlign w:val="baseline"/>
                <w:lang w:val="en-US" w:eastAsia="zh-CN"/>
                <w:highlight w:val="none"/>
              </w:rPr>
            </w:pPr>
            <w:r>
              <w:rPr>
                <w:rFonts w:ascii="Times New Roman" w:cs="Times New Roman" w:hAnsi="Times New Roman"/>
                <w:color w:val="auto"/>
                <w:sz w:val="21"/>
                <w:szCs w:val="21"/>
                <w:vertAlign w:val="baseline"/>
                <w:lang w:val="en-US" w:eastAsia="zh-CN"/>
                <w:highlight w:val="none"/>
              </w:rPr>
              <w:t>过程</w:t>
            </w:r>
          </w:p>
        </w:tc>
        <w:tc>
          <w:tcPr>
            <w:tcW w:w="91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28</w:t>
            </w:r>
            <w:r>
              <w:rPr>
                <w:rFonts w:ascii="Times New Roman" w:cs="Times New Roman" w:hAnsi="Times New Roman" w:hint="eastAsia"/>
                <w:i w:val="0"/>
                <w:iCs w:val="0"/>
                <w:color w:val="000000"/>
                <w:kern w:val="0"/>
                <w:sz w:val="21"/>
                <w:szCs w:val="21"/>
                <w:u w:val="none"/>
                <w:lang w:val="en-US" w:eastAsia="zh-CN"/>
              </w:rPr>
              <w:t>%</w:t>
            </w: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要求、标书和合同的评审</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要求、标书和合同的评审</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方法的选择、验证和确认</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方法的选择、验证和确认</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color w:val="auto"/>
                <w:sz w:val="21"/>
                <w:szCs w:val="21"/>
                <w:shd w:val="clear" w:color="auto" w:fill="auto"/>
                <w:lang w:val="en-US" w:eastAsia="zh-CN"/>
                <w:highlight w:val="none"/>
              </w:rPr>
              <w:t>抽样</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9</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color w:val="auto"/>
                <w:sz w:val="21"/>
                <w:szCs w:val="21"/>
                <w:shd w:val="clear" w:color="auto" w:fill="auto"/>
                <w:lang w:val="en-US" w:eastAsia="zh-CN"/>
                <w:highlight w:val="none"/>
              </w:rPr>
              <w:t>抽样</w:t>
            </w:r>
          </w:p>
        </w:tc>
        <w:tc>
          <w:tcPr>
            <w:tcW w:w="1120" w:type="dxa"/>
            <w:vAlign w:val="center"/>
          </w:tcPr>
          <w:p>
            <w:pPr>
              <w:spacing w:line="240" w:lineRule="auto"/>
              <w:jc w:val="center"/>
              <w:rPr>
                <w:rFonts w:ascii="Times New Roman" w:cs="Times New Roman" w:hAnsi="Times New Roman"/>
                <w:color w:val="auto"/>
                <w:sz w:val="21"/>
                <w:szCs w:val="21"/>
                <w:vertAlign w:val="baseline"/>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检测物品的处置</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10</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检测物品的处置</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技术记录</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14</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技术记录</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测量不确定度的评定</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5</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测量不确定度的评定</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确保结果有效性</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7</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确保结果有效性</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报告结果</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报告结果</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投诉</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2</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投诉</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不符合工作</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4</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不符合工作</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数据控制和信息管理</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shd w:val="clear" w:color="auto" w:fill="auto"/>
                <w:lang w:val="en-US" w:eastAsia="zh-CN"/>
                <w:highlight w:val="none"/>
              </w:rPr>
            </w:pPr>
            <w:r>
              <w:rPr>
                <w:rFonts w:ascii="Times New Roman" w:eastAsia="宋体" w:cs="Times New Roman" w:hAnsi="Times New Roman"/>
                <w:i w:val="0"/>
                <w:iCs w:val="0"/>
                <w:color w:val="000000"/>
                <w:kern w:val="0"/>
                <w:sz w:val="21"/>
                <w:szCs w:val="21"/>
                <w:u w:val="none"/>
                <w:lang w:val="en-US" w:eastAsia="zh-CN"/>
              </w:rPr>
              <w:t>10</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shd w:val="clear" w:color="auto" w:fill="auto"/>
                <w:lang w:val="en-US" w:eastAsia="zh-CN"/>
                <w:highlight w:val="none"/>
              </w:rPr>
              <w:t>数据控制和信息管理</w:t>
            </w:r>
          </w:p>
        </w:tc>
        <w:tc>
          <w:tcPr>
            <w:tcW w:w="1120" w:type="dxa"/>
            <w:vAlign w:val="center"/>
          </w:tcPr>
          <w:p>
            <w:pPr>
              <w:spacing w:line="240" w:lineRule="auto"/>
              <w:jc w:val="center"/>
              <w:rPr>
                <w:rFonts w:ascii="Times New Roman" w:cs="Times New Roman" w:hAnsi="Times New Roman"/>
                <w:color w:val="auto"/>
                <w:sz w:val="21"/>
                <w:szCs w:val="21"/>
                <w:shd w:val="clear" w:color="auto" w:fill="auto"/>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restart"/>
            <w:vAlign w:val="center"/>
          </w:tcPr>
          <w:p>
            <w:pPr>
              <w:tabs>
                <w:tab w:val="left" w:pos="0"/>
              </w:tabs>
              <w:spacing w:line="240" w:lineRule="auto"/>
              <w:jc w:val="center"/>
              <w:rPr>
                <w:rFonts w:ascii="Times New Roman" w:cs="Times New Roman" w:hAnsi="Times New Roman"/>
                <w:color w:val="auto"/>
                <w:sz w:val="21"/>
                <w:szCs w:val="21"/>
                <w:vertAlign w:val="baseline"/>
                <w:highlight w:val="none"/>
              </w:rPr>
            </w:pPr>
            <w:r>
              <w:rPr>
                <w:rFonts w:ascii="Times New Roman" w:cs="Times New Roman" w:hAnsi="Times New Roman"/>
                <w:color w:val="auto"/>
                <w:sz w:val="21"/>
                <w:szCs w:val="21"/>
                <w:vertAlign w:val="baseline"/>
                <w:lang w:val="en-US" w:eastAsia="zh-CN"/>
                <w:highlight w:val="none"/>
              </w:rPr>
              <w:t>体系</w:t>
            </w:r>
          </w:p>
        </w:tc>
        <w:tc>
          <w:tcPr>
            <w:tcW w:w="917" w:type="dxa"/>
            <w:vMerge w:val="restart"/>
            <w:vAlign w:val="center"/>
          </w:tcPr>
          <w:p>
            <w:pPr>
              <w:keepNext w:val="0"/>
              <w:keepLines w:val="0"/>
              <w:widowControl/>
              <w:suppressLineNumbers w:val="0"/>
              <w:jc w:val="center"/>
              <w:textAlignment w:val="center"/>
              <w:rPr>
                <w:rFonts w:ascii="Times New Roman" w:cs="Times New Roman" w:hAnsi="Times New Roman"/>
                <w:color w:val="auto"/>
                <w:sz w:val="21"/>
                <w:szCs w:val="21"/>
                <w:vertAlign w:val="baseline"/>
                <w:lang w:val="en-US" w:eastAsia="zh-CN"/>
                <w:highlight w:val="none"/>
              </w:rPr>
            </w:pPr>
            <w:r>
              <w:rPr>
                <w:rFonts w:ascii="Times New Roman" w:eastAsia="宋体" w:cs="Times New Roman" w:hAnsi="Times New Roman"/>
                <w:i w:val="0"/>
                <w:iCs w:val="0"/>
                <w:color w:val="000000"/>
                <w:kern w:val="0"/>
                <w:sz w:val="21"/>
                <w:szCs w:val="21"/>
                <w:u w:val="none"/>
                <w:lang w:val="en-US" w:eastAsia="zh-CN"/>
              </w:rPr>
              <w:t>22</w:t>
            </w:r>
            <w:r>
              <w:rPr>
                <w:rFonts w:ascii="Times New Roman" w:cs="Times New Roman" w:hAnsi="Times New Roman" w:hint="eastAsia"/>
                <w:i w:val="0"/>
                <w:iCs w:val="0"/>
                <w:color w:val="000000"/>
                <w:kern w:val="0"/>
                <w:sz w:val="21"/>
                <w:szCs w:val="21"/>
                <w:u w:val="none"/>
                <w:lang w:val="en-US" w:eastAsia="zh-CN"/>
              </w:rPr>
              <w:t>%</w:t>
            </w: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eastAsia="宋体" w:cs="Times New Roman" w:hAnsi="Times New Roman"/>
                <w:color w:val="auto"/>
                <w:sz w:val="21"/>
                <w:szCs w:val="21"/>
                <w:lang w:val="en-US" w:eastAsia="zh-CN"/>
                <w:highlight w:val="none"/>
              </w:rPr>
              <w:t>文件控制</w:t>
            </w:r>
          </w:p>
        </w:tc>
        <w:tc>
          <w:tcPr>
            <w:tcW w:w="1297" w:type="dxa"/>
            <w:vAlign w:val="center"/>
          </w:tcPr>
          <w:p>
            <w:pPr>
              <w:keepNext w:val="0"/>
              <w:keepLines w:val="0"/>
              <w:widowControl/>
              <w:suppressLineNumbers w:val="0"/>
              <w:jc w:val="center"/>
              <w:textAlignment w:val="center"/>
              <w:rPr>
                <w:rFonts w:ascii="Times New Roman" w:eastAsia="宋体"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23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eastAsia="宋体" w:cs="Times New Roman" w:hAnsi="Times New Roman"/>
                <w:color w:val="auto"/>
                <w:sz w:val="21"/>
                <w:szCs w:val="21"/>
                <w:lang w:val="en-US" w:eastAsia="zh-CN"/>
                <w:highlight w:val="none"/>
              </w:rPr>
              <w:t>文件控制</w:t>
            </w:r>
          </w:p>
        </w:tc>
        <w:tc>
          <w:tcPr>
            <w:tcW w:w="1120" w:type="dxa"/>
            <w:vAlign w:val="center"/>
          </w:tcPr>
          <w:p>
            <w:pPr>
              <w:spacing w:line="240" w:lineRule="auto"/>
              <w:jc w:val="center"/>
              <w:rPr>
                <w:rFonts w:ascii="Times New Roman" w:eastAsia="宋体"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记录控制</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24</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记录控制</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应对风险和机遇的措施</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8</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应对风险和机遇的措施</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改进</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10</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改进</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纠正措施</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11</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vertAlign w:val="baseline"/>
                <w:lang w:val="en-US" w:eastAsia="zh-CN" w:bidi="ar-SA"/>
                <w:highlight w:val="none"/>
              </w:rPr>
            </w:pPr>
            <w:r>
              <w:rPr>
                <w:rFonts w:ascii="Times New Roman" w:cs="Times New Roman" w:hAnsi="Times New Roman"/>
                <w:color w:val="auto"/>
                <w:sz w:val="21"/>
                <w:szCs w:val="21"/>
                <w:lang w:val="en-US" w:eastAsia="zh-CN"/>
                <w:highlight w:val="none"/>
              </w:rPr>
              <w:t>纠正措施</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color w:val="auto"/>
                <w:sz w:val="21"/>
                <w:szCs w:val="21"/>
                <w:lang w:val="en-US" w:eastAsia="zh-CN"/>
                <w:highlight w:val="none"/>
              </w:rPr>
              <w:t>内部审核</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15</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color w:val="auto"/>
                <w:sz w:val="21"/>
                <w:szCs w:val="21"/>
                <w:lang w:val="en-US" w:eastAsia="zh-CN"/>
                <w:highlight w:val="none"/>
              </w:rPr>
              <w:t>内部审核</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rPr>
          <w:trHeight w:val="90"/>
        </w:trP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color w:val="auto"/>
                <w:sz w:val="21"/>
                <w:szCs w:val="21"/>
                <w:lang w:val="en-US" w:eastAsia="zh-CN"/>
                <w:highlight w:val="none"/>
              </w:rPr>
              <w:t>管理评审</w:t>
            </w:r>
          </w:p>
        </w:tc>
        <w:tc>
          <w:tcPr>
            <w:tcW w:w="1297" w:type="dxa"/>
            <w:vAlign w:val="center"/>
          </w:tcPr>
          <w:p>
            <w:pPr>
              <w:keepNext w:val="0"/>
              <w:keepLines w:val="0"/>
              <w:widowControl/>
              <w:suppressLineNumbers w:val="0"/>
              <w:jc w:val="center"/>
              <w:textAlignment w:val="center"/>
              <w:rPr>
                <w:rFonts w:ascii="Times New Roman" w:cs="Times New Roman" w:hAnsi="Times New Roman"/>
                <w:color w:val="auto"/>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9</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color w:val="auto"/>
                <w:sz w:val="21"/>
                <w:szCs w:val="21"/>
                <w:lang w:val="en-US" w:eastAsia="zh-CN"/>
                <w:highlight w:val="none"/>
              </w:rPr>
              <w:t>管理评审</w:t>
            </w:r>
          </w:p>
        </w:tc>
        <w:tc>
          <w:tcPr>
            <w:tcW w:w="1120" w:type="dxa"/>
            <w:vAlign w:val="center"/>
          </w:tcPr>
          <w:p>
            <w:pPr>
              <w:spacing w:line="240" w:lineRule="auto"/>
              <w:jc w:val="center"/>
              <w:rPr>
                <w:rFonts w:ascii="Times New Roman" w:cs="Times New Roman" w:hAnsi="Times New Roman"/>
                <w:color w:val="auto"/>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restart"/>
            <w:vAlign w:val="center"/>
          </w:tcPr>
          <w:p>
            <w:pPr>
              <w:tabs>
                <w:tab w:val="left" w:pos="0"/>
              </w:tabs>
              <w:spacing w:line="240" w:lineRule="auto"/>
              <w:jc w:val="center"/>
              <w:rPr>
                <w:rFonts w:ascii="Times New Roman" w:cs="Times New Roman" w:hAnsi="Times New Roman"/>
                <w:color w:val="auto"/>
                <w:sz w:val="21"/>
                <w:szCs w:val="21"/>
                <w:vertAlign w:val="baseline"/>
                <w:highlight w:val="none"/>
              </w:rPr>
            </w:pPr>
            <w:r>
              <w:rPr>
                <w:rFonts w:ascii="Times New Roman" w:cs="Times New Roman" w:hAnsi="Times New Roman"/>
                <w:color w:val="auto"/>
                <w:sz w:val="21"/>
                <w:szCs w:val="21"/>
                <w:vertAlign w:val="baseline"/>
                <w:lang w:val="en-US" w:eastAsia="zh-CN"/>
                <w:highlight w:val="none"/>
              </w:rPr>
              <w:t>项目</w:t>
            </w:r>
          </w:p>
        </w:tc>
        <w:tc>
          <w:tcPr>
            <w:tcW w:w="917" w:type="dxa"/>
            <w:vMerge w:val="restart"/>
            <w:vAlign w:val="center"/>
          </w:tcPr>
          <w:p>
            <w:pPr>
              <w:keepNext w:val="0"/>
              <w:keepLines w:val="0"/>
              <w:widowControl/>
              <w:suppressLineNumbers w:val="0"/>
              <w:jc w:val="center"/>
              <w:textAlignment w:val="center"/>
              <w:rPr>
                <w:rFonts w:ascii="Times New Roman"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16</w:t>
            </w:r>
            <w:r>
              <w:rPr>
                <w:rFonts w:ascii="Times New Roman" w:cs="Times New Roman" w:hAnsi="Times New Roman" w:hint="eastAsia"/>
                <w:i w:val="0"/>
                <w:iCs w:val="0"/>
                <w:color w:val="000000"/>
                <w:kern w:val="0"/>
                <w:sz w:val="21"/>
                <w:szCs w:val="21"/>
                <w:u w:val="none"/>
                <w:lang w:val="en-US" w:eastAsia="zh-CN"/>
              </w:rPr>
              <w:t>%</w:t>
            </w: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sz w:val="21"/>
                <w:szCs w:val="21"/>
                <w:lang w:val="en-US" w:eastAsia="zh-CN"/>
                <w:highlight w:val="none"/>
              </w:rPr>
              <w:t>检测方案</w:t>
            </w:r>
          </w:p>
        </w:tc>
        <w:tc>
          <w:tcPr>
            <w:tcW w:w="1297" w:type="dxa"/>
            <w:vAlign w:val="center"/>
          </w:tcPr>
          <w:p>
            <w:pPr>
              <w:keepNext w:val="0"/>
              <w:keepLines w:val="0"/>
              <w:widowControl/>
              <w:suppressLineNumbers w:val="0"/>
              <w:jc w:val="center"/>
              <w:textAlignment w:val="center"/>
              <w:rPr>
                <w:rFonts w:ascii="Times New Roman"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23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color w:val="auto"/>
                <w:kern w:val="2"/>
                <w:sz w:val="21"/>
                <w:szCs w:val="21"/>
                <w:lang w:val="en-US" w:eastAsia="zh-CN" w:bidi="ar-SA"/>
                <w:highlight w:val="none"/>
              </w:rPr>
            </w:pPr>
            <w:r>
              <w:rPr>
                <w:rFonts w:ascii="Times New Roman" w:cs="Times New Roman" w:hAnsi="Times New Roman"/>
                <w:sz w:val="21"/>
                <w:szCs w:val="21"/>
                <w:lang w:val="en-US" w:eastAsia="zh-CN"/>
                <w:highlight w:val="none"/>
              </w:rPr>
              <w:t>检测方案</w:t>
            </w:r>
          </w:p>
        </w:tc>
        <w:tc>
          <w:tcPr>
            <w:tcW w:w="1120" w:type="dxa"/>
            <w:vAlign w:val="center"/>
          </w:tcPr>
          <w:p>
            <w:pPr>
              <w:spacing w:line="240" w:lineRule="auto"/>
              <w:jc w:val="center"/>
              <w:rPr>
                <w:rFonts w:ascii="Times New Roman" w:cs="Times New Roman" w:hAnsi="Times New Roman"/>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cs="Times New Roman" w:hAnsi="Times New Roman"/>
                <w:sz w:val="21"/>
                <w:szCs w:val="21"/>
                <w:lang w:val="en-US" w:eastAsia="zh-CN"/>
                <w:highlight w:val="none"/>
              </w:rPr>
              <w:t>见证取样</w:t>
            </w:r>
          </w:p>
        </w:tc>
        <w:tc>
          <w:tcPr>
            <w:tcW w:w="1297" w:type="dxa"/>
            <w:vAlign w:val="center"/>
          </w:tcPr>
          <w:p>
            <w:pPr>
              <w:keepNext w:val="0"/>
              <w:keepLines w:val="0"/>
              <w:widowControl/>
              <w:suppressLineNumbers w:val="0"/>
              <w:jc w:val="center"/>
              <w:textAlignment w:val="center"/>
              <w:rPr>
                <w:rFonts w:ascii="Times New Roman"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23</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cs="Times New Roman" w:hAnsi="Times New Roman"/>
                <w:sz w:val="21"/>
                <w:szCs w:val="21"/>
                <w:lang w:val="en-US" w:eastAsia="zh-CN"/>
                <w:highlight w:val="none"/>
              </w:rPr>
              <w:t>见证取样</w:t>
            </w:r>
          </w:p>
        </w:tc>
        <w:tc>
          <w:tcPr>
            <w:tcW w:w="1120" w:type="dxa"/>
            <w:vAlign w:val="center"/>
          </w:tcPr>
          <w:p>
            <w:pPr>
              <w:spacing w:line="240" w:lineRule="auto"/>
              <w:jc w:val="center"/>
              <w:rPr>
                <w:rFonts w:ascii="Times New Roman" w:cs="Times New Roman" w:hAnsi="Times New Roman"/>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cs="Times New Roman" w:hAnsi="Times New Roman"/>
                <w:sz w:val="21"/>
                <w:szCs w:val="21"/>
                <w:lang w:val="en-US" w:eastAsia="zh-CN"/>
                <w:highlight w:val="none"/>
              </w:rPr>
              <w:t>送检</w:t>
            </w:r>
          </w:p>
        </w:tc>
        <w:tc>
          <w:tcPr>
            <w:tcW w:w="1297" w:type="dxa"/>
            <w:vAlign w:val="center"/>
          </w:tcPr>
          <w:p>
            <w:pPr>
              <w:keepNext w:val="0"/>
              <w:keepLines w:val="0"/>
              <w:widowControl/>
              <w:suppressLineNumbers w:val="0"/>
              <w:jc w:val="center"/>
              <w:textAlignment w:val="center"/>
              <w:rPr>
                <w:rFonts w:ascii="Times New Roman"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22</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cs="Times New Roman" w:hAnsi="Times New Roman"/>
                <w:sz w:val="21"/>
                <w:szCs w:val="21"/>
                <w:lang w:val="en-US" w:eastAsia="zh-CN"/>
                <w:highlight w:val="none"/>
              </w:rPr>
              <w:t>送检</w:t>
            </w:r>
          </w:p>
        </w:tc>
        <w:tc>
          <w:tcPr>
            <w:tcW w:w="1120" w:type="dxa"/>
            <w:vAlign w:val="center"/>
          </w:tcPr>
          <w:p>
            <w:pPr>
              <w:spacing w:line="240" w:lineRule="auto"/>
              <w:jc w:val="center"/>
              <w:rPr>
                <w:rFonts w:ascii="Times New Roman" w:cs="Times New Roman" w:hAnsi="Times New Roman"/>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eastAsia="宋体" w:cs="Times New Roman" w:hAnsi="Times New Roman"/>
                <w:sz w:val="21"/>
                <w:szCs w:val="21"/>
                <w:lang w:val="en-US" w:eastAsia="zh-CN"/>
                <w:highlight w:val="none"/>
              </w:rPr>
              <w:t>进度</w:t>
            </w:r>
          </w:p>
        </w:tc>
        <w:tc>
          <w:tcPr>
            <w:tcW w:w="1297" w:type="dxa"/>
            <w:vAlign w:val="center"/>
          </w:tcPr>
          <w:p>
            <w:pPr>
              <w:keepNext w:val="0"/>
              <w:keepLines w:val="0"/>
              <w:widowControl/>
              <w:suppressLineNumbers w:val="0"/>
              <w:jc w:val="center"/>
              <w:textAlignment w:val="center"/>
              <w:rPr>
                <w:rFonts w:ascii="Times New Roman" w:eastAsia="宋体"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18</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eastAsia="宋体" w:cs="Times New Roman" w:hAnsi="Times New Roman"/>
                <w:sz w:val="21"/>
                <w:szCs w:val="21"/>
                <w:lang w:val="en-US" w:eastAsia="zh-CN"/>
                <w:highlight w:val="none"/>
              </w:rPr>
              <w:t>进度</w:t>
            </w:r>
          </w:p>
        </w:tc>
        <w:tc>
          <w:tcPr>
            <w:tcW w:w="1120" w:type="dxa"/>
            <w:vAlign w:val="center"/>
          </w:tcPr>
          <w:p>
            <w:pPr>
              <w:spacing w:line="240" w:lineRule="auto"/>
              <w:jc w:val="center"/>
              <w:rPr>
                <w:rFonts w:ascii="Times New Roman" w:eastAsia="宋体" w:cs="Times New Roman" w:hAnsi="Times New Roman"/>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r>
        <w:tc>
          <w:tcPr>
            <w:tcW w:w="1083" w:type="dxa"/>
            <w:vMerge/>
            <w:vAlign w:val="center"/>
          </w:tcPr>
          <w:p/>
        </w:tc>
        <w:tc>
          <w:tcPr>
            <w:tcW w:w="917" w:type="dxa"/>
            <w:vMerge/>
            <w:vAlign w:val="center"/>
          </w:tcPr>
          <w:p/>
        </w:tc>
        <w:tc>
          <w:tcPr>
            <w:tcW w:w="1752"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eastAsia="宋体" w:cs="Times New Roman" w:hAnsi="Times New Roman"/>
                <w:sz w:val="21"/>
                <w:szCs w:val="21"/>
                <w:lang w:val="en-US" w:eastAsia="zh-CN"/>
                <w:highlight w:val="none"/>
              </w:rPr>
              <w:t>相关方</w:t>
            </w:r>
          </w:p>
        </w:tc>
        <w:tc>
          <w:tcPr>
            <w:tcW w:w="1297" w:type="dxa"/>
            <w:vAlign w:val="center"/>
          </w:tcPr>
          <w:p>
            <w:pPr>
              <w:keepNext w:val="0"/>
              <w:keepLines w:val="0"/>
              <w:widowControl/>
              <w:suppressLineNumbers w:val="0"/>
              <w:jc w:val="center"/>
              <w:textAlignment w:val="center"/>
              <w:rPr>
                <w:rFonts w:ascii="Times New Roman" w:eastAsia="宋体" w:cs="Times New Roman" w:hAnsi="Times New Roman"/>
                <w:sz w:val="21"/>
                <w:szCs w:val="21"/>
                <w:lang w:val="en-US" w:eastAsia="zh-CN"/>
                <w:highlight w:val="none"/>
              </w:rPr>
            </w:pPr>
            <w:r>
              <w:rPr>
                <w:rFonts w:ascii="Times New Roman" w:eastAsia="宋体" w:cs="Times New Roman" w:hAnsi="Times New Roman"/>
                <w:i w:val="0"/>
                <w:iCs w:val="0"/>
                <w:color w:val="000000"/>
                <w:kern w:val="0"/>
                <w:sz w:val="21"/>
                <w:szCs w:val="21"/>
                <w:u w:val="none"/>
                <w:lang w:val="en-US" w:eastAsia="zh-CN"/>
              </w:rPr>
              <w:t>15</w:t>
            </w:r>
            <w:r>
              <w:rPr>
                <w:rFonts w:ascii="Times New Roman" w:cs="Times New Roman" w:hAnsi="Times New Roman" w:hint="eastAsia"/>
                <w:i w:val="0"/>
                <w:iCs w:val="0"/>
                <w:color w:val="000000"/>
                <w:kern w:val="0"/>
                <w:sz w:val="21"/>
                <w:szCs w:val="21"/>
                <w:u w:val="none"/>
                <w:lang w:val="en-US" w:eastAsia="zh-CN"/>
              </w:rPr>
              <w:t>%</w:t>
            </w:r>
          </w:p>
        </w:tc>
        <w:tc>
          <w:tcPr>
            <w:tcW w:w="2351" w:type="dxa"/>
            <w:shd w:val="clear" w:color="auto" w:fill="auto"/>
            <w:vAlign w:val="center"/>
          </w:tcPr>
          <w:p>
            <w:pPr>
              <w:tabs>
                <w:tab w:val="left" w:pos="0"/>
              </w:tabs>
              <w:spacing w:line="240" w:lineRule="auto"/>
              <w:ind w:left="0" w:firstLine="0"/>
              <w:jc w:val="center"/>
              <w:rPr>
                <w:rFonts w:ascii="Times New Roman" w:eastAsia="宋体" w:cs="Times New Roman" w:hAnsi="Times New Roman"/>
                <w:kern w:val="2"/>
                <w:sz w:val="21"/>
                <w:szCs w:val="21"/>
                <w:lang w:val="en-US" w:eastAsia="zh-CN" w:bidi="ar-SA"/>
                <w:highlight w:val="none"/>
              </w:rPr>
            </w:pPr>
            <w:r>
              <w:rPr>
                <w:rFonts w:ascii="Times New Roman" w:eastAsia="宋体" w:cs="Times New Roman" w:hAnsi="Times New Roman"/>
                <w:sz w:val="21"/>
                <w:szCs w:val="21"/>
                <w:lang w:val="en-US" w:eastAsia="zh-CN"/>
                <w:highlight w:val="none"/>
              </w:rPr>
              <w:t>相关方</w:t>
            </w:r>
          </w:p>
        </w:tc>
        <w:tc>
          <w:tcPr>
            <w:tcW w:w="1120" w:type="dxa"/>
            <w:vAlign w:val="center"/>
          </w:tcPr>
          <w:p>
            <w:pPr>
              <w:spacing w:line="240" w:lineRule="auto"/>
              <w:jc w:val="center"/>
              <w:rPr>
                <w:rFonts w:ascii="Times New Roman" w:eastAsia="宋体" w:cs="Times New Roman" w:hAnsi="Times New Roman"/>
                <w:sz w:val="21"/>
                <w:szCs w:val="21"/>
                <w:lang w:val="en-US" w:eastAsia="zh-CN"/>
                <w:highlight w:val="none"/>
              </w:rPr>
            </w:pPr>
            <w:r>
              <w:rPr>
                <w:rFonts w:ascii="Times New Roman" w:cs="Times New Roman" w:hAnsi="Times New Roman" w:hint="eastAsia"/>
                <w:b w:val="0"/>
                <w:bCs w:val="0"/>
                <w:color w:val="auto"/>
                <w:sz w:val="21"/>
                <w:szCs w:val="21"/>
                <w:vertAlign w:val="baseline"/>
                <w:lang w:val="en-US" w:eastAsia="zh-CN"/>
                <w:highlight w:val="none"/>
              </w:rPr>
              <w:t>100%</w:t>
            </w:r>
          </w:p>
        </w:tc>
      </w:tr>
    </w:tbl>
    <w:p>
      <w:pPr>
        <w:keepNext w:val="0"/>
        <w:keepLines w:val="0"/>
        <w:pageBreakBefore w:val="0"/>
        <w:widowControl w:val="0"/>
        <w:tabs>
          <w:tab w:val="left" w:pos="0"/>
        </w:tabs>
        <w:kinsoku/>
        <w:wordWrap/>
        <w:overflowPunct/>
        <w:topLinePunct w:val="0"/>
        <w:autoSpaceDE/>
        <w:autoSpaceDN/>
        <w:bidi w:val="0"/>
        <w:adjustRightInd/>
        <w:snapToGrid/>
        <w:textAlignment w:val="auto"/>
        <w:rPr>
          <w:rFonts w:ascii="Times New Roman" w:hAnsi="Times New Roman"/>
          <w:color w:val="auto"/>
          <w:lang w:val="en-US"/>
          <w:highlight w:val="none"/>
        </w:rPr>
      </w:pPr>
      <w:r>
        <w:rPr>
          <w:rFonts w:ascii="宋体" w:cs="宋体" w:hAnsi="宋体" w:hint="eastAsia"/>
          <w:kern w:val="2"/>
          <w:sz w:val="24"/>
          <w:szCs w:val="24"/>
          <w:shd w:val="clear" w:color="FFFFFF" w:fill="D9D9D9"/>
          <w:lang w:val="en-US" w:eastAsia="zh-CN"/>
        </w:rPr>
        <w:t>【条文说明】本条明确建设工程质量检测数字化管理的核心评估域及其权重配置。各能力要素、能力域与能力子域的权重，均基于广东省建设工程质量检测行业专家调研数据确定，统计置信度满足95%以上，确保权重设置的科学性与适用性。</w:t>
      </w:r>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highlight w:val="none"/>
        </w:rPr>
      </w:pPr>
      <w:r>
        <w:rPr>
          <w:rFonts w:ascii="Times New Roman" w:hAnsi="Times New Roman" w:hint="eastAsia"/>
          <w:color w:val="auto"/>
          <w:lang w:val="en-US" w:eastAsia="zh-CN"/>
          <w:highlight w:val="none"/>
        </w:rPr>
        <w:t>各能力子域的成熟度等级要求应符合下列要求：</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较高成熟度等级的要求应</w:t>
      </w:r>
      <w:r>
        <w:rPr>
          <w:rFonts w:ascii="宋体" w:cs="宋体" w:hAnsi="宋体" w:hint="eastAsia"/>
          <w:kern w:val="2"/>
          <w:sz w:val="24"/>
          <w:szCs w:val="24"/>
          <w:lang w:val="en-US" w:eastAsia="zh-CN"/>
        </w:rPr>
        <w:t>满足</w:t>
      </w:r>
      <w:r>
        <w:rPr>
          <w:rFonts w:ascii="宋体" w:eastAsia="宋体" w:cs="宋体" w:hAnsi="宋体" w:hint="eastAsia"/>
          <w:kern w:val="2"/>
          <w:sz w:val="24"/>
          <w:szCs w:val="24"/>
          <w:lang w:val="en-US" w:eastAsia="zh-CN"/>
        </w:rPr>
        <w:t>较低成熟度等级的要求</w:t>
      </w:r>
      <w:r>
        <w:rPr>
          <w:rFonts w:ascii="宋体" w:cs="宋体" w:hAnsi="宋体" w:hint="eastAsia"/>
          <w:kern w:val="2"/>
          <w:sz w:val="24"/>
          <w:szCs w:val="24"/>
          <w:lang w:val="en-US" w:eastAsia="zh-CN"/>
        </w:rPr>
        <w:t>；</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规范级</w:t>
      </w:r>
      <w:r>
        <w:rPr>
          <w:rFonts w:ascii="Times New Roman" w:hAnsi="Times New Roman" w:hint="eastAsia"/>
          <w:color w:val="auto"/>
          <w:lang w:val="en-US" w:eastAsia="zh-CN"/>
          <w:highlight w:val="none"/>
        </w:rPr>
        <w:t>能力子域</w:t>
      </w: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满足该能力子域的</w:t>
      </w:r>
      <w:r>
        <w:rPr>
          <w:rFonts w:ascii="宋体" w:eastAsia="宋体" w:cs="宋体" w:hAnsi="宋体" w:hint="eastAsia"/>
          <w:kern w:val="2"/>
          <w:sz w:val="24"/>
          <w:szCs w:val="24"/>
          <w:lang w:val="en-US" w:eastAsia="zh-CN"/>
        </w:rPr>
        <w:t>规范化</w:t>
      </w:r>
      <w:r>
        <w:rPr>
          <w:rFonts w:ascii="宋体" w:cs="宋体" w:hAnsi="宋体" w:hint="eastAsia"/>
          <w:kern w:val="2"/>
          <w:sz w:val="24"/>
          <w:szCs w:val="24"/>
          <w:lang w:val="en-US" w:eastAsia="zh-CN"/>
        </w:rPr>
        <w:t>与在线化</w:t>
      </w:r>
      <w:r>
        <w:rPr>
          <w:rFonts w:ascii="宋体" w:eastAsia="宋体" w:cs="宋体" w:hAnsi="宋体" w:hint="eastAsia"/>
          <w:kern w:val="2"/>
          <w:sz w:val="24"/>
          <w:szCs w:val="24"/>
          <w:lang w:val="en-US" w:eastAsia="zh-CN"/>
        </w:rPr>
        <w:t>运行</w:t>
      </w:r>
      <w:r>
        <w:rPr>
          <w:rFonts w:ascii="宋体" w:cs="宋体" w:hAnsi="宋体" w:hint="eastAsia"/>
          <w:kern w:val="2"/>
          <w:sz w:val="24"/>
          <w:szCs w:val="24"/>
          <w:lang w:val="en-US" w:eastAsia="zh-CN"/>
        </w:rPr>
        <w:t>；</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场景级</w:t>
      </w:r>
      <w:r>
        <w:rPr>
          <w:rFonts w:ascii="Times New Roman" w:hAnsi="Times New Roman" w:hint="eastAsia"/>
          <w:color w:val="auto"/>
          <w:lang w:val="en-US" w:eastAsia="zh-CN"/>
          <w:highlight w:val="none"/>
        </w:rPr>
        <w:t>能力子域</w:t>
      </w: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满足该能力子域数据采集、数据分析与数据应用的自动化；</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领域级</w:t>
      </w:r>
      <w:r>
        <w:rPr>
          <w:rFonts w:ascii="Times New Roman" w:hAnsi="Times New Roman" w:hint="eastAsia"/>
          <w:color w:val="auto"/>
          <w:lang w:val="en-US" w:eastAsia="zh-CN"/>
          <w:highlight w:val="none"/>
        </w:rPr>
        <w:t>能力子域</w:t>
      </w: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满足该能力子域业务知识和能力的模型化、模块化和平台化；</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平台级</w:t>
      </w:r>
      <w:r>
        <w:rPr>
          <w:rFonts w:ascii="Times New Roman" w:hAnsi="Times New Roman" w:hint="eastAsia"/>
          <w:color w:val="auto"/>
          <w:lang w:val="en-US" w:eastAsia="zh-CN"/>
          <w:highlight w:val="none"/>
        </w:rPr>
        <w:t>能力子域</w:t>
      </w: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满足该能力子域与建设各方和监管机构等外部相关方的系统互联、数据互通与业务协同；</w:t>
      </w:r>
    </w:p>
    <w:p>
      <w:pPr>
        <w:keepNext w:val="0"/>
        <w:keepLines w:val="0"/>
        <w:widowControl w:val="0"/>
        <w:numPr>
          <w:ilvl w:val="0"/>
          <w:numId w:val="39"/>
        </w:numPr>
        <w:suppressLineNumbers w:val="0"/>
        <w:autoSpaceDE w:val="0"/>
        <w:autoSpaceDN/>
        <w:spacing w:before="0" w:beforeAutospacing="0" w:after="0" w:afterAutospacing="0" w:line="360" w:lineRule="auto"/>
        <w:ind w:left="0" w:right="0" w:firstLineChars="200" w:firstLine="480"/>
        <w:jc w:val="both"/>
        <w:rPr>
          <w:rFonts w:ascii="宋体" w:eastAsia="宋体" w:cs="宋体" w:hAnsi="宋体" w:hint="eastAsia"/>
          <w:kern w:val="2"/>
          <w:sz w:val="24"/>
          <w:szCs w:val="24"/>
          <w:lang w:val="en-US" w:eastAsia="zh-CN"/>
        </w:rPr>
      </w:pPr>
      <w:r>
        <w:rPr>
          <w:rFonts w:ascii="宋体" w:eastAsia="宋体" w:cs="宋体" w:hAnsi="宋体" w:hint="eastAsia"/>
          <w:kern w:val="2"/>
          <w:sz w:val="24"/>
          <w:szCs w:val="24"/>
          <w:lang w:val="en-US" w:eastAsia="zh-CN"/>
        </w:rPr>
        <w:t>生态级</w:t>
      </w:r>
      <w:r>
        <w:rPr>
          <w:rFonts w:ascii="Times New Roman" w:hAnsi="Times New Roman" w:hint="eastAsia"/>
          <w:color w:val="auto"/>
          <w:lang w:val="en-US" w:eastAsia="zh-CN"/>
          <w:highlight w:val="none"/>
        </w:rPr>
        <w:t>能力子域</w:t>
      </w:r>
      <w:r>
        <w:rPr>
          <w:rFonts w:ascii="宋体" w:eastAsia="宋体" w:cs="宋体" w:hAnsi="宋体" w:hint="eastAsia"/>
          <w:kern w:val="2"/>
          <w:sz w:val="24"/>
          <w:szCs w:val="24"/>
          <w:lang w:val="en-US" w:eastAsia="zh-CN"/>
        </w:rPr>
        <w:t>应</w:t>
      </w:r>
      <w:r>
        <w:rPr>
          <w:rFonts w:ascii="宋体" w:cs="宋体" w:hAnsi="宋体" w:hint="eastAsia"/>
          <w:kern w:val="2"/>
          <w:sz w:val="24"/>
          <w:szCs w:val="24"/>
          <w:lang w:val="en-US" w:eastAsia="zh-CN"/>
        </w:rPr>
        <w:t>满足在广东省建筑工程质量检测行业内该能力子域的业务共建共创共享、共生发展和学习进化，形成行业级数字化生态。</w:t>
      </w:r>
    </w:p>
    <w:p>
      <w:pPr>
        <w:keepNext w:val="0"/>
        <w:keepLines w:val="0"/>
        <w:widowControl w:val="0"/>
        <w:suppressLineNumbers w:val="0"/>
        <w:tabs>
          <w:tab w:val="left" w:pos="0"/>
        </w:tabs>
        <w:autoSpaceDE w:val="0"/>
        <w:autoSpaceDN/>
        <w:spacing w:before="0" w:beforeAutospacing="0" w:after="0" w:afterAutospacing="0" w:line="360" w:lineRule="auto"/>
        <w:ind w:right="0"/>
        <w:jc w:val="both"/>
        <w:rPr>
          <w:rFonts w:ascii="Times New Roman" w:cs="Times New Roman" w:hAnsi="Times New Roman" w:hint="eastAsia"/>
          <w:kern w:val="2"/>
          <w:sz w:val="24"/>
          <w:szCs w:val="24"/>
          <w:shd w:val="clear" w:color="FFFFFF" w:fill="D9D9D9"/>
          <w:lang w:val="en-US" w:eastAsia="zh-CN"/>
        </w:rPr>
      </w:pPr>
      <w:r>
        <w:rPr>
          <w:rFonts w:ascii="宋体" w:cs="宋体" w:hAnsi="宋体" w:hint="eastAsia"/>
          <w:kern w:val="2"/>
          <w:sz w:val="24"/>
          <w:szCs w:val="24"/>
          <w:shd w:val="clear" w:color="FFFFFF" w:fill="D9D9D9"/>
          <w:lang w:val="en-US" w:eastAsia="zh-CN"/>
        </w:rPr>
        <w:t>【条文说明】本</w:t>
      </w:r>
      <w:r>
        <w:rPr>
          <w:rFonts w:ascii="Times New Roman" w:cs="Times New Roman" w:hAnsi="Times New Roman"/>
          <w:kern w:val="2"/>
          <w:sz w:val="24"/>
          <w:szCs w:val="24"/>
          <w:shd w:val="clear" w:color="FFFFFF" w:fill="D9D9D9"/>
          <w:lang w:val="en-US" w:eastAsia="zh-CN"/>
        </w:rPr>
        <w:t>条</w:t>
      </w:r>
      <w:r>
        <w:rPr>
          <w:rFonts w:ascii="Times New Roman" w:cs="Times New Roman" w:hAnsi="Times New Roman" w:hint="eastAsia"/>
          <w:kern w:val="2"/>
          <w:sz w:val="24"/>
          <w:szCs w:val="24"/>
          <w:shd w:val="clear" w:color="FFFFFF" w:fill="D9D9D9"/>
          <w:lang w:val="en-US" w:eastAsia="zh-CN"/>
        </w:rPr>
        <w:t>根据</w:t>
      </w:r>
      <w:r>
        <w:rPr>
          <w:rFonts w:ascii="Times New Roman" w:cs="Times New Roman" w:hAnsi="Times New Roman"/>
          <w:kern w:val="2"/>
          <w:sz w:val="24"/>
          <w:szCs w:val="24"/>
          <w:shd w:val="clear" w:color="FFFFFF" w:fill="D9D9D9"/>
          <w:lang w:val="en-US" w:eastAsia="zh-CN"/>
        </w:rPr>
        <w:t>《数字化转型管理 参考架构》GBT 45341-2025、《智能制造能力成熟度模型》GB/T 39116-2020</w:t>
      </w:r>
      <w:r>
        <w:rPr>
          <w:rFonts w:ascii="Times New Roman" w:cs="Times New Roman" w:hAnsi="Times New Roman" w:hint="eastAsia"/>
          <w:kern w:val="2"/>
          <w:sz w:val="24"/>
          <w:szCs w:val="24"/>
          <w:shd w:val="clear" w:color="FFFFFF" w:fill="D9D9D9"/>
          <w:lang w:val="en-US" w:eastAsia="zh-CN"/>
        </w:rPr>
        <w:t>等标准的有关规定，结合广东省建筑工程质量检测行业发展现状与数字化需求提出各成熟度等级的要求，以下是各成熟度等级要求更详细的说明，便于更精准的评估：</w:t>
      </w:r>
    </w:p>
    <w:p>
      <w:pPr>
        <w:keepNext w:val="0"/>
        <w:keepLines w:val="0"/>
        <w:widowControl w:val="0"/>
        <w:suppressLineNumbers w:val="0"/>
        <w:tabs>
          <w:tab w:val="left" w:pos="0"/>
        </w:tabs>
        <w:autoSpaceDE w:val="0"/>
        <w:autoSpaceDN/>
        <w:spacing w:before="0" w:beforeAutospacing="0" w:after="0" w:afterAutospacing="0" w:line="360" w:lineRule="auto"/>
        <w:ind w:left="0" w:right="0" w:firstLineChars="200" w:firstLine="480"/>
        <w:jc w:val="both"/>
        <w:rPr>
          <w:rFonts w:ascii="Times New Roman" w:cs="Times New Roman" w:hAnsi="Times New Roman" w:hint="eastAsia"/>
          <w:kern w:val="2"/>
          <w:sz w:val="24"/>
          <w:szCs w:val="24"/>
          <w:shd w:val="clear" w:color="FFFFFF" w:fill="D9D9D9"/>
          <w:lang w:val="en-US" w:eastAsia="zh-CN"/>
        </w:rPr>
      </w:pPr>
      <w:r>
        <w:rPr>
          <w:rFonts w:ascii="Times New Roman" w:cs="Times New Roman" w:hAnsi="Times New Roman" w:hint="eastAsia"/>
          <w:kern w:val="2"/>
          <w:sz w:val="24"/>
          <w:szCs w:val="24"/>
          <w:shd w:val="clear" w:color="FFFFFF" w:fill="D9D9D9"/>
          <w:lang w:val="en-US" w:eastAsia="zh-CN"/>
        </w:rPr>
        <w:t>规范级：</w:t>
      </w:r>
      <w:r>
        <w:rPr>
          <w:rFonts w:ascii="Times New Roman" w:cs="Times New Roman" w:hAnsi="Times New Roman"/>
          <w:kern w:val="2"/>
          <w:sz w:val="24"/>
          <w:szCs w:val="24"/>
          <w:shd w:val="clear" w:color="FFFFFF" w:fill="D9D9D9"/>
          <w:lang w:val="en-US" w:eastAsia="zh-CN"/>
        </w:rPr>
        <w:t>规范开展信息</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数字</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技术应用</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或规范开展基于信息</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数字</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技术的</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系统性</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解决方案策划与实施</w:t>
      </w:r>
      <w:r>
        <w:rPr>
          <w:rFonts w:ascii="Times New Roman" w:cs="Times New Roman" w:hAnsi="Times New Roman" w:hint="eastAsia"/>
          <w:kern w:val="2"/>
          <w:sz w:val="24"/>
          <w:szCs w:val="24"/>
          <w:shd w:val="clear" w:color="FFFFFF" w:fill="D9D9D9"/>
          <w:lang w:val="en-US" w:eastAsia="zh-CN"/>
        </w:rPr>
        <w:t>。</w:t>
      </w:r>
    </w:p>
    <w:p>
      <w:pPr>
        <w:keepNext w:val="0"/>
        <w:keepLines w:val="0"/>
        <w:widowControl w:val="0"/>
        <w:suppressLineNumbers w:val="0"/>
        <w:tabs>
          <w:tab w:val="left" w:pos="0"/>
        </w:tabs>
        <w:autoSpaceDE w:val="0"/>
        <w:autoSpaceDN/>
        <w:spacing w:before="0" w:beforeAutospacing="0" w:after="0" w:afterAutospacing="0" w:line="360" w:lineRule="auto"/>
        <w:ind w:left="0" w:right="0" w:firstLineChars="200" w:firstLine="480"/>
        <w:jc w:val="both"/>
        <w:rPr>
          <w:rFonts w:ascii="Times New Roman" w:cs="Times New Roman" w:hAnsi="Times New Roman"/>
          <w:kern w:val="2"/>
          <w:sz w:val="24"/>
          <w:szCs w:val="24"/>
          <w:shd w:val="clear" w:color="FFFFFF" w:fill="D9D9D9"/>
          <w:lang w:val="en-US" w:eastAsia="zh-CN"/>
        </w:rPr>
      </w:pPr>
      <w:r>
        <w:rPr>
          <w:rFonts w:ascii="Times New Roman" w:cs="Times New Roman" w:hAnsi="Times New Roman"/>
          <w:kern w:val="2"/>
          <w:sz w:val="24"/>
          <w:szCs w:val="24"/>
          <w:shd w:val="clear" w:color="FFFFFF" w:fill="D9D9D9"/>
          <w:lang w:val="en-US" w:eastAsia="zh-CN"/>
        </w:rPr>
        <w:t>场景级</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围绕场景级能力建设、运行和优化</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开展必要的设备设施改造</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系统应用</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新一代</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信息技术手段和工具</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开展主营业务范围内关键业务流程的场景级优化和职能职责调整</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基于关键业务数据自动采集开展场景级数字化建模等。</w:t>
      </w:r>
    </w:p>
    <w:p>
      <w:pPr>
        <w:keepNext w:val="0"/>
        <w:keepLines w:val="0"/>
        <w:widowControl w:val="0"/>
        <w:suppressLineNumbers w:val="0"/>
        <w:tabs>
          <w:tab w:val="left" w:pos="0"/>
        </w:tabs>
        <w:autoSpaceDE w:val="0"/>
        <w:autoSpaceDN/>
        <w:spacing w:before="0" w:beforeAutospacing="0" w:after="0" w:afterAutospacing="0" w:line="360" w:lineRule="auto"/>
        <w:ind w:left="0" w:right="0" w:firstLineChars="200" w:firstLine="480"/>
        <w:jc w:val="both"/>
        <w:rPr>
          <w:rFonts w:ascii="Times New Roman" w:cs="Times New Roman" w:hAnsi="Times New Roman"/>
          <w:kern w:val="2"/>
          <w:sz w:val="24"/>
          <w:szCs w:val="24"/>
          <w:shd w:val="clear" w:color="FFFFFF" w:fill="D9D9D9"/>
          <w:lang w:val="en-US" w:eastAsia="zh-CN"/>
        </w:rPr>
      </w:pPr>
      <w:r>
        <w:rPr>
          <w:rFonts w:ascii="Times New Roman" w:cs="Times New Roman" w:hAnsi="Times New Roman"/>
          <w:kern w:val="2"/>
          <w:sz w:val="24"/>
          <w:szCs w:val="24"/>
          <w:shd w:val="clear" w:color="FFFFFF" w:fill="D9D9D9"/>
          <w:lang w:val="en-US" w:eastAsia="zh-CN"/>
        </w:rPr>
        <w:t>领域级</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面向领域级能力建设、运行和优化</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构建传感网级网络</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集成应用IT软硬件资源</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开展覆盖全企业</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全领域</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的业务流程优化、重构和职能职责调整</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基于主要设备和各业务系统数据采集和集成共享</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构建并应用领域级数字化模型。</w:t>
      </w:r>
    </w:p>
    <w:p>
      <w:pPr>
        <w:keepNext w:val="0"/>
        <w:keepLines w:val="0"/>
        <w:widowControl w:val="0"/>
        <w:suppressLineNumbers w:val="0"/>
        <w:tabs>
          <w:tab w:val="left" w:pos="0"/>
        </w:tabs>
        <w:autoSpaceDE w:val="0"/>
        <w:autoSpaceDN/>
        <w:spacing w:before="0" w:beforeAutospacing="0" w:after="0" w:afterAutospacing="0" w:line="360" w:lineRule="auto"/>
        <w:ind w:left="0" w:right="0" w:firstLineChars="200" w:firstLine="480"/>
        <w:jc w:val="both"/>
        <w:rPr>
          <w:rFonts w:ascii="Times New Roman" w:cs="Times New Roman" w:hAnsi="Times New Roman"/>
          <w:kern w:val="2"/>
          <w:sz w:val="24"/>
          <w:szCs w:val="24"/>
          <w:shd w:val="clear" w:color="FFFFFF" w:fill="D9D9D9"/>
          <w:lang w:val="en-US" w:eastAsia="zh-CN"/>
        </w:rPr>
      </w:pPr>
      <w:r>
        <w:rPr>
          <w:rFonts w:ascii="Times New Roman" w:cs="Times New Roman" w:hAnsi="Times New Roman" w:hint="eastAsia"/>
          <w:kern w:val="2"/>
          <w:sz w:val="24"/>
          <w:szCs w:val="24"/>
          <w:shd w:val="clear" w:color="FFFFFF" w:fill="D9D9D9"/>
          <w:lang w:val="en-US" w:eastAsia="zh-CN"/>
        </w:rPr>
        <w:t>平台级：</w:t>
      </w:r>
      <w:r>
        <w:rPr>
          <w:rFonts w:ascii="Times New Roman" w:cs="Times New Roman" w:hAnsi="Times New Roman"/>
          <w:kern w:val="2"/>
          <w:sz w:val="24"/>
          <w:szCs w:val="24"/>
          <w:shd w:val="clear" w:color="FFFFFF" w:fill="D9D9D9"/>
          <w:lang w:val="en-US" w:eastAsia="zh-CN"/>
        </w:rPr>
        <w:t>通过平台级数字化和产业互联网级网络化</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建设支撑平台企业建设的系统集成架构</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业务基础资源和能力实现平台化部署</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支持按需调用</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OT网络与IT网络实现协议互通和网络互联</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基于企业内全要素、全过程以及企业间主要业务流程数据在线自动采集、交换和动态集成共享</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建设和应用平台级数字化模型。</w:t>
      </w:r>
    </w:p>
    <w:p>
      <w:pPr>
        <w:keepNext w:val="0"/>
        <w:keepLines w:val="0"/>
        <w:widowControl w:val="0"/>
        <w:suppressLineNumbers w:val="0"/>
        <w:tabs>
          <w:tab w:val="left" w:pos="0"/>
        </w:tabs>
        <w:autoSpaceDE w:val="0"/>
        <w:autoSpaceDN/>
        <w:spacing w:before="0" w:beforeAutospacing="0" w:after="0" w:afterAutospacing="0" w:line="360" w:lineRule="auto"/>
        <w:ind w:left="0" w:right="0" w:firstLineChars="200" w:firstLine="480"/>
        <w:jc w:val="both"/>
        <w:rPr>
          <w:rFonts w:ascii="Times New Roman" w:cs="Times New Roman" w:hAnsi="Times New Roman"/>
          <w:kern w:val="2"/>
          <w:sz w:val="24"/>
          <w:szCs w:val="24"/>
          <w:shd w:val="clear" w:color="FFFFFF" w:fill="D9D9D9"/>
          <w:lang w:val="en-US" w:eastAsia="zh-CN"/>
        </w:rPr>
      </w:pPr>
      <w:r>
        <w:rPr>
          <w:rFonts w:ascii="Times New Roman" w:cs="Times New Roman" w:hAnsi="Times New Roman" w:hint="eastAsia"/>
          <w:kern w:val="2"/>
          <w:sz w:val="24"/>
          <w:szCs w:val="24"/>
          <w:shd w:val="clear" w:color="FFFFFF" w:fill="D9D9D9"/>
          <w:lang w:val="en-US" w:eastAsia="zh-CN"/>
        </w:rPr>
        <w:t>生态级：</w:t>
      </w:r>
      <w:r>
        <w:rPr>
          <w:rFonts w:ascii="Times New Roman" w:cs="Times New Roman" w:hAnsi="Times New Roman"/>
          <w:kern w:val="2"/>
          <w:sz w:val="24"/>
          <w:szCs w:val="24"/>
          <w:shd w:val="clear" w:color="FFFFFF" w:fill="D9D9D9"/>
          <w:lang w:val="en-US" w:eastAsia="zh-CN"/>
        </w:rPr>
        <w:t>通过生态级数字化和泛在物联网级网络化</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建立智能化、可配置、开放灵活的智能云平台</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企业内OT网络、IT网络以及企业外互联网实现互联互通</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企业已成为社会化能力共创平台的主导企业或核心贡献者</w:t>
      </w:r>
      <w:r>
        <w:rPr>
          <w:rFonts w:ascii="Times New Roman" w:cs="Times New Roman" w:hAnsi="Times New Roman" w:hint="eastAsia"/>
          <w:kern w:val="2"/>
          <w:sz w:val="24"/>
          <w:szCs w:val="24"/>
          <w:shd w:val="clear" w:color="FFFFFF" w:fill="D9D9D9"/>
          <w:lang w:val="en-US" w:eastAsia="zh-CN"/>
        </w:rPr>
        <w:t>，</w:t>
      </w:r>
      <w:r>
        <w:rPr>
          <w:rFonts w:ascii="Times New Roman" w:cs="Times New Roman" w:hAnsi="Times New Roman"/>
          <w:kern w:val="2"/>
          <w:sz w:val="24"/>
          <w:szCs w:val="24"/>
          <w:shd w:val="clear" w:color="FFFFFF" w:fill="D9D9D9"/>
          <w:lang w:val="en-US" w:eastAsia="zh-CN"/>
        </w:rPr>
        <w:t>与合作伙伴共同实现生态基础资源和能力的平台部署、开放协作和按需利用。</w:t>
      </w:r>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highlight w:val="none"/>
        </w:rPr>
      </w:pPr>
      <w:r>
        <w:rPr>
          <w:rFonts w:ascii="Times New Roman" w:hAnsi="Times New Roman" w:hint="eastAsia"/>
          <w:color w:val="auto"/>
          <w:lang w:val="en-US" w:eastAsia="zh-CN"/>
          <w:highlight w:val="none"/>
        </w:rPr>
        <w:t>应将采集的证据与成熟度要求进行对照，按照表8.0.5的满足程度对每一项要求进行评分。</w:t>
      </w:r>
    </w:p>
    <w:p>
      <w:pPr>
        <w:tabs>
          <w:tab w:val="left" w:pos="0"/>
        </w:tabs>
        <w:jc w:val="center"/>
        <w:rPr>
          <w:rFonts w:ascii="Times New Roman" w:cs="Times New Roman" w:hAnsi="Times New Roman"/>
          <w:b/>
          <w:bCs/>
          <w:color w:val="auto"/>
          <w:lang w:val="en-US" w:eastAsia="zh-CN"/>
          <w:highlight w:val="none"/>
        </w:rPr>
      </w:pPr>
      <w:r>
        <w:rPr>
          <w:rFonts w:ascii="Times New Roman" w:cs="Times New Roman" w:hAnsi="Times New Roman"/>
          <w:b/>
          <w:bCs/>
          <w:color w:val="auto"/>
          <w:lang w:val="en-US" w:eastAsia="zh-CN"/>
          <w:highlight w:val="none"/>
        </w:rPr>
        <w:t>表8.</w:t>
      </w:r>
      <w:r>
        <w:rPr>
          <w:rFonts w:ascii="Times New Roman" w:cs="Times New Roman" w:hAnsi="Times New Roman" w:hint="eastAsia"/>
          <w:b/>
          <w:bCs/>
          <w:color w:val="auto"/>
          <w:lang w:val="en-US" w:eastAsia="zh-CN"/>
          <w:highlight w:val="none"/>
        </w:rPr>
        <w:t>0</w:t>
      </w:r>
      <w:r>
        <w:rPr>
          <w:rFonts w:ascii="Times New Roman" w:cs="Times New Roman" w:hAnsi="Times New Roman"/>
          <w:b/>
          <w:bCs/>
          <w:color w:val="auto"/>
          <w:lang w:val="en-US" w:eastAsia="zh-CN"/>
          <w:highlight w:val="none"/>
        </w:rPr>
        <w:t>.</w:t>
      </w:r>
      <w:r>
        <w:rPr>
          <w:rFonts w:ascii="Times New Roman" w:cs="Times New Roman" w:hAnsi="Times New Roman" w:hint="eastAsia"/>
          <w:b/>
          <w:bCs/>
          <w:color w:val="auto"/>
          <w:lang w:val="en-US" w:eastAsia="zh-CN"/>
          <w:highlight w:val="none"/>
        </w:rPr>
        <w:t>5</w:t>
      </w:r>
      <w:r>
        <w:rPr>
          <w:rFonts w:ascii="Times New Roman" w:cs="Times New Roman" w:hAnsi="Times New Roman"/>
          <w:b/>
          <w:bCs/>
          <w:color w:val="auto"/>
          <w:lang w:val="en-US" w:eastAsia="zh-CN"/>
          <w:highlight w:val="none"/>
        </w:rPr>
        <w:t xml:space="preserve"> 成熟度要求满足程度与得分对应表</w:t>
      </w:r>
    </w:p>
    <w:tbl>
      <w:tblPr>
        <w:jc w:val="lef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4148"/>
        <w:gridCol w:w="4148"/>
      </w:tblGrid>
      <w:tr>
        <w:tc>
          <w:tcPr>
            <w:tcW w:w="4148" w:type="dxa"/>
            <w:tcBorders>
              <w:top w:val="single" w:sz="4" w:space="0" w:color="auto"/>
              <w:left w:val="single" w:sz="4" w:space="0" w:color="auto"/>
              <w:tl2br w:val="nil"/>
              <w:tr2bl w:val="nil"/>
            </w:tcBorders>
          </w:tcPr>
          <w:p>
            <w:pPr>
              <w:tabs>
                <w:tab w:val="left" w:pos="0"/>
              </w:tabs>
              <w:spacing w:line="240" w:lineRule="auto"/>
              <w:jc w:val="center"/>
              <w:rPr>
                <w:rFonts w:ascii="Times New Roman" w:hAnsi="Times New Roman" w:hint="eastAsia"/>
                <w:b/>
                <w:bCs/>
                <w:color w:val="auto"/>
                <w:sz w:val="21"/>
                <w:szCs w:val="21"/>
                <w:vertAlign w:val="baseline"/>
                <w:lang w:val="en-US" w:eastAsia="zh-CN"/>
                <w:highlight w:val="none"/>
              </w:rPr>
            </w:pPr>
            <w:r>
              <w:rPr>
                <w:rFonts w:ascii="Times New Roman" w:hAnsi="Times New Roman" w:hint="eastAsia"/>
                <w:b/>
                <w:bCs/>
                <w:color w:val="auto"/>
                <w:sz w:val="21"/>
                <w:szCs w:val="21"/>
                <w:vertAlign w:val="baseline"/>
                <w:lang w:val="en-US" w:eastAsia="zh-CN"/>
                <w:highlight w:val="none"/>
              </w:rPr>
              <w:t>成熟度要求满足程度</w:t>
            </w:r>
          </w:p>
        </w:tc>
        <w:tc>
          <w:tcPr>
            <w:tcW w:w="4148" w:type="dxa"/>
            <w:tcBorders>
              <w:top w:val="single" w:sz="4" w:space="0" w:color="auto"/>
              <w:right w:val="single" w:sz="4" w:space="0" w:color="auto"/>
              <w:tl2br w:val="nil"/>
              <w:tr2bl w:val="nil"/>
            </w:tcBorders>
          </w:tcPr>
          <w:p>
            <w:pPr>
              <w:tabs>
                <w:tab w:val="left" w:pos="0"/>
              </w:tabs>
              <w:spacing w:line="240" w:lineRule="auto"/>
              <w:jc w:val="center"/>
              <w:rPr>
                <w:rFonts w:ascii="Times New Roman" w:hAnsi="Times New Roman" w:hint="eastAsia"/>
                <w:b/>
                <w:bCs/>
                <w:color w:val="auto"/>
                <w:sz w:val="21"/>
                <w:szCs w:val="21"/>
                <w:vertAlign w:val="baseline"/>
                <w:lang w:val="en-US" w:eastAsia="zh-CN"/>
                <w:highlight w:val="none"/>
              </w:rPr>
            </w:pPr>
            <w:r>
              <w:rPr>
                <w:rFonts w:ascii="Times New Roman" w:hAnsi="Times New Roman" w:hint="eastAsia"/>
                <w:b/>
                <w:bCs/>
                <w:color w:val="auto"/>
                <w:sz w:val="21"/>
                <w:szCs w:val="21"/>
                <w:vertAlign w:val="baseline"/>
                <w:lang w:val="en-US" w:eastAsia="zh-CN"/>
                <w:highlight w:val="none"/>
              </w:rPr>
              <w:t>得分</w:t>
            </w:r>
          </w:p>
        </w:tc>
      </w:tr>
      <w:tr>
        <w:tc>
          <w:tcPr>
            <w:tcW w:w="4148" w:type="dxa"/>
            <w:tcBorders>
              <w:lef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完全满足</w:t>
            </w:r>
          </w:p>
        </w:tc>
        <w:tc>
          <w:tcPr>
            <w:tcW w:w="4148" w:type="dxa"/>
            <w:tcBorders>
              <w:righ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1</w:t>
            </w:r>
          </w:p>
        </w:tc>
      </w:tr>
      <w:tr>
        <w:tc>
          <w:tcPr>
            <w:tcW w:w="4148" w:type="dxa"/>
            <w:tcBorders>
              <w:lef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基本满足</w:t>
            </w:r>
          </w:p>
        </w:tc>
        <w:tc>
          <w:tcPr>
            <w:tcW w:w="4148" w:type="dxa"/>
            <w:tcBorders>
              <w:righ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0.8</w:t>
            </w:r>
          </w:p>
        </w:tc>
      </w:tr>
      <w:tr>
        <w:tc>
          <w:tcPr>
            <w:tcW w:w="4148" w:type="dxa"/>
            <w:tcBorders>
              <w:lef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部分满足</w:t>
            </w:r>
          </w:p>
        </w:tc>
        <w:tc>
          <w:tcPr>
            <w:tcW w:w="4148" w:type="dxa"/>
            <w:tcBorders>
              <w:righ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0.5</w:t>
            </w:r>
          </w:p>
        </w:tc>
      </w:tr>
      <w:tr>
        <w:tc>
          <w:tcPr>
            <w:tcW w:w="4148" w:type="dxa"/>
            <w:tcBorders>
              <w:left w:val="single" w:sz="4" w:space="0" w:color="auto"/>
              <w:bottom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不满足</w:t>
            </w:r>
          </w:p>
        </w:tc>
        <w:tc>
          <w:tcPr>
            <w:tcW w:w="4148" w:type="dxa"/>
            <w:tcBorders>
              <w:bottom w:val="single" w:sz="4" w:space="0" w:color="auto"/>
              <w:right w:val="single" w:sz="4" w:space="0" w:color="auto"/>
              <w:tl2br w:val="nil"/>
              <w:tr2bl w:val="nil"/>
            </w:tcBorders>
          </w:tcPr>
          <w:p>
            <w:pPr>
              <w:tabs>
                <w:tab w:val="left" w:pos="0"/>
              </w:tabs>
              <w:spacing w:line="240" w:lineRule="auto"/>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b w:val="0"/>
                <w:bCs w:val="0"/>
                <w:color w:val="auto"/>
                <w:sz w:val="21"/>
                <w:szCs w:val="21"/>
                <w:vertAlign w:val="baseline"/>
                <w:lang w:val="en-US" w:eastAsia="zh-CN"/>
                <w:highlight w:val="none"/>
              </w:rPr>
              <w:t>0</w:t>
            </w:r>
          </w:p>
        </w:tc>
      </w:tr>
    </w:tbl>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shd w:val="clear" w:color="auto" w:fill="auto"/>
          <w:highlight w:val="none"/>
        </w:rPr>
      </w:pPr>
      <w:r>
        <w:rPr>
          <w:rFonts w:ascii="Times New Roman" w:hAnsi="Times New Roman" w:hint="eastAsia"/>
          <w:color w:val="auto"/>
          <w:shd w:val="clear" w:color="auto" w:fill="auto"/>
          <w:lang w:val="en-US" w:eastAsia="zh-CN"/>
          <w:highlight w:val="none"/>
        </w:rPr>
        <w:t>成熟度等级得分</w:t>
      </w:r>
      <w:r>
        <w:rPr>
          <w:rFonts w:ascii="Times New Roman" w:hAnsi="Times New Roman" w:hint="eastAsia"/>
          <w:i/>
          <w:iCs/>
          <w:color w:val="auto"/>
          <w:shd w:val="clear" w:color="auto" w:fill="auto"/>
          <w:lang w:val="en-US" w:eastAsia="zh-CN"/>
          <w:highlight w:val="none"/>
        </w:rPr>
        <w:t>A</w:t>
      </w:r>
      <w:r>
        <w:rPr>
          <w:rFonts w:ascii="Times New Roman" w:hAnsi="Times New Roman" w:hint="eastAsia"/>
          <w:color w:val="auto"/>
          <w:shd w:val="clear" w:color="auto" w:fill="auto"/>
          <w:lang w:val="en-US" w:eastAsia="zh-CN"/>
          <w:highlight w:val="none"/>
        </w:rPr>
        <w:t>应按式8.0.6计算。</w:t>
      </w:r>
    </w:p>
    <w:tbl>
      <w:tblPr>
        <w:jc w:val="left"/>
        <w:tblInd w:w="0"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Look w:val="0600" w:firstRow="0" w:lastRow="0" w:firstColumn="0" w:lastColumn="0" w:noHBand="1" w:noVBand="1"/>
      </w:tblPr>
      <w:tblGrid>
        <w:gridCol w:w="7245"/>
        <w:gridCol w:w="1277"/>
      </w:tblGrid>
      <w:tr>
        <w:tc>
          <w:tcPr>
            <w:tcW w:w="7245" w:type="dxa"/>
            <w:vAlign w:val="center"/>
          </w:tcPr>
          <w:p>
            <w:pPr>
              <w:tabs>
                <w:tab w:val="left" w:pos="0"/>
              </w:tabs>
              <w:jc w:val="right"/>
              <w:rPr>
                <w:rFonts w:ascii="Times New Roman" w:hAnsi="Times New Roman"/>
                <w:color w:val="auto"/>
                <w:shd w:val="clear" w:color="auto" w:fill="auto"/>
                <w:vertAlign w:val="baseline"/>
                <w:highlight w:val="none"/>
              </w:rPr>
            </w:pPr>
            <m:oMathPara>
              <m:oMath>
                <m:r>
                  <m:rPr>
                    <m:nor/>
                  </m:rPr>
                  <w:rPr>
                    <w:rFonts w:ascii="Times New Roman" w:hAnsi="Times New Roman"/>
                    <w:color w:val="auto"/>
                    <w:highlight w:val="none"/>
                  </w:rPr>
                  <m:t>A</m:t>
                </m:r>
                <m:r>
                  <m:rPr>
                    <m:nor/>
                  </m:rPr>
                  <w:rPr>
                    <w:rFonts w:ascii="Times New Roman" w:hAnsi="Times New Roman"/>
                    <w:b w:val="0"/>
                    <w:i w:val="0"/>
                    <w:color w:val="auto"/>
                    <w:highlight w:val="none"/>
                  </w:rPr>
                  <m:t>=</m:t>
                </m:r>
                <m:nary>
                  <m:naryPr>
                    <m:chr m:val="∑"/>
                    <m:limLoc m:val="undOvr"/>
                    <m:subHide m:val="1"/>
                    <m:supHide m:val="1"/>
                    <m:ctrlPr>
                      <w:rPr>
                        <w:rFonts w:ascii="Cambria Math" w:hAnsi="Cambria Math"/>
                        <w:color w:val="auto"/>
                      </w:rPr>
                    </m:ctrlPr>
                  </m:naryPr>
                  <m:sub/>
                  <m:sup/>
                  <m:e>
                    <m:r>
                      <m:rPr>
                        <m:nor/>
                      </m:rPr>
                      <w:rPr>
                        <w:rFonts w:ascii="Times New Roman" w:hAnsi="Times New Roman"/>
                        <w:b w:val="0"/>
                        <w:i w:val="0"/>
                        <w:color w:val="auto"/>
                        <w:highlight w:val="none"/>
                      </w:rPr>
                      <m:t>(</m:t>
                    </m:r>
                    <m:r>
                      <m:rPr>
                        <m:nor/>
                      </m:rPr>
                      <w:rPr>
                        <w:rFonts w:ascii="Times New Roman" w:hAnsi="Times New Roman"/>
                        <w:color w:val="auto"/>
                        <w:highlight w:val="none"/>
                      </w:rPr>
                      <m:t>B</m:t>
                    </m:r>
                    <m:r>
                      <m:rPr>
                        <m:nor/>
                      </m:rPr>
                      <w:rPr>
                        <w:rFonts w:ascii="Times New Roman" w:hAnsi="Times New Roman"/>
                        <w:b w:val="0"/>
                        <w:i w:val="0"/>
                        <w:color w:val="auto"/>
                        <w:highlight w:val="none"/>
                      </w:rPr>
                      <m:t>×</m:t>
                    </m:r>
                    <m:r>
                      <m:rPr>
                        <m:nor/>
                      </m:rPr>
                      <w:rPr>
                        <w:rFonts w:ascii="Times New Roman" w:hAnsi="Times New Roman"/>
                        <w:color w:val="auto"/>
                        <w:highlight w:val="none"/>
                      </w:rPr>
                      <m:t>α</m:t>
                    </m:r>
                    <m:r>
                      <m:rPr>
                        <m:nor/>
                      </m:rPr>
                      <w:rPr>
                        <w:rFonts w:ascii="Times New Roman" w:hAnsi="Times New Roman"/>
                        <w:b w:val="0"/>
                        <w:i w:val="0"/>
                        <w:color w:val="auto"/>
                        <w:highlight w:val="none"/>
                      </w:rPr>
                      <m:t>)</m:t>
                    </m:r>
                  </m:e>
                </m:nary>
              </m:oMath>
            </m:oMathPara>
          </w:p>
        </w:tc>
        <w:tc>
          <w:tcPr>
            <w:tcW w:w="1277" w:type="dxa"/>
            <w:vAlign w:val="center"/>
          </w:tcPr>
          <w:p>
            <w:pPr>
              <w:tabs>
                <w:tab w:val="left" w:pos="0"/>
              </w:tabs>
              <w:jc w:val="right"/>
              <w:rPr>
                <w:rFonts w:ascii="Times New Roman" w:eastAsia="宋体" w:hAnsi="Times New Roman" w:hint="eastAsia"/>
                <w:color w:val="auto"/>
                <w:shd w:val="clear" w:color="auto" w:fill="auto"/>
                <w:vertAlign w:val="baseline"/>
                <w:lang w:eastAsia="zh-CN"/>
                <w:highlight w:val="none"/>
              </w:rPr>
            </w:pPr>
            <w:r>
              <w:rPr>
                <w:rFonts w:ascii="Times New Roman" w:hAnsi="Times New Roman" w:hint="eastAsia"/>
                <w:color w:val="auto"/>
                <w:shd w:val="clear" w:color="auto" w:fill="auto"/>
                <w:vertAlign w:val="baseline"/>
                <w:lang w:eastAsia="zh-CN"/>
                <w:highlight w:val="none"/>
              </w:rPr>
              <w:t>（</w:t>
            </w:r>
            <w:r>
              <w:rPr>
                <w:rFonts w:ascii="Times New Roman" w:hAnsi="Times New Roman" w:hint="eastAsia"/>
                <w:color w:val="auto"/>
                <w:shd w:val="clear" w:color="auto" w:fill="auto"/>
                <w:vertAlign w:val="baseline"/>
                <w:lang w:val="en-US" w:eastAsia="zh-CN"/>
                <w:highlight w:val="none"/>
              </w:rPr>
              <w:t>8.0.6-1</w:t>
            </w:r>
            <w:r>
              <w:rPr>
                <w:rFonts w:ascii="Times New Roman" w:hAnsi="Times New Roman" w:hint="eastAsia"/>
                <w:color w:val="auto"/>
                <w:shd w:val="clear" w:color="auto" w:fill="auto"/>
                <w:vertAlign w:val="baseline"/>
                <w:lang w:eastAsia="zh-CN"/>
                <w:highlight w:val="none"/>
              </w:rPr>
              <w:t>）</w:t>
            </w:r>
          </w:p>
        </w:tc>
      </w:tr>
      <w:tr>
        <w:tc>
          <w:tcPr>
            <w:tcW w:w="7245" w:type="dxa"/>
            <w:vAlign w:val="center"/>
          </w:tcPr>
          <w:p>
            <w:pPr>
              <w:tabs>
                <w:tab w:val="left" w:pos="0"/>
              </w:tabs>
              <w:jc w:val="right"/>
              <w:rPr>
                <w:rFonts w:ascii="Times New Roman" w:hAnsi="Times New Roman"/>
                <w:color w:val="auto"/>
                <w:shd w:val="clear" w:color="auto" w:fill="auto"/>
                <w:vertAlign w:val="baseline"/>
                <w:highlight w:val="none"/>
              </w:rPr>
            </w:pPr>
            <m:oMathPara>
              <m:oMath>
                <m:r>
                  <m:rPr>
                    <m:nor/>
                  </m:rPr>
                  <w:rPr>
                    <w:rFonts w:ascii="Times New Roman" w:hAnsi="Times New Roman"/>
                    <w:color w:val="auto"/>
                    <w:highlight w:val="none"/>
                  </w:rPr>
                  <m:t>B</m:t>
                </m:r>
                <m:r>
                  <m:rPr>
                    <m:nor/>
                  </m:rPr>
                  <w:rPr>
                    <w:rFonts w:ascii="Times New Roman" w:hAnsi="Times New Roman"/>
                    <w:b w:val="0"/>
                    <w:i w:val="0"/>
                    <w:color w:val="auto"/>
                    <w:highlight w:val="none"/>
                  </w:rPr>
                  <m:t>=</m:t>
                </m:r>
                <m:nary>
                  <m:naryPr>
                    <m:chr m:val="∑"/>
                    <m:limLoc m:val="undOvr"/>
                    <m:subHide m:val="1"/>
                    <m:supHide m:val="1"/>
                    <m:ctrlPr>
                      <w:rPr>
                        <w:rFonts w:ascii="Cambria Math" w:hAnsi="Cambria Math"/>
                        <w:color w:val="auto"/>
                      </w:rPr>
                    </m:ctrlPr>
                  </m:naryPr>
                  <m:sub/>
                  <m:sup/>
                  <m:e>
                    <m:r>
                      <m:rPr>
                        <m:nor/>
                      </m:rPr>
                      <w:rPr>
                        <w:rFonts w:ascii="Times New Roman" w:hAnsi="Times New Roman"/>
                        <w:b w:val="0"/>
                        <w:i w:val="0"/>
                        <w:color w:val="auto"/>
                        <w:highlight w:val="none"/>
                      </w:rPr>
                      <m:t>(</m:t>
                    </m:r>
                    <m:r>
                      <m:rPr>
                        <m:nor/>
                      </m:rPr>
                      <w:rPr>
                        <w:rFonts w:ascii="Times New Roman" w:hAnsi="Times New Roman"/>
                        <w:color w:val="auto"/>
                        <w:highlight w:val="none"/>
                      </w:rPr>
                      <m:t>C</m:t>
                    </m:r>
                    <m:r>
                      <m:rPr>
                        <m:nor/>
                      </m:rPr>
                      <w:rPr>
                        <w:rFonts w:ascii="Times New Roman" w:hAnsi="Times New Roman"/>
                        <w:b w:val="0"/>
                        <w:i w:val="0"/>
                        <w:color w:val="auto"/>
                        <w:highlight w:val="none"/>
                      </w:rPr>
                      <m:t>×</m:t>
                    </m:r>
                    <m:r>
                      <m:rPr>
                        <m:nor/>
                      </m:rPr>
                      <w:rPr>
                        <w:rFonts w:ascii="Times New Roman" w:hAnsi="Times New Roman"/>
                        <w:color w:val="auto"/>
                        <w:highlight w:val="none"/>
                      </w:rPr>
                      <m:t>β</m:t>
                    </m:r>
                    <m:r>
                      <m:rPr>
                        <m:nor/>
                      </m:rPr>
                      <w:rPr>
                        <w:rFonts w:ascii="Times New Roman" w:hAnsi="Times New Roman"/>
                        <w:b w:val="0"/>
                        <w:i w:val="0"/>
                        <w:color w:val="auto"/>
                        <w:highlight w:val="none"/>
                      </w:rPr>
                      <m:t>)</m:t>
                    </m:r>
                  </m:e>
                </m:nary>
              </m:oMath>
            </m:oMathPara>
          </w:p>
        </w:tc>
        <w:tc>
          <w:tcPr>
            <w:tcW w:w="1277" w:type="dxa"/>
            <w:vAlign w:val="center"/>
          </w:tcPr>
          <w:p>
            <w:pPr>
              <w:tabs>
                <w:tab w:val="left" w:pos="0"/>
              </w:tabs>
              <w:jc w:val="right"/>
              <w:rPr>
                <w:rFonts w:ascii="Times New Roman" w:hAnsi="Times New Roman"/>
                <w:color w:val="auto"/>
                <w:shd w:val="clear" w:color="auto" w:fill="auto"/>
                <w:vertAlign w:val="baseline"/>
                <w:highlight w:val="none"/>
              </w:rPr>
            </w:pPr>
            <w:r>
              <w:rPr>
                <w:rFonts w:ascii="Times New Roman" w:hAnsi="Times New Roman" w:hint="eastAsia"/>
                <w:color w:val="auto"/>
                <w:shd w:val="clear" w:color="auto" w:fill="auto"/>
                <w:vertAlign w:val="baseline"/>
                <w:lang w:eastAsia="zh-CN"/>
                <w:highlight w:val="none"/>
              </w:rPr>
              <w:t>（</w:t>
            </w:r>
            <w:r>
              <w:rPr>
                <w:rFonts w:ascii="Times New Roman" w:hAnsi="Times New Roman" w:hint="eastAsia"/>
                <w:color w:val="auto"/>
                <w:shd w:val="clear" w:color="auto" w:fill="auto"/>
                <w:vertAlign w:val="baseline"/>
                <w:lang w:val="en-US" w:eastAsia="zh-CN"/>
                <w:highlight w:val="none"/>
              </w:rPr>
              <w:t>8.0.6-2</w:t>
            </w:r>
            <w:r>
              <w:rPr>
                <w:rFonts w:ascii="Times New Roman" w:hAnsi="Times New Roman" w:hint="eastAsia"/>
                <w:color w:val="auto"/>
                <w:shd w:val="clear" w:color="auto" w:fill="auto"/>
                <w:vertAlign w:val="baseline"/>
                <w:lang w:eastAsia="zh-CN"/>
                <w:highlight w:val="none"/>
              </w:rPr>
              <w:t>）</w:t>
            </w:r>
          </w:p>
        </w:tc>
      </w:tr>
      <w:tr>
        <w:tc>
          <w:tcPr>
            <w:tcW w:w="7245" w:type="dxa"/>
            <w:vAlign w:val="center"/>
          </w:tcPr>
          <w:p>
            <w:pPr>
              <w:tabs>
                <w:tab w:val="left" w:pos="0"/>
              </w:tabs>
              <w:jc w:val="right"/>
              <w:rPr>
                <w:rFonts w:ascii="Times New Roman" w:hAnsi="Times New Roman"/>
                <w:color w:val="auto"/>
                <w:shd w:val="clear" w:color="auto" w:fill="auto"/>
                <w:vertAlign w:val="baseline"/>
                <w:highlight w:val="none"/>
              </w:rPr>
            </w:pPr>
            <m:oMathPara>
              <m:oMath>
                <m:r>
                  <m:rPr>
                    <m:nor/>
                  </m:rPr>
                  <w:rPr>
                    <w:rFonts w:ascii="Times New Roman" w:hAnsi="Times New Roman"/>
                    <w:color w:val="auto"/>
                    <w:highlight w:val="none"/>
                  </w:rPr>
                  <m:t>C</m:t>
                </m:r>
                <m:r>
                  <m:rPr>
                    <m:nor/>
                  </m:rPr>
                  <w:rPr>
                    <w:rFonts w:ascii="Times New Roman" w:hAnsi="Times New Roman"/>
                    <w:b w:val="0"/>
                    <w:i w:val="0"/>
                    <w:color w:val="auto"/>
                    <w:highlight w:val="none"/>
                  </w:rPr>
                  <m:t>=</m:t>
                </m:r>
                <m:f>
                  <m:fPr>
                    <m:ctrlPr>
                      <w:rPr>
                        <w:rFonts w:ascii="Cambria Math" w:hAnsi="Cambria Math"/>
                        <w:color w:val="auto"/>
                      </w:rPr>
                    </m:ctrlPr>
                  </m:fPr>
                  <m:num>
                    <m:r>
                      <m:rPr>
                        <m:nor/>
                      </m:rPr>
                      <w:rPr>
                        <w:rFonts w:ascii="Times New Roman" w:hAnsi="Times New Roman"/>
                        <w:b w:val="0"/>
                        <w:i w:val="0"/>
                        <w:color w:val="auto"/>
                        <w:highlight w:val="none"/>
                      </w:rPr>
                      <m:t>1</m:t>
                    </m:r>
                  </m:num>
                  <m:den>
                    <m:r>
                      <m:rPr>
                        <m:nor/>
                      </m:rPr>
                      <w:rPr>
                        <w:rFonts w:ascii="Times New Roman" w:hAnsi="Times New Roman"/>
                        <w:color w:val="auto"/>
                        <w:highlight w:val="none"/>
                      </w:rPr>
                      <m:t>n</m:t>
                    </m:r>
                  </m:den>
                </m:f>
                <m:nary>
                  <m:naryPr>
                    <m:chr m:val="∑"/>
                    <m:limLoc m:val="undOvr"/>
                    <m:ctrlPr>
                      <w:rPr>
                        <w:rFonts w:ascii="Cambria Math" w:hAnsi="Cambria Math"/>
                        <w:color w:val="auto"/>
                      </w:rPr>
                    </m:ctrlPr>
                  </m:naryPr>
                  <m:sub>
                    <m:r>
                      <m:rPr>
                        <m:nor/>
                      </m:rPr>
                      <w:rPr>
                        <w:rFonts w:ascii="Times New Roman" w:hAnsi="Times New Roman"/>
                        <w:color w:val="auto"/>
                        <w:highlight w:val="none"/>
                      </w:rPr>
                      <m:t>i</m:t>
                    </m:r>
                    <m:r>
                      <m:rPr>
                        <m:nor/>
                      </m:rPr>
                      <w:rPr>
                        <w:rFonts w:ascii="Times New Roman" w:hAnsi="Times New Roman"/>
                        <w:b w:val="0"/>
                        <w:i w:val="0"/>
                        <w:color w:val="auto"/>
                        <w:highlight w:val="none"/>
                      </w:rPr>
                      <m:t>=1</m:t>
                    </m:r>
                  </m:sub>
                  <m:sup>
                    <m:r>
                      <m:rPr>
                        <m:nor/>
                      </m:rPr>
                      <w:rPr>
                        <w:rFonts w:ascii="Times New Roman" w:hAnsi="Times New Roman"/>
                        <w:color w:val="auto"/>
                        <w:highlight w:val="none"/>
                      </w:rPr>
                      <m:t>n</m:t>
                    </m:r>
                  </m:sup>
                  <m:e>
                    <m:sSub>
                      <m:sSubPr>
                        <m:ctrlPr>
                          <w:rPr>
                            <w:rFonts w:ascii="Cambria Math" w:hAnsi="Cambria Math"/>
                            <w:color w:val="auto"/>
                          </w:rPr>
                        </m:ctrlPr>
                      </m:sSubPr>
                      <m:e>
                        <m:r>
                          <m:rPr>
                            <m:nor/>
                          </m:rPr>
                          <w:rPr>
                            <w:rFonts w:ascii="Times New Roman" w:hAnsi="Times New Roman"/>
                            <w:color w:val="auto"/>
                            <w:highlight w:val="none"/>
                          </w:rPr>
                          <m:t>X</m:t>
                        </m:r>
                      </m:e>
                      <m:sub>
                        <m:r>
                          <m:rPr>
                            <m:nor/>
                          </m:rPr>
                          <w:rPr>
                            <w:rFonts w:ascii="Times New Roman" w:hAnsi="Times New Roman"/>
                            <w:color w:val="auto"/>
                            <w:highlight w:val="none"/>
                          </w:rPr>
                          <m:t>i</m:t>
                        </m:r>
                      </m:sub>
                    </m:sSub>
                  </m:e>
                </m:nary>
              </m:oMath>
            </m:oMathPara>
          </w:p>
        </w:tc>
        <w:tc>
          <w:tcPr>
            <w:tcW w:w="1277" w:type="dxa"/>
            <w:vAlign w:val="center"/>
          </w:tcPr>
          <w:p>
            <w:pPr>
              <w:tabs>
                <w:tab w:val="left" w:pos="0"/>
              </w:tabs>
              <w:jc w:val="right"/>
              <w:rPr>
                <w:rFonts w:ascii="Times New Roman" w:hAnsi="Times New Roman"/>
                <w:color w:val="auto"/>
                <w:shd w:val="clear" w:color="auto" w:fill="auto"/>
                <w:vertAlign w:val="baseline"/>
                <w:highlight w:val="none"/>
              </w:rPr>
            </w:pPr>
            <w:r>
              <w:rPr>
                <w:rFonts w:ascii="Times New Roman" w:hAnsi="Times New Roman" w:hint="eastAsia"/>
                <w:color w:val="auto"/>
                <w:shd w:val="clear" w:color="auto" w:fill="auto"/>
                <w:vertAlign w:val="baseline"/>
                <w:lang w:eastAsia="zh-CN"/>
                <w:highlight w:val="none"/>
              </w:rPr>
              <w:t>（</w:t>
            </w:r>
            <w:r>
              <w:rPr>
                <w:rFonts w:ascii="Times New Roman" w:hAnsi="Times New Roman" w:hint="eastAsia"/>
                <w:color w:val="auto"/>
                <w:shd w:val="clear" w:color="auto" w:fill="auto"/>
                <w:vertAlign w:val="baseline"/>
                <w:lang w:val="en-US" w:eastAsia="zh-CN"/>
                <w:highlight w:val="none"/>
              </w:rPr>
              <w:t>8.0.6-3</w:t>
            </w:r>
            <w:r>
              <w:rPr>
                <w:rFonts w:ascii="Times New Roman" w:hAnsi="Times New Roman" w:hint="eastAsia"/>
                <w:color w:val="auto"/>
                <w:shd w:val="clear" w:color="auto" w:fill="auto"/>
                <w:vertAlign w:val="baseline"/>
                <w:lang w:eastAsia="zh-CN"/>
                <w:highlight w:val="none"/>
              </w:rPr>
              <w:t>）</w:t>
            </w:r>
          </w:p>
        </w:tc>
      </w:tr>
    </w:tbl>
    <w:p>
      <w:pPr>
        <w:tabs>
          <w:tab w:val="left" w:pos="0"/>
        </w:tabs>
        <w:rPr>
          <w:rFonts w:ascii="Times New Roman" w:eastAsia="宋体" w:hAnsi="Times New Roman" w:hint="eastAsia"/>
          <w:color w:val="auto"/>
          <w:shd w:val="clear" w:color="auto" w:fill="auto"/>
          <w:lang w:val="en-US" w:eastAsia="zh-CN"/>
          <w:highlight w:val="none"/>
        </w:rPr>
      </w:pPr>
      <w:r>
        <w:rPr>
          <w:rFonts w:ascii="Times New Roman" w:hAnsi="Times New Roman" w:hint="eastAsia"/>
          <w:color w:val="auto"/>
          <w:shd w:val="clear" w:color="auto" w:fill="auto"/>
          <w:lang w:val="en-US" w:eastAsia="zh-CN"/>
          <w:highlight w:val="none"/>
        </w:rPr>
        <w:t>式中：</w:t>
      </w:r>
    </w:p>
    <w:p>
      <w:pPr>
        <w:ind w:firstLine="480"/>
        <w:rPr>
          <w:rFonts w:ascii="Times New Roman" w:hAnsi="Times New Roman"/>
          <w:color w:val="auto"/>
          <w:highlight w:val="none"/>
        </w:rPr>
      </w:pPr>
      <w:r>
        <w:rPr>
          <w:rFonts w:ascii="Times New Roman" w:hAnsi="Times New Roman"/>
          <w:i/>
          <w:iCs/>
          <w:color w:val="auto"/>
          <w:highlight w:val="none"/>
        </w:rPr>
        <w:t>A</w:t>
      </w:r>
      <w:r>
        <w:rPr>
          <w:rFonts w:ascii="Times New Roman" w:hAnsi="Times New Roman"/>
          <w:color w:val="auto"/>
          <w:highlight w:val="none"/>
        </w:rPr>
        <w:t>——成熟度等级</w:t>
      </w:r>
      <w:r>
        <w:rPr>
          <w:rFonts w:ascii="Times New Roman" w:hAnsi="Times New Roman" w:hint="eastAsia"/>
          <w:color w:val="auto"/>
          <w:lang w:val="en-US" w:eastAsia="zh-CN"/>
          <w:highlight w:val="none"/>
        </w:rPr>
        <w:t>实际</w:t>
      </w:r>
      <w:r>
        <w:rPr>
          <w:rFonts w:ascii="Times New Roman" w:hAnsi="Times New Roman"/>
          <w:color w:val="auto"/>
          <w:highlight w:val="none"/>
        </w:rPr>
        <w:t>得分;</w:t>
      </w:r>
    </w:p>
    <w:p>
      <w:pPr>
        <w:ind w:firstLineChars="200" w:firstLine="480"/>
        <w:rPr>
          <w:rFonts w:ascii="Times New Roman" w:hAnsi="Times New Roman"/>
          <w:color w:val="auto"/>
          <w:highlight w:val="none"/>
        </w:rPr>
      </w:pPr>
      <w:r>
        <w:rPr>
          <w:rFonts w:ascii="Times New Roman" w:hAnsi="Times New Roman"/>
          <w:i/>
          <w:iCs/>
          <w:color w:val="auto"/>
          <w:highlight w:val="none"/>
        </w:rPr>
        <w:t>B</w:t>
      </w:r>
      <w:r>
        <w:rPr>
          <w:rFonts w:ascii="Times New Roman" w:hAnsi="Times New Roman"/>
          <w:color w:val="auto"/>
          <w:highlight w:val="none"/>
        </w:rPr>
        <w:t>——能力域指定成熟度等级得分;</w:t>
      </w:r>
    </w:p>
    <w:p>
      <w:pPr>
        <w:ind w:firstLineChars="200" w:firstLine="480"/>
        <w:rPr>
          <w:rFonts w:ascii="Times New Roman" w:hAnsi="Times New Roman"/>
          <w:color w:val="auto"/>
          <w:highlight w:val="none"/>
        </w:rPr>
      </w:pPr>
      <w:r>
        <w:rPr>
          <w:rFonts w:ascii="Times New Roman" w:hAnsi="Times New Roman"/>
          <w:i/>
          <w:iCs/>
          <w:color w:val="auto"/>
          <w:highlight w:val="none"/>
        </w:rPr>
        <w:t>α</w:t>
      </w:r>
      <w:r>
        <w:rPr>
          <w:rFonts w:ascii="Times New Roman" w:hAnsi="Times New Roman"/>
          <w:color w:val="auto"/>
          <w:highlight w:val="none"/>
        </w:rPr>
        <w:t>——能力域权重。</w:t>
      </w:r>
    </w:p>
    <w:p>
      <w:pPr>
        <w:ind w:firstLineChars="200" w:firstLine="480"/>
        <w:rPr>
          <w:rFonts w:ascii="Times New Roman" w:hAnsi="Times New Roman"/>
          <w:color w:val="auto"/>
          <w:highlight w:val="none"/>
        </w:rPr>
      </w:pPr>
      <w:r>
        <w:rPr>
          <w:rFonts w:ascii="Times New Roman" w:hAnsi="Times New Roman"/>
          <w:i/>
          <w:iCs/>
          <w:color w:val="auto"/>
          <w:highlight w:val="none"/>
        </w:rPr>
        <w:t>C</w:t>
      </w:r>
      <w:r>
        <w:rPr>
          <w:rFonts w:ascii="Times New Roman" w:hAnsi="Times New Roman"/>
          <w:color w:val="auto"/>
          <w:highlight w:val="none"/>
        </w:rPr>
        <w:t>——能力子域指定成熟度等级得分;</w:t>
      </w:r>
    </w:p>
    <w:p>
      <w:pPr>
        <w:ind w:firstLineChars="200" w:firstLine="480"/>
        <w:rPr>
          <w:rFonts w:ascii="Times New Roman" w:hAnsi="Times New Roman"/>
          <w:color w:val="auto"/>
          <w:highlight w:val="none"/>
        </w:rPr>
      </w:pPr>
      <w:r>
        <w:rPr>
          <w:rFonts w:ascii="Times New Roman" w:hAnsi="Times New Roman"/>
          <w:i/>
          <w:iCs/>
          <w:color w:val="auto"/>
          <w:highlight w:val="none"/>
        </w:rPr>
        <w:t>β</w:t>
      </w:r>
      <w:r>
        <w:rPr>
          <w:rFonts w:ascii="Times New Roman" w:hAnsi="Times New Roman"/>
          <w:color w:val="auto"/>
          <w:highlight w:val="none"/>
        </w:rPr>
        <w:t>——能力子域权重。</w:t>
      </w:r>
    </w:p>
    <w:p>
      <w:pPr>
        <w:ind w:firstLineChars="200" w:firstLine="480"/>
        <w:rPr>
          <w:rFonts w:ascii="Times New Roman" w:hAnsi="Times New Roman"/>
          <w:color w:val="auto"/>
          <w:highlight w:val="none"/>
        </w:rPr>
      </w:pPr>
      <m:oMath>
        <m:sSub>
          <m:sSubPr>
            <m:ctrlPr>
              <w:rPr>
                <w:rFonts w:ascii="Cambria Math" w:hAnsi="Cambria Math"/>
                <w:color w:val="auto"/>
              </w:rPr>
            </m:ctrlPr>
          </m:sSubPr>
          <m:e>
            <m:r>
              <m:rPr>
                <m:nor/>
              </m:rPr>
              <w:rPr>
                <w:rFonts w:ascii="Times New Roman" w:hAnsi="Times New Roman"/>
                <w:color w:val="auto"/>
                <w:highlight w:val="none"/>
              </w:rPr>
              <m:t>X</m:t>
            </m:r>
          </m:e>
          <m:sub>
            <m:r>
              <m:rPr>
                <m:nor/>
              </m:rPr>
              <w:rPr>
                <w:rFonts w:ascii="Times New Roman" w:hAnsi="Times New Roman"/>
                <w:color w:val="auto"/>
                <w:highlight w:val="none"/>
              </w:rPr>
              <m:t>i</m:t>
            </m:r>
          </m:sub>
        </m:sSub>
      </m:oMath>
      <w:r>
        <w:rPr>
          <w:rFonts w:ascii="Times New Roman" w:hAnsi="Times New Roman"/>
          <w:color w:val="auto"/>
          <w:highlight w:val="none"/>
        </w:rPr>
        <w:t>——能力子域指定成熟度等级每条要求得分;</w:t>
      </w:r>
    </w:p>
    <w:p>
      <w:pPr>
        <w:ind w:firstLineChars="200" w:firstLine="480"/>
        <w:rPr>
          <w:rFonts w:hAnsi="Cambria Math"/>
          <w:i w:val="0"/>
          <w:color w:val="auto"/>
          <w:highlight w:val="none"/>
        </w:rPr>
      </w:pPr>
      <m:oMath>
        <m:r>
          <m:rPr>
            <m:nor/>
          </m:rPr>
          <w:rPr>
            <w:rFonts w:ascii="Times New Roman" w:hAnsi="Times New Roman"/>
            <w:color w:val="auto"/>
            <w:highlight w:val="none"/>
          </w:rPr>
          <m:t>n</m:t>
        </m:r>
      </m:oMath>
      <w:r>
        <w:rPr>
          <w:rFonts w:ascii="Times New Roman" w:hAnsi="Times New Roman"/>
          <w:color w:val="auto"/>
          <w:highlight w:val="none"/>
        </w:rPr>
        <w:t>——能力子域指定成熟度等级要求的个数。</w:t>
      </w:r>
    </w:p>
    <w:p>
      <w:pPr>
        <w:keepNext w:val="0"/>
        <w:keepLines w:val="0"/>
        <w:pageBreakBefore w:val="0"/>
        <w:widowControl w:val="0"/>
        <w:numPr>
          <w:ilvl w:val="2"/>
          <w:numId w:val="38"/>
        </w:numPr>
        <w:kinsoku/>
        <w:wordWrap/>
        <w:overflowPunct/>
        <w:topLinePunct w:val="0"/>
        <w:autoSpaceDE/>
        <w:autoSpaceDN/>
        <w:bidi w:val="0"/>
        <w:adjustRightInd/>
        <w:snapToGrid/>
        <w:ind w:left="0" w:firstLine="0"/>
        <w:textAlignment w:val="auto"/>
        <w:rPr>
          <w:rFonts w:ascii="Times New Roman" w:hAnsi="Times New Roman"/>
          <w:color w:val="auto"/>
          <w:highlight w:val="none"/>
        </w:rPr>
      </w:pPr>
      <w:r>
        <w:rPr>
          <w:rFonts w:ascii="Times New Roman" w:hAnsi="Times New Roman"/>
          <w:color w:val="auto"/>
          <w:highlight w:val="none"/>
        </w:rPr>
        <w:t>成熟度</w:t>
      </w:r>
      <w:r>
        <w:rPr>
          <w:rFonts w:ascii="Times New Roman" w:hAnsi="Times New Roman" w:hint="eastAsia"/>
          <w:color w:val="auto"/>
          <w:lang w:val="en-US" w:eastAsia="zh-CN"/>
          <w:highlight w:val="none"/>
        </w:rPr>
        <w:t>等级判定应符合下列规定：</w:t>
      </w:r>
    </w:p>
    <w:p>
      <w:pPr>
        <w:keepNext w:val="0"/>
        <w:keepLines w:val="0"/>
        <w:widowControl w:val="0"/>
        <w:numPr>
          <w:ilvl w:val="0"/>
          <w:numId w:val="40"/>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kern w:val="2"/>
          <w:sz w:val="24"/>
          <w:szCs w:val="24"/>
          <w:lang w:val="en-US" w:eastAsia="zh-CN"/>
        </w:rPr>
      </w:pPr>
      <w:r>
        <w:rPr>
          <w:rFonts w:ascii="Times New Roman" w:cs="Times New Roman" w:hAnsi="Times New Roman" w:hint="eastAsia"/>
          <w:kern w:val="2"/>
          <w:sz w:val="24"/>
          <w:szCs w:val="24"/>
          <w:lang w:val="en-US" w:eastAsia="zh-CN"/>
        </w:rPr>
        <w:t>应按</w:t>
      </w:r>
      <w:r>
        <w:rPr>
          <w:rFonts w:ascii="Times New Roman" w:hAnsi="Times New Roman" w:hint="eastAsia"/>
          <w:color w:val="auto"/>
          <w:lang w:val="en-US" w:eastAsia="zh-CN"/>
          <w:highlight w:val="none"/>
        </w:rPr>
        <w:t>规范级、场景级、领域级、平台级和生态级的顺序判定；</w:t>
      </w:r>
    </w:p>
    <w:p>
      <w:pPr>
        <w:keepNext w:val="0"/>
        <w:keepLines w:val="0"/>
        <w:widowControl w:val="0"/>
        <w:numPr>
          <w:ilvl w:val="0"/>
          <w:numId w:val="40"/>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kern w:val="2"/>
          <w:sz w:val="24"/>
          <w:szCs w:val="24"/>
          <w:lang w:val="en-US" w:eastAsia="zh-CN"/>
        </w:rPr>
      </w:pPr>
      <w:r>
        <w:rPr>
          <w:rFonts w:ascii="Times New Roman" w:eastAsia="宋体" w:cs="Times New Roman" w:hAnsi="Times New Roman"/>
          <w:kern w:val="2"/>
          <w:sz w:val="24"/>
          <w:szCs w:val="24"/>
          <w:lang w:val="en-US" w:eastAsia="zh-CN"/>
        </w:rPr>
        <w:t>某</w:t>
      </w:r>
      <w:r>
        <w:rPr>
          <w:rFonts w:ascii="Times New Roman" w:cs="Times New Roman" w:hAnsi="Times New Roman" w:hint="eastAsia"/>
          <w:kern w:val="2"/>
          <w:sz w:val="24"/>
          <w:szCs w:val="24"/>
          <w:lang w:val="en-US" w:eastAsia="zh-CN"/>
        </w:rPr>
        <w:t>一</w:t>
      </w:r>
      <w:r>
        <w:rPr>
          <w:rFonts w:ascii="Times New Roman" w:hAnsi="Times New Roman"/>
          <w:color w:val="auto"/>
          <w:highlight w:val="none"/>
        </w:rPr>
        <w:t>成熟度等级</w:t>
      </w:r>
      <w:r>
        <w:rPr>
          <w:rFonts w:ascii="Times New Roman" w:hAnsi="Times New Roman" w:hint="eastAsia"/>
          <w:color w:val="auto"/>
          <w:lang w:val="en-US" w:eastAsia="zh-CN"/>
          <w:highlight w:val="none"/>
        </w:rPr>
        <w:t>实际</w:t>
      </w:r>
      <w:r>
        <w:rPr>
          <w:rFonts w:ascii="Times New Roman" w:hAnsi="Times New Roman"/>
          <w:color w:val="auto"/>
          <w:highlight w:val="none"/>
        </w:rPr>
        <w:t>得分</w:t>
      </w:r>
      <w:r>
        <w:rPr>
          <w:rFonts w:ascii="Times New Roman" w:cs="Times New Roman" w:hAnsi="Times New Roman" w:hint="eastAsia"/>
          <w:kern w:val="2"/>
          <w:sz w:val="24"/>
          <w:szCs w:val="24"/>
          <w:lang w:val="en-US" w:eastAsia="zh-CN"/>
        </w:rPr>
        <w:t>不低于0.8时，该</w:t>
      </w:r>
      <w:r>
        <w:rPr>
          <w:rFonts w:ascii="Times New Roman" w:hAnsi="Times New Roman"/>
          <w:color w:val="auto"/>
          <w:highlight w:val="none"/>
        </w:rPr>
        <w:t>成熟度等级得分</w:t>
      </w:r>
      <w:r>
        <w:rPr>
          <w:rFonts w:ascii="Times New Roman" w:cs="Times New Roman" w:hAnsi="Times New Roman" w:hint="eastAsia"/>
          <w:kern w:val="2"/>
          <w:sz w:val="24"/>
          <w:szCs w:val="24"/>
          <w:lang w:val="en-US" w:eastAsia="zh-CN"/>
        </w:rPr>
        <w:t>应取1，并继续评估下一</w:t>
      </w:r>
      <w:r>
        <w:rPr>
          <w:rFonts w:ascii="Times New Roman" w:eastAsia="宋体" w:cs="Times New Roman" w:hAnsi="Times New Roman"/>
          <w:kern w:val="2"/>
          <w:sz w:val="24"/>
          <w:szCs w:val="24"/>
          <w:lang w:val="en-US" w:eastAsia="zh-CN"/>
        </w:rPr>
        <w:t>成熟度等级</w:t>
      </w:r>
      <w:r>
        <w:rPr>
          <w:rFonts w:ascii="Times New Roman" w:cs="Times New Roman" w:hAnsi="Times New Roman" w:hint="eastAsia"/>
          <w:kern w:val="2"/>
          <w:sz w:val="24"/>
          <w:szCs w:val="24"/>
          <w:lang w:val="en-US" w:eastAsia="zh-CN"/>
        </w:rPr>
        <w:t>；</w:t>
      </w:r>
    </w:p>
    <w:p>
      <w:pPr>
        <w:keepNext w:val="0"/>
        <w:keepLines w:val="0"/>
        <w:widowControl w:val="0"/>
        <w:numPr>
          <w:ilvl w:val="0"/>
          <w:numId w:val="40"/>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kern w:val="2"/>
          <w:sz w:val="24"/>
          <w:szCs w:val="24"/>
          <w:lang w:val="en-US" w:eastAsia="zh-CN"/>
        </w:rPr>
      </w:pPr>
      <w:r>
        <w:rPr>
          <w:rFonts w:ascii="Times New Roman" w:eastAsia="宋体" w:cs="Times New Roman" w:hAnsi="Times New Roman"/>
          <w:kern w:val="2"/>
          <w:sz w:val="24"/>
          <w:szCs w:val="24"/>
          <w:lang w:val="en-US" w:eastAsia="zh-CN"/>
        </w:rPr>
        <w:t>某一</w:t>
      </w:r>
      <w:r>
        <w:rPr>
          <w:rFonts w:ascii="Times New Roman" w:hAnsi="Times New Roman"/>
          <w:color w:val="auto"/>
          <w:highlight w:val="none"/>
        </w:rPr>
        <w:t>成熟度等级</w:t>
      </w:r>
      <w:r>
        <w:rPr>
          <w:rFonts w:ascii="Times New Roman" w:hAnsi="Times New Roman" w:hint="eastAsia"/>
          <w:color w:val="auto"/>
          <w:lang w:val="en-US" w:eastAsia="zh-CN"/>
          <w:highlight w:val="none"/>
        </w:rPr>
        <w:t>实际</w:t>
      </w:r>
      <w:r>
        <w:rPr>
          <w:rFonts w:ascii="Times New Roman" w:hAnsi="Times New Roman"/>
          <w:color w:val="auto"/>
          <w:highlight w:val="none"/>
        </w:rPr>
        <w:t>得分</w:t>
      </w:r>
      <w:r>
        <w:rPr>
          <w:rFonts w:ascii="Times New Roman" w:cs="Times New Roman" w:hAnsi="Times New Roman" w:hint="eastAsia"/>
          <w:kern w:val="2"/>
          <w:sz w:val="24"/>
          <w:szCs w:val="24"/>
          <w:lang w:val="en-US" w:eastAsia="zh-CN"/>
        </w:rPr>
        <w:t>低于0.8时，该</w:t>
      </w:r>
      <w:r>
        <w:rPr>
          <w:rFonts w:ascii="Times New Roman" w:hAnsi="Times New Roman"/>
          <w:color w:val="auto"/>
          <w:highlight w:val="none"/>
        </w:rPr>
        <w:t>成熟度等级得分</w:t>
      </w:r>
      <w:r>
        <w:rPr>
          <w:rFonts w:ascii="Times New Roman" w:cs="Times New Roman" w:hAnsi="Times New Roman" w:hint="eastAsia"/>
          <w:kern w:val="2"/>
          <w:sz w:val="24"/>
          <w:szCs w:val="24"/>
          <w:lang w:val="en-US" w:eastAsia="zh-CN"/>
        </w:rPr>
        <w:t>应取实际得分，结束成熟度评估</w:t>
      </w:r>
      <w:r>
        <w:rPr>
          <w:rFonts w:ascii="Times New Roman" w:eastAsia="宋体" w:cs="Times New Roman" w:hAnsi="Times New Roman"/>
          <w:kern w:val="2"/>
          <w:sz w:val="24"/>
          <w:szCs w:val="24"/>
          <w:lang w:val="en-US" w:eastAsia="zh-CN"/>
        </w:rPr>
        <w:t>；</w:t>
      </w:r>
    </w:p>
    <w:p>
      <w:pPr>
        <w:keepNext w:val="0"/>
        <w:keepLines w:val="0"/>
        <w:widowControl w:val="0"/>
        <w:numPr>
          <w:ilvl w:val="0"/>
          <w:numId w:val="40"/>
        </w:numPr>
        <w:suppressLineNumbers w:val="0"/>
        <w:autoSpaceDE w:val="0"/>
        <w:autoSpaceDN/>
        <w:spacing w:before="0" w:beforeAutospacing="0" w:after="0" w:afterAutospacing="0" w:line="360" w:lineRule="auto"/>
        <w:ind w:left="0" w:right="0" w:firstLineChars="200" w:firstLine="480"/>
        <w:jc w:val="both"/>
        <w:rPr>
          <w:rFonts w:ascii="Times New Roman" w:eastAsia="宋体" w:cs="Times New Roman" w:hAnsi="Times New Roman"/>
          <w:kern w:val="2"/>
          <w:sz w:val="24"/>
          <w:szCs w:val="24"/>
          <w:lang w:val="en-US" w:eastAsia="zh-CN"/>
        </w:rPr>
      </w:pPr>
      <w:r>
        <w:rPr>
          <w:rFonts w:ascii="Times New Roman" w:cs="Times New Roman" w:hAnsi="Times New Roman" w:hint="eastAsia"/>
          <w:kern w:val="2"/>
          <w:sz w:val="24"/>
          <w:szCs w:val="24"/>
          <w:lang w:val="en-US" w:eastAsia="zh-CN"/>
        </w:rPr>
        <w:t>成熟度总得分应为各</w:t>
      </w:r>
      <w:r>
        <w:rPr>
          <w:rFonts w:ascii="Times New Roman" w:hAnsi="Times New Roman"/>
          <w:color w:val="auto"/>
          <w:highlight w:val="none"/>
        </w:rPr>
        <w:t>成熟度等级得分</w:t>
      </w:r>
      <w:r>
        <w:rPr>
          <w:rFonts w:ascii="Times New Roman" w:cs="Times New Roman" w:hAnsi="Times New Roman" w:hint="eastAsia"/>
          <w:kern w:val="2"/>
          <w:sz w:val="24"/>
          <w:szCs w:val="24"/>
          <w:lang w:val="en-US" w:eastAsia="zh-CN"/>
        </w:rPr>
        <w:t>的累计求和，</w:t>
      </w:r>
      <w:r>
        <w:rPr>
          <w:rFonts w:ascii="Times New Roman" w:eastAsia="宋体" w:cs="Times New Roman" w:hAnsi="Times New Roman"/>
          <w:kern w:val="2"/>
          <w:sz w:val="24"/>
          <w:szCs w:val="24"/>
          <w:lang w:val="en-US" w:eastAsia="zh-CN"/>
        </w:rPr>
        <w:t>成熟度</w:t>
      </w:r>
      <w:r>
        <w:rPr>
          <w:rFonts w:ascii="Times New Roman" w:cs="Times New Roman" w:hAnsi="Times New Roman" w:hint="eastAsia"/>
          <w:kern w:val="2"/>
          <w:sz w:val="24"/>
          <w:szCs w:val="24"/>
          <w:lang w:val="en-US" w:eastAsia="zh-CN"/>
        </w:rPr>
        <w:t>总得分</w:t>
      </w:r>
      <w:r>
        <w:rPr>
          <w:rFonts w:ascii="Times New Roman" w:eastAsia="宋体" w:cs="Times New Roman" w:hAnsi="Times New Roman"/>
          <w:kern w:val="2"/>
          <w:sz w:val="24"/>
          <w:szCs w:val="24"/>
          <w:lang w:val="en-US" w:eastAsia="zh-CN"/>
        </w:rPr>
        <w:t>与成熟度等级对应关系</w:t>
      </w:r>
      <w:r>
        <w:rPr>
          <w:rFonts w:ascii="Times New Roman" w:cs="Times New Roman" w:hAnsi="Times New Roman" w:hint="eastAsia"/>
          <w:kern w:val="2"/>
          <w:sz w:val="24"/>
          <w:szCs w:val="24"/>
          <w:lang w:val="en-US" w:eastAsia="zh-CN"/>
        </w:rPr>
        <w:t>应</w:t>
      </w:r>
      <w:r>
        <w:rPr>
          <w:rFonts w:ascii="Times New Roman" w:eastAsia="宋体" w:cs="Times New Roman" w:hAnsi="Times New Roman"/>
          <w:kern w:val="2"/>
          <w:sz w:val="24"/>
          <w:szCs w:val="24"/>
          <w:lang w:val="en-US" w:eastAsia="zh-CN"/>
        </w:rPr>
        <w:t>符合表8.</w:t>
      </w:r>
      <w:r>
        <w:rPr>
          <w:rFonts w:ascii="Times New Roman" w:cs="Times New Roman" w:hAnsi="Times New Roman" w:hint="eastAsia"/>
          <w:kern w:val="2"/>
          <w:sz w:val="24"/>
          <w:szCs w:val="24"/>
          <w:lang w:val="en-US" w:eastAsia="zh-CN"/>
        </w:rPr>
        <w:t>0</w:t>
      </w:r>
      <w:r>
        <w:rPr>
          <w:rFonts w:ascii="Times New Roman" w:eastAsia="宋体" w:cs="Times New Roman" w:hAnsi="Times New Roman"/>
          <w:kern w:val="2"/>
          <w:sz w:val="24"/>
          <w:szCs w:val="24"/>
          <w:lang w:val="en-US" w:eastAsia="zh-CN"/>
        </w:rPr>
        <w:t>.7的规定</w:t>
      </w:r>
      <w:r>
        <w:rPr>
          <w:rFonts w:ascii="Times New Roman" w:cs="Times New Roman" w:hAnsi="Times New Roman" w:hint="eastAsia"/>
          <w:kern w:val="2"/>
          <w:sz w:val="24"/>
          <w:szCs w:val="24"/>
          <w:lang w:val="en-US" w:eastAsia="zh-CN"/>
        </w:rPr>
        <w:t>。</w:t>
      </w:r>
    </w:p>
    <w:p>
      <w:pPr>
        <w:tabs>
          <w:tab w:val="left" w:pos="0"/>
        </w:tabs>
        <w:jc w:val="center"/>
        <w:rPr>
          <w:rFonts w:ascii="Times New Roman" w:cs="Times New Roman" w:hAnsi="Times New Roman"/>
          <w:b/>
          <w:bCs/>
          <w:color w:val="auto"/>
          <w:lang w:val="en-US" w:eastAsia="zh-CN"/>
          <w:highlight w:val="none"/>
        </w:rPr>
      </w:pPr>
      <w:r>
        <w:rPr>
          <w:rFonts w:ascii="Times New Roman" w:cs="Times New Roman" w:hAnsi="Times New Roman"/>
          <w:b/>
          <w:bCs/>
          <w:color w:val="auto"/>
          <w:lang w:val="en-US" w:eastAsia="zh-CN"/>
          <w:highlight w:val="none"/>
        </w:rPr>
        <w:t>表8.</w:t>
      </w:r>
      <w:r>
        <w:rPr>
          <w:rFonts w:ascii="Times New Roman" w:cs="Times New Roman" w:hAnsi="Times New Roman" w:hint="eastAsia"/>
          <w:b/>
          <w:bCs/>
          <w:color w:val="auto"/>
          <w:lang w:val="en-US" w:eastAsia="zh-CN"/>
          <w:highlight w:val="none"/>
        </w:rPr>
        <w:t>0</w:t>
      </w:r>
      <w:r>
        <w:rPr>
          <w:rFonts w:ascii="Times New Roman" w:cs="Times New Roman" w:hAnsi="Times New Roman"/>
          <w:b/>
          <w:bCs/>
          <w:color w:val="auto"/>
          <w:lang w:val="en-US" w:eastAsia="zh-CN"/>
          <w:highlight w:val="none"/>
        </w:rPr>
        <w:t>.</w:t>
      </w:r>
      <w:r>
        <w:rPr>
          <w:rFonts w:ascii="Times New Roman" w:cs="Times New Roman" w:hAnsi="Times New Roman" w:hint="eastAsia"/>
          <w:b/>
          <w:bCs/>
          <w:color w:val="auto"/>
          <w:lang w:val="en-US" w:eastAsia="zh-CN"/>
          <w:highlight w:val="none"/>
        </w:rPr>
        <w:t>7</w:t>
      </w:r>
      <w:r>
        <w:rPr>
          <w:rFonts w:ascii="Times New Roman" w:cs="Times New Roman" w:hAnsi="Times New Roman"/>
          <w:b/>
          <w:bCs/>
          <w:color w:val="auto"/>
          <w:lang w:val="en-US" w:eastAsia="zh-CN"/>
          <w:highlight w:val="none"/>
        </w:rPr>
        <w:t xml:space="preserve"> 成熟度要求满足程度与得分对应表</w:t>
      </w:r>
    </w:p>
    <w:tbl>
      <w:tblPr>
        <w:jc w:val="lef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4148"/>
        <w:gridCol w:w="4148"/>
      </w:tblGrid>
      <w:tr>
        <w:tc>
          <w:tcPr>
            <w:tcW w:w="4148" w:type="dxa"/>
            <w:tcBorders>
              <w:top w:val="single" w:sz="4" w:space="0" w:color="auto"/>
              <w:left w:val="single" w:sz="4" w:space="0" w:color="auto"/>
              <w:tl2br w:val="nil"/>
              <w:tr2bl w:val="nil"/>
            </w:tcBorders>
          </w:tcPr>
          <w:p>
            <w:pPr>
              <w:spacing w:line="240" w:lineRule="auto"/>
              <w:ind w:firstLine="480"/>
              <w:jc w:val="center"/>
              <w:rPr>
                <w:rFonts w:ascii="Times New Roman" w:hAnsi="Times New Roman" w:hint="eastAsia"/>
                <w:b/>
                <w:bCs/>
                <w:color w:val="auto"/>
                <w:sz w:val="21"/>
                <w:szCs w:val="21"/>
                <w:vertAlign w:val="baseline"/>
                <w:lang w:val="en-US" w:eastAsia="zh-CN"/>
                <w:highlight w:val="none"/>
              </w:rPr>
            </w:pPr>
            <w:r>
              <w:rPr>
                <w:rFonts w:ascii="Times New Roman" w:hAnsi="Times New Roman"/>
                <w:b/>
                <w:bCs/>
                <w:color w:val="auto"/>
                <w:sz w:val="21"/>
                <w:szCs w:val="21"/>
                <w:highlight w:val="none"/>
              </w:rPr>
              <w:t>成熟度等级</w:t>
            </w:r>
          </w:p>
        </w:tc>
        <w:tc>
          <w:tcPr>
            <w:tcW w:w="4148" w:type="dxa"/>
            <w:tcBorders>
              <w:top w:val="single" w:sz="4" w:space="0" w:color="auto"/>
              <w:right w:val="single" w:sz="4" w:space="0" w:color="auto"/>
              <w:tl2br w:val="nil"/>
              <w:tr2bl w:val="nil"/>
            </w:tcBorders>
          </w:tcPr>
          <w:p>
            <w:pPr>
              <w:spacing w:line="240" w:lineRule="auto"/>
              <w:ind w:firstLine="480"/>
              <w:jc w:val="center"/>
              <w:rPr>
                <w:rFonts w:ascii="Times New Roman" w:hAnsi="Times New Roman" w:hint="eastAsia"/>
                <w:b/>
                <w:bCs/>
                <w:color w:val="auto"/>
                <w:sz w:val="21"/>
                <w:szCs w:val="21"/>
                <w:vertAlign w:val="baseline"/>
                <w:lang w:val="en-US" w:eastAsia="zh-CN"/>
                <w:highlight w:val="none"/>
              </w:rPr>
            </w:pPr>
            <w:r>
              <w:rPr>
                <w:rFonts w:ascii="Times New Roman" w:hAnsi="Times New Roman"/>
                <w:b/>
                <w:bCs/>
                <w:color w:val="auto"/>
                <w:sz w:val="21"/>
                <w:szCs w:val="21"/>
                <w:highlight w:val="none"/>
              </w:rPr>
              <w:t>对应评分区间</w:t>
            </w:r>
          </w:p>
        </w:tc>
      </w:tr>
      <w:tr>
        <w:tc>
          <w:tcPr>
            <w:tcW w:w="4148" w:type="dxa"/>
            <w:tcBorders>
              <w:lef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生态级</w:t>
            </w:r>
          </w:p>
        </w:tc>
        <w:tc>
          <w:tcPr>
            <w:tcW w:w="4148" w:type="dxa"/>
            <w:tcBorders>
              <w:righ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4</w:t>
            </w:r>
            <w:r>
              <w:rPr>
                <w:rFonts w:ascii="Times New Roman" w:hAnsi="Times New Roman"/>
                <w:color w:val="auto"/>
                <w:sz w:val="21"/>
                <w:szCs w:val="21"/>
                <w:highlight w:val="none"/>
              </w:rPr>
              <w:t>.8</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S</w:t>
            </w:r>
            <w:r>
              <w:rPr>
                <w:rFonts w:ascii="Times New Roman" w:hAnsi="Times New Roman" w:hint="eastAsia"/>
                <w:color w:val="auto"/>
                <w:sz w:val="21"/>
                <w:szCs w:val="21"/>
                <w:lang w:val="en-US" w:eastAsia="zh-CN"/>
                <w:highlight w:val="none"/>
              </w:rPr>
              <w:t>≤5</w:t>
            </w:r>
          </w:p>
        </w:tc>
      </w:tr>
      <w:tr>
        <w:tc>
          <w:tcPr>
            <w:tcW w:w="4148" w:type="dxa"/>
            <w:tcBorders>
              <w:lef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平台级</w:t>
            </w:r>
          </w:p>
        </w:tc>
        <w:tc>
          <w:tcPr>
            <w:tcW w:w="4148" w:type="dxa"/>
            <w:tcBorders>
              <w:righ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color w:val="auto"/>
                <w:sz w:val="21"/>
                <w:szCs w:val="21"/>
                <w:highlight w:val="none"/>
              </w:rPr>
              <w:t>3.8</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S</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4</w:t>
            </w:r>
            <w:r>
              <w:rPr>
                <w:rFonts w:ascii="Times New Roman" w:hAnsi="Times New Roman" w:hint="eastAsia"/>
                <w:color w:val="auto"/>
                <w:sz w:val="21"/>
                <w:szCs w:val="21"/>
                <w:lang w:val="en-US" w:eastAsia="zh-CN"/>
                <w:highlight w:val="none"/>
              </w:rPr>
              <w:t>.8</w:t>
            </w:r>
          </w:p>
        </w:tc>
      </w:tr>
      <w:tr>
        <w:tc>
          <w:tcPr>
            <w:tcW w:w="4148" w:type="dxa"/>
            <w:tcBorders>
              <w:lef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领域级</w:t>
            </w:r>
          </w:p>
        </w:tc>
        <w:tc>
          <w:tcPr>
            <w:tcW w:w="4148" w:type="dxa"/>
            <w:tcBorders>
              <w:righ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color w:val="auto"/>
                <w:sz w:val="21"/>
                <w:szCs w:val="21"/>
                <w:highlight w:val="none"/>
              </w:rPr>
              <w:t>2.8</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S</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3.8</w:t>
            </w:r>
          </w:p>
        </w:tc>
      </w:tr>
      <w:tr>
        <w:tc>
          <w:tcPr>
            <w:tcW w:w="4148" w:type="dxa"/>
            <w:tcBorders>
              <w:lef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场景级</w:t>
            </w:r>
          </w:p>
        </w:tc>
        <w:tc>
          <w:tcPr>
            <w:tcW w:w="4148" w:type="dxa"/>
            <w:tcBorders>
              <w:righ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color w:val="auto"/>
                <w:sz w:val="21"/>
                <w:szCs w:val="21"/>
                <w:highlight w:val="none"/>
              </w:rPr>
              <w:t>1.8</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S</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2.8</w:t>
            </w:r>
          </w:p>
        </w:tc>
      </w:tr>
      <w:tr>
        <w:tc>
          <w:tcPr>
            <w:tcW w:w="4148" w:type="dxa"/>
            <w:tcBorders>
              <w:left w:val="single" w:sz="4" w:space="0" w:color="auto"/>
              <w:bottom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hint="eastAsia"/>
                <w:color w:val="auto"/>
                <w:sz w:val="21"/>
                <w:szCs w:val="21"/>
                <w:lang w:val="en-US" w:eastAsia="zh-CN"/>
                <w:highlight w:val="none"/>
              </w:rPr>
              <w:t>规范级</w:t>
            </w:r>
          </w:p>
        </w:tc>
        <w:tc>
          <w:tcPr>
            <w:tcW w:w="4148" w:type="dxa"/>
            <w:tcBorders>
              <w:bottom w:val="single" w:sz="4" w:space="0" w:color="auto"/>
              <w:right w:val="single" w:sz="4" w:space="0" w:color="auto"/>
              <w:tl2br w:val="nil"/>
              <w:tr2bl w:val="nil"/>
            </w:tcBorders>
          </w:tcPr>
          <w:p>
            <w:pPr>
              <w:spacing w:line="240" w:lineRule="auto"/>
              <w:ind w:firstLine="480"/>
              <w:jc w:val="center"/>
              <w:rPr>
                <w:rFonts w:ascii="Times New Roman" w:hAnsi="Times New Roman" w:hint="eastAsia"/>
                <w:b w:val="0"/>
                <w:bCs w:val="0"/>
                <w:color w:val="auto"/>
                <w:sz w:val="21"/>
                <w:szCs w:val="21"/>
                <w:vertAlign w:val="baseline"/>
                <w:lang w:val="en-US" w:eastAsia="zh-CN"/>
                <w:highlight w:val="none"/>
              </w:rPr>
            </w:pPr>
            <w:r>
              <w:rPr>
                <w:rFonts w:ascii="Times New Roman" w:hAnsi="Times New Roman"/>
                <w:color w:val="auto"/>
                <w:sz w:val="21"/>
                <w:szCs w:val="21"/>
                <w:highlight w:val="none"/>
              </w:rPr>
              <w:t>0.8</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S</w:t>
            </w:r>
            <w:r>
              <w:rPr>
                <w:rFonts w:ascii="Times New Roman" w:hAnsi="Times New Roman" w:hint="eastAsia"/>
                <w:color w:val="auto"/>
                <w:sz w:val="21"/>
                <w:szCs w:val="21"/>
                <w:lang w:val="en-US" w:eastAsia="zh-CN"/>
                <w:highlight w:val="none"/>
              </w:rPr>
              <w:t>＜</w:t>
            </w:r>
            <w:r>
              <w:rPr>
                <w:rFonts w:ascii="Times New Roman" w:hAnsi="Times New Roman"/>
                <w:color w:val="auto"/>
                <w:sz w:val="21"/>
                <w:szCs w:val="21"/>
                <w:highlight w:val="none"/>
              </w:rPr>
              <w:t>1</w:t>
            </w:r>
            <w:r>
              <w:rPr>
                <w:rFonts w:ascii="Times New Roman" w:hAnsi="Times New Roman" w:hint="eastAsia"/>
                <w:color w:val="auto"/>
                <w:sz w:val="21"/>
                <w:szCs w:val="21"/>
                <w:lang w:val="en-US" w:eastAsia="zh-CN"/>
                <w:highlight w:val="none"/>
              </w:rPr>
              <w:t>.8</w:t>
            </w:r>
          </w:p>
        </w:tc>
      </w:tr>
    </w:tbl>
    <w:p>
      <w:pPr>
        <w:rPr>
          <w:rFonts w:ascii="Times New Roman" w:cs="Times New Roman" w:hAnsi="Times New Roman"/>
          <w:color w:val="auto"/>
          <w:lang w:val="zh-CN"/>
          <w:highlight w:val="none"/>
        </w:rPr>
      </w:pPr>
      <w:r>
        <w:rPr>
          <w:rFonts w:ascii="Times New Roman" w:cs="Times New Roman" w:hAnsi="Times New Roman"/>
          <w:color w:val="auto"/>
          <w:lang w:val="zh-CN"/>
          <w:highlight w:val="none"/>
        </w:rPr>
        <w:br w:type="page"/>
      </w:r>
    </w:p>
    <w:p>
      <w:pPr>
        <w:pStyle w:val="1"/>
        <w:numPr>
          <w:ilvl w:val="0"/>
          <w:numId w:val="0"/>
        </w:numPr>
        <w:tabs>
          <w:tab w:val="left" w:pos="420"/>
        </w:tabs>
        <w:rPr>
          <w:rFonts w:ascii="Times New Roman" w:cs="Times New Roman" w:hAnsi="Times New Roman"/>
          <w:lang w:val="zh-CN"/>
          <w:highlight w:val="none"/>
        </w:rPr>
      </w:pPr>
      <w:bookmarkStart w:id="124" w:name="_Toc797684251"/>
      <w:bookmarkStart w:id="125" w:name="_Toc11339"/>
      <w:bookmarkStart w:id="126" w:name="_GoBack"/>
      <w:bookmarkEnd w:id="126"/>
      <w:r>
        <w:rPr>
          <w:rFonts w:cs="Times New Roman" w:hint="eastAsia"/>
          <w:lang w:val="en-US" w:eastAsia="zh-CN"/>
          <w:highlight w:val="none"/>
        </w:rPr>
        <w:t>本标准</w:t>
      </w:r>
      <w:r>
        <w:rPr>
          <w:rFonts w:ascii="Times New Roman" w:cs="Times New Roman" w:hAnsi="Times New Roman"/>
          <w:lang w:val="zh-CN"/>
          <w:highlight w:val="none"/>
        </w:rPr>
        <w:t>用词说明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24"/>
      <w:bookmarkEnd w:id="125"/>
    </w:p>
    <w:p>
      <w:pPr>
        <w:ind w:firstLineChars="200" w:firstLine="480"/>
        <w:rPr>
          <w:rFonts w:ascii="Times New Roman" w:cs="Times New Roman" w:hAnsi="Times New Roman"/>
          <w:lang w:val="zh-CN"/>
          <w:highlight w:val="none"/>
        </w:rPr>
      </w:pPr>
      <w:r>
        <w:rPr>
          <w:rFonts w:ascii="Times New Roman" w:cs="Times New Roman" w:hAnsi="Times New Roman"/>
          <w:b/>
          <w:lang w:val="zh-CN"/>
          <w:highlight w:val="none"/>
        </w:rPr>
        <w:t>1　</w:t>
      </w:r>
      <w:r>
        <w:rPr>
          <w:rFonts w:ascii="Times New Roman" w:cs="Times New Roman" w:hAnsi="Times New Roman"/>
          <w:lang w:val="zh-CN"/>
          <w:highlight w:val="none"/>
        </w:rPr>
        <w:t>为便于在执行本标准条文时区别对待，对要求严格程度不同的用词说明如下：</w:t>
      </w:r>
    </w:p>
    <w:p>
      <w:pPr>
        <w:tabs>
          <w:tab w:val="left" w:pos="0"/>
        </w:tabs>
        <w:ind w:firstLineChars="289" w:firstLine="694"/>
        <w:rPr>
          <w:rFonts w:ascii="Times New Roman" w:cs="Times New Roman" w:hAnsi="Times New Roman"/>
          <w:lang w:val="zh-CN"/>
          <w:highlight w:val="none"/>
        </w:rPr>
      </w:pPr>
      <w:r>
        <w:rPr>
          <w:rFonts w:ascii="Times New Roman" w:cs="Times New Roman" w:hAnsi="Times New Roman"/>
          <w:b/>
          <w:lang w:val="zh-CN"/>
          <w:highlight w:val="none"/>
        </w:rPr>
        <w:t>1</w:t>
      </w:r>
      <w:r>
        <w:rPr>
          <w:rFonts w:ascii="Times New Roman" w:cs="Times New Roman" w:hAnsi="Times New Roman" w:hint="eastAsia"/>
          <w:b/>
          <w:lang w:val="zh-CN"/>
          <w:highlight w:val="none"/>
        </w:rPr>
        <w:t>）</w:t>
      </w:r>
      <w:r>
        <w:rPr>
          <w:rFonts w:ascii="Times New Roman" w:cs="Times New Roman" w:hAnsi="Times New Roman"/>
          <w:lang w:val="zh-CN"/>
          <w:highlight w:val="none"/>
        </w:rPr>
        <w:t>表示很严格，非这样做不可的：</w:t>
      </w:r>
    </w:p>
    <w:p>
      <w:pPr>
        <w:tabs>
          <w:tab w:val="left" w:pos="0"/>
        </w:tabs>
        <w:ind w:firstLineChars="450" w:firstLine="1080"/>
        <w:rPr>
          <w:rFonts w:ascii="Times New Roman" w:cs="Times New Roman" w:hAnsi="Times New Roman"/>
          <w:lang w:val="zh-CN"/>
          <w:highlight w:val="none"/>
        </w:rPr>
      </w:pPr>
      <w:r>
        <w:rPr>
          <w:rFonts w:ascii="Times New Roman" w:cs="Times New Roman" w:hAnsi="Times New Roman"/>
          <w:lang w:val="zh-CN"/>
          <w:highlight w:val="none"/>
        </w:rPr>
        <w:t>正面词采用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必须</w:t>
      </w:r>
      <w:r>
        <w:rPr>
          <w:rFonts w:ascii="Times New Roman" w:cs="Times New Roman" w:hAnsi="Times New Roman" w:hint="eastAsia"/>
          <w:lang w:val="zh-CN"/>
          <w:highlight w:val="none"/>
        </w:rPr>
        <w:t>”</w:t>
      </w:r>
      <w:r>
        <w:rPr>
          <w:rFonts w:ascii="Times New Roman" w:cs="Times New Roman" w:hAnsi="Times New Roman"/>
          <w:lang w:val="zh-CN"/>
          <w:highlight w:val="none"/>
        </w:rPr>
        <w:t>，反面词采用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严禁</w:t>
      </w:r>
      <w:r>
        <w:rPr>
          <w:rFonts w:ascii="Times New Roman" w:cs="Times New Roman" w:hAnsi="Times New Roman" w:hint="eastAsia"/>
          <w:lang w:val="zh-CN"/>
          <w:highlight w:val="none"/>
        </w:rPr>
        <w:t>”</w:t>
      </w:r>
      <w:r>
        <w:rPr>
          <w:rFonts w:ascii="Times New Roman" w:cs="Times New Roman" w:hAnsi="Times New Roman"/>
          <w:lang w:val="zh-CN"/>
          <w:highlight w:val="none"/>
        </w:rPr>
        <w:t>；</w:t>
      </w:r>
    </w:p>
    <w:p>
      <w:pPr>
        <w:tabs>
          <w:tab w:val="left" w:pos="0"/>
        </w:tabs>
        <w:ind w:firstLineChars="289" w:firstLine="694"/>
        <w:rPr>
          <w:rFonts w:ascii="Times New Roman" w:cs="Times New Roman" w:hAnsi="Times New Roman"/>
          <w:lang w:val="zh-CN"/>
          <w:highlight w:val="none"/>
        </w:rPr>
      </w:pPr>
      <w:r>
        <w:rPr>
          <w:rFonts w:ascii="Times New Roman" w:cs="Times New Roman" w:hAnsi="Times New Roman"/>
          <w:b/>
          <w:lang w:val="zh-CN"/>
          <w:highlight w:val="none"/>
        </w:rPr>
        <w:t>2</w:t>
      </w:r>
      <w:r>
        <w:rPr>
          <w:rFonts w:ascii="Times New Roman" w:cs="Times New Roman" w:hAnsi="Times New Roman" w:hint="eastAsia"/>
          <w:b/>
          <w:lang w:val="zh-CN"/>
          <w:highlight w:val="none"/>
        </w:rPr>
        <w:t>）</w:t>
      </w:r>
      <w:r>
        <w:rPr>
          <w:rFonts w:ascii="Times New Roman" w:cs="Times New Roman" w:hAnsi="Times New Roman"/>
          <w:lang w:val="zh-CN"/>
          <w:highlight w:val="none"/>
        </w:rPr>
        <w:t>表示严格，在正常情况下均应这样做的：</w:t>
      </w:r>
    </w:p>
    <w:p>
      <w:pPr>
        <w:tabs>
          <w:tab w:val="left" w:pos="0"/>
        </w:tabs>
        <w:ind w:firstLineChars="450" w:firstLine="1080"/>
        <w:rPr>
          <w:rFonts w:ascii="Times New Roman" w:cs="Times New Roman" w:hAnsi="Times New Roman"/>
          <w:lang w:val="zh-CN"/>
          <w:highlight w:val="none"/>
        </w:rPr>
      </w:pPr>
      <w:r>
        <w:rPr>
          <w:rFonts w:ascii="Times New Roman" w:cs="Times New Roman" w:hAnsi="Times New Roman"/>
          <w:lang w:val="zh-CN"/>
          <w:highlight w:val="none"/>
        </w:rPr>
        <w:t>正面词采用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应</w:t>
      </w:r>
      <w:r>
        <w:rPr>
          <w:rFonts w:ascii="Times New Roman" w:cs="Times New Roman" w:hAnsi="Times New Roman" w:hint="eastAsia"/>
          <w:lang w:val="zh-CN"/>
          <w:highlight w:val="none"/>
        </w:rPr>
        <w:t>”</w:t>
      </w:r>
      <w:r>
        <w:rPr>
          <w:rFonts w:ascii="Times New Roman" w:cs="Times New Roman" w:hAnsi="Times New Roman"/>
          <w:lang w:val="zh-CN"/>
          <w:highlight w:val="none"/>
        </w:rPr>
        <w:t>，反面词采用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不应</w:t>
      </w:r>
      <w:r>
        <w:rPr>
          <w:rFonts w:ascii="Times New Roman" w:cs="Times New Roman" w:hAnsi="Times New Roman" w:hint="eastAsia"/>
          <w:lang w:val="zh-CN"/>
          <w:highlight w:val="none"/>
        </w:rPr>
        <w:t>”</w:t>
      </w:r>
      <w:r>
        <w:rPr>
          <w:rFonts w:ascii="Times New Roman" w:cs="Times New Roman" w:hAnsi="Times New Roman"/>
          <w:lang w:val="zh-CN"/>
          <w:highlight w:val="none"/>
        </w:rPr>
        <w:t>或</w:t>
      </w:r>
      <w:r>
        <w:rPr>
          <w:rFonts w:ascii="Times New Roman" w:cs="Times New Roman" w:hAnsi="Times New Roman" w:hint="eastAsia"/>
          <w:lang w:val="zh-CN"/>
          <w:highlight w:val="none"/>
        </w:rPr>
        <w:t>“</w:t>
      </w:r>
      <w:r>
        <w:rPr>
          <w:rFonts w:ascii="Times New Roman" w:cs="Times New Roman" w:hAnsi="Times New Roman"/>
          <w:lang w:val="zh-CN"/>
          <w:highlight w:val="none"/>
        </w:rPr>
        <w:t>不得</w:t>
      </w:r>
      <w:r>
        <w:rPr>
          <w:rFonts w:ascii="Times New Roman" w:cs="Times New Roman" w:hAnsi="Times New Roman" w:hint="eastAsia"/>
          <w:lang w:val="zh-CN"/>
          <w:highlight w:val="none"/>
        </w:rPr>
        <w:t>”</w:t>
      </w:r>
      <w:r>
        <w:rPr>
          <w:rFonts w:ascii="Times New Roman" w:cs="Times New Roman" w:hAnsi="Times New Roman"/>
          <w:lang w:val="zh-CN"/>
          <w:highlight w:val="none"/>
        </w:rPr>
        <w:t>；</w:t>
      </w:r>
    </w:p>
    <w:p>
      <w:pPr>
        <w:tabs>
          <w:tab w:val="left" w:pos="0"/>
        </w:tabs>
        <w:ind w:firstLineChars="289" w:firstLine="694"/>
        <w:rPr>
          <w:rFonts w:ascii="Times New Roman" w:cs="Times New Roman" w:hAnsi="Times New Roman"/>
          <w:lang w:val="zh-CN"/>
          <w:highlight w:val="none"/>
        </w:rPr>
      </w:pPr>
      <w:r>
        <w:rPr>
          <w:rFonts w:ascii="Times New Roman" w:cs="Times New Roman" w:hAnsi="Times New Roman"/>
          <w:b/>
          <w:lang w:val="zh-CN"/>
          <w:highlight w:val="none"/>
        </w:rPr>
        <w:t>3</w:t>
      </w:r>
      <w:r>
        <w:rPr>
          <w:rFonts w:ascii="Times New Roman" w:cs="Times New Roman" w:hAnsi="Times New Roman" w:hint="eastAsia"/>
          <w:b/>
          <w:lang w:val="zh-CN"/>
          <w:highlight w:val="none"/>
        </w:rPr>
        <w:t>）</w:t>
      </w:r>
      <w:r>
        <w:rPr>
          <w:rFonts w:ascii="Times New Roman" w:cs="Times New Roman" w:hAnsi="Times New Roman"/>
          <w:lang w:val="zh-CN"/>
          <w:highlight w:val="none"/>
        </w:rPr>
        <w:t>表示允许稍有选择，在条件许可时首先应这样做的：</w:t>
      </w:r>
    </w:p>
    <w:p>
      <w:pPr>
        <w:tabs>
          <w:tab w:val="left" w:pos="0"/>
        </w:tabs>
        <w:ind w:firstLineChars="450" w:firstLine="1080"/>
        <w:rPr>
          <w:rFonts w:ascii="Times New Roman" w:cs="Times New Roman" w:hAnsi="Times New Roman"/>
          <w:lang w:val="zh-CN"/>
          <w:highlight w:val="none"/>
        </w:rPr>
      </w:pPr>
      <w:r>
        <w:rPr>
          <w:rFonts w:ascii="Times New Roman" w:cs="Times New Roman" w:hAnsi="Times New Roman"/>
          <w:lang w:val="zh-CN"/>
          <w:highlight w:val="none"/>
        </w:rPr>
        <w:t>正面词采用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宜</w:t>
      </w:r>
      <w:r>
        <w:rPr>
          <w:rFonts w:ascii="Times New Roman" w:cs="Times New Roman" w:hAnsi="Times New Roman" w:hint="eastAsia"/>
          <w:lang w:val="zh-CN"/>
          <w:highlight w:val="none"/>
        </w:rPr>
        <w:t>”</w:t>
      </w:r>
      <w:r>
        <w:rPr>
          <w:rFonts w:ascii="Times New Roman" w:cs="Times New Roman" w:hAnsi="Times New Roman"/>
          <w:lang w:val="zh-CN"/>
          <w:highlight w:val="none"/>
        </w:rPr>
        <w:t>，反面词采用</w:t>
      </w:r>
      <w:r>
        <w:rPr>
          <w:rFonts w:ascii="Times New Roman" w:cs="Times New Roman" w:hAnsi="Times New Roman" w:hint="eastAsia"/>
          <w:lang w:val="zh-CN"/>
          <w:highlight w:val="none"/>
        </w:rPr>
        <w:t>“</w:t>
      </w:r>
      <w:r>
        <w:rPr>
          <w:rFonts w:ascii="Times New Roman" w:cs="Times New Roman" w:hAnsi="Times New Roman"/>
          <w:lang w:val="zh-CN"/>
          <w:highlight w:val="none"/>
        </w:rPr>
        <w:t>不宜</w:t>
      </w:r>
      <w:r>
        <w:rPr>
          <w:rFonts w:ascii="Times New Roman" w:cs="Times New Roman" w:hAnsi="Times New Roman" w:hint="eastAsia"/>
          <w:lang w:val="zh-CN"/>
          <w:highlight w:val="none"/>
        </w:rPr>
        <w:t>”</w:t>
      </w:r>
      <w:r>
        <w:rPr>
          <w:rFonts w:ascii="Times New Roman" w:cs="Times New Roman" w:hAnsi="Times New Roman"/>
          <w:lang w:val="zh-CN"/>
          <w:highlight w:val="none"/>
        </w:rPr>
        <w:t>；</w:t>
      </w:r>
    </w:p>
    <w:p>
      <w:pPr>
        <w:tabs>
          <w:tab w:val="left" w:pos="0"/>
        </w:tabs>
        <w:ind w:firstLineChars="289" w:firstLine="694"/>
        <w:rPr>
          <w:rFonts w:ascii="Times New Roman" w:cs="Times New Roman" w:hAnsi="Times New Roman"/>
          <w:lang w:val="zh-CN"/>
          <w:highlight w:val="none"/>
        </w:rPr>
      </w:pPr>
      <w:r>
        <w:rPr>
          <w:rFonts w:ascii="Times New Roman" w:cs="Times New Roman" w:hAnsi="Times New Roman"/>
          <w:b/>
          <w:lang w:val="zh-CN"/>
          <w:highlight w:val="none"/>
        </w:rPr>
        <w:t>4</w:t>
      </w:r>
      <w:r>
        <w:rPr>
          <w:rFonts w:ascii="Times New Roman" w:cs="Times New Roman" w:hAnsi="Times New Roman" w:hint="eastAsia"/>
          <w:b/>
          <w:lang w:val="zh-CN"/>
          <w:highlight w:val="none"/>
        </w:rPr>
        <w:t>）</w:t>
      </w:r>
      <w:r>
        <w:rPr>
          <w:rFonts w:ascii="Times New Roman" w:cs="Times New Roman" w:hAnsi="Times New Roman"/>
          <w:lang w:val="zh-CN"/>
          <w:highlight w:val="none"/>
        </w:rPr>
        <w:t>表示有选择，在一定条件下可以这样做的，采用</w:t>
      </w:r>
      <w:r>
        <w:rPr>
          <w:rFonts w:ascii="Times New Roman" w:cs="Times New Roman" w:hAnsi="Times New Roman" w:hint="eastAsia"/>
          <w:lang w:val="zh-CN"/>
          <w:highlight w:val="none"/>
        </w:rPr>
        <w:t>“</w:t>
      </w:r>
      <w:r>
        <w:rPr>
          <w:rFonts w:ascii="Times New Roman" w:cs="Times New Roman" w:hAnsi="Times New Roman"/>
          <w:lang w:val="zh-CN"/>
          <w:highlight w:val="none"/>
        </w:rPr>
        <w:t>可</w:t>
      </w:r>
      <w:r>
        <w:rPr>
          <w:rFonts w:ascii="Times New Roman" w:cs="Times New Roman" w:hAnsi="Times New Roman" w:hint="eastAsia"/>
          <w:lang w:val="zh-CN"/>
          <w:highlight w:val="none"/>
        </w:rPr>
        <w:t>”</w:t>
      </w:r>
      <w:r>
        <w:rPr>
          <w:rFonts w:ascii="Times New Roman" w:cs="Times New Roman" w:hAnsi="Times New Roman"/>
          <w:lang w:val="zh-CN"/>
          <w:highlight w:val="none"/>
        </w:rPr>
        <w:t>。</w:t>
      </w:r>
    </w:p>
    <w:p>
      <w:pPr>
        <w:tabs>
          <w:tab w:val="left" w:pos="0"/>
        </w:tabs>
        <w:ind w:firstLineChars="200" w:firstLine="480"/>
        <w:rPr>
          <w:rFonts w:ascii="Times New Roman" w:cs="Times New Roman" w:hAnsi="Times New Roman"/>
          <w:lang w:val="zh-CN"/>
          <w:highlight w:val="none"/>
        </w:rPr>
      </w:pPr>
      <w:r>
        <w:rPr>
          <w:rFonts w:ascii="Times New Roman" w:cs="Times New Roman" w:hAnsi="Times New Roman" w:hint="eastAsia"/>
          <w:b/>
          <w:lang w:val="en-US" w:eastAsia="zh-CN"/>
          <w:highlight w:val="none"/>
        </w:rPr>
        <w:t>2</w:t>
      </w:r>
      <w:r>
        <w:rPr>
          <w:rFonts w:ascii="Times New Roman" w:cs="Times New Roman" w:hAnsi="Times New Roman"/>
          <w:b/>
          <w:lang w:val="zh-CN"/>
          <w:highlight w:val="none"/>
        </w:rPr>
        <w:t>　</w:t>
      </w:r>
      <w:r>
        <w:rPr>
          <w:rFonts w:ascii="Times New Roman" w:cs="Times New Roman" w:hAnsi="Times New Roman"/>
          <w:lang w:val="zh-CN"/>
          <w:highlight w:val="none"/>
        </w:rPr>
        <w:t>条文中指明应按其他有关标准执行的写法为</w:t>
      </w:r>
      <w:r>
        <w:rPr>
          <w:rFonts w:ascii="Times New Roman" w:cs="Times New Roman" w:hAnsi="Times New Roman" w:hint="eastAsia"/>
          <w:lang w:val="zh-CN"/>
          <w:highlight w:val="none"/>
        </w:rPr>
        <w:t>：“</w:t>
      </w:r>
      <w:r>
        <w:rPr>
          <w:rFonts w:ascii="Times New Roman" w:cs="Times New Roman" w:hAnsi="Times New Roman"/>
          <w:lang w:val="zh-CN"/>
          <w:highlight w:val="none"/>
        </w:rPr>
        <w:t>应符合……的规定</w:t>
      </w:r>
      <w:r>
        <w:rPr>
          <w:rFonts w:ascii="Times New Roman" w:cs="Times New Roman" w:hAnsi="Times New Roman" w:hint="eastAsia"/>
          <w:lang w:val="zh-CN"/>
          <w:highlight w:val="none"/>
        </w:rPr>
        <w:t>（</w:t>
      </w:r>
      <w:r>
        <w:rPr>
          <w:rFonts w:ascii="Times New Roman" w:cs="Times New Roman" w:hAnsi="Times New Roman" w:hint="eastAsia"/>
          <w:lang w:val="en-US" w:eastAsia="zh-CN"/>
          <w:highlight w:val="none"/>
        </w:rPr>
        <w:t>要求</w:t>
      </w:r>
      <w:r>
        <w:rPr>
          <w:rFonts w:ascii="Times New Roman" w:cs="Times New Roman" w:hAnsi="Times New Roman" w:hint="eastAsia"/>
          <w:lang w:val="zh-CN"/>
          <w:highlight w:val="none"/>
        </w:rPr>
        <w:t>）”</w:t>
      </w:r>
      <w:r>
        <w:rPr>
          <w:rFonts w:ascii="Times New Roman" w:cs="Times New Roman" w:hAnsi="Times New Roman"/>
          <w:lang w:val="zh-CN"/>
          <w:highlight w:val="none"/>
        </w:rPr>
        <w:t>或</w:t>
      </w:r>
      <w:r>
        <w:rPr>
          <w:rFonts w:ascii="Times New Roman" w:cs="Times New Roman" w:hAnsi="Times New Roman" w:hint="eastAsia"/>
          <w:lang w:val="zh-CN"/>
          <w:highlight w:val="none"/>
        </w:rPr>
        <w:t>“</w:t>
      </w:r>
      <w:r>
        <w:rPr>
          <w:rFonts w:ascii="Times New Roman" w:cs="Times New Roman" w:hAnsi="Times New Roman"/>
          <w:lang w:val="zh-CN"/>
          <w:highlight w:val="none"/>
        </w:rPr>
        <w:t>应按……执行</w:t>
      </w:r>
      <w:r>
        <w:rPr>
          <w:rFonts w:ascii="Times New Roman" w:cs="Times New Roman" w:hAnsi="Times New Roman" w:hint="eastAsia"/>
          <w:lang w:val="zh-CN"/>
          <w:highlight w:val="none"/>
        </w:rPr>
        <w:t>”。</w:t>
      </w:r>
    </w:p>
    <w:p>
      <w:pPr>
        <w:rPr>
          <w:rFonts w:ascii="Times New Roman" w:eastAsia="Times New Roman" w:cs="Times New Roman" w:hAnsi="Times New Roman"/>
          <w:lang w:val="zh-CN"/>
          <w:highlight w:val="none"/>
        </w:rPr>
      </w:pPr>
      <w:r>
        <w:rPr>
          <w:rFonts w:ascii="Times New Roman" w:eastAsia="Times New Roman" w:cs="Times New Roman" w:hAnsi="Times New Roman"/>
          <w:lang w:val="zh-CN"/>
          <w:highlight w:val="none"/>
        </w:rPr>
        <w:br w:type="page"/>
      </w:r>
    </w:p>
    <w:p>
      <w:pPr>
        <w:pStyle w:val="1"/>
        <w:numPr>
          <w:ilvl w:val="0"/>
          <w:numId w:val="0"/>
        </w:numPr>
        <w:tabs>
          <w:tab w:val="left" w:pos="420"/>
        </w:tabs>
        <w:spacing w:line="240" w:lineRule="auto"/>
        <w:ind w:left="0" w:firstLine="0"/>
        <w:rPr>
          <w:rFonts w:ascii="Times New Roman" w:hAnsi="Times New Roman" w:hint="eastAsia"/>
          <w:lang w:val="zh-CN"/>
          <w:highlight w:val="none"/>
        </w:rPr>
      </w:pPr>
      <w:bookmarkStart w:id="127" w:name="_Toc25380"/>
      <w:bookmarkStart w:id="128" w:name="_Toc7944"/>
      <w:bookmarkStart w:id="129" w:name="_Toc21457"/>
      <w:bookmarkStart w:id="130" w:name="_Toc21460"/>
      <w:bookmarkStart w:id="131" w:name="_Toc32402"/>
      <w:bookmarkStart w:id="132" w:name="_Toc15774"/>
      <w:bookmarkStart w:id="133" w:name="_Toc22943"/>
      <w:bookmarkStart w:id="134" w:name="_Toc15391"/>
      <w:bookmarkStart w:id="135" w:name="_Toc21372"/>
      <w:bookmarkStart w:id="136" w:name="_Toc5073"/>
      <w:bookmarkStart w:id="137" w:name="_Toc12324"/>
      <w:bookmarkStart w:id="138" w:name="_Toc4352"/>
      <w:bookmarkStart w:id="139" w:name="_Toc8338"/>
      <w:bookmarkStart w:id="140" w:name="_Toc20690"/>
      <w:bookmarkStart w:id="141" w:name="_Toc11460"/>
      <w:bookmarkStart w:id="142" w:name="_Toc23850"/>
      <w:bookmarkStart w:id="143" w:name="_Toc30734"/>
      <w:bookmarkStart w:id="144" w:name="_Toc16419"/>
      <w:bookmarkStart w:id="145" w:name="_Toc16334"/>
      <w:bookmarkStart w:id="146" w:name="_Toc31291"/>
      <w:bookmarkStart w:id="147" w:name="_Toc1941"/>
      <w:bookmarkStart w:id="148" w:name="_Toc23206"/>
      <w:bookmarkStart w:id="149" w:name="_Toc8235"/>
      <w:bookmarkStart w:id="150" w:name="_Toc21351"/>
      <w:bookmarkStart w:id="151" w:name="_Toc25310"/>
      <w:bookmarkStart w:id="152" w:name="_Toc19018"/>
      <w:bookmarkStart w:id="153" w:name="_Toc30385"/>
      <w:bookmarkStart w:id="154" w:name="_Toc32728"/>
      <w:bookmarkStart w:id="155" w:name="_Toc2086281983"/>
      <w:r>
        <w:rPr>
          <w:rFonts w:ascii="Times New Roman" w:hAnsi="Times New Roman" w:hint="eastAsia"/>
          <w:lang w:val="zh-CN"/>
          <w:highlight w:val="none"/>
        </w:rPr>
        <w:t>引用标准名录</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rPr>
          <w:lang w:val="zh-CN"/>
          <w:highlight w:val="none"/>
        </w:rPr>
      </w:pP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《房屋建筑和市政基础设施工程质量检测技术管理规范》GB 50618</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lang w:val="en-US" w:eastAsia="zh-CN"/>
          <w:highlight w:val="none"/>
        </w:rPr>
      </w:pPr>
      <w:r>
        <w:rPr>
          <w:rFonts w:ascii="Times New Roman" w:eastAsia="宋体" w:cs="Times New Roman" w:hAnsi="Times New Roman"/>
          <w:lang w:val="en-US" w:eastAsia="zh-CN"/>
          <w:highlight w:val="none"/>
        </w:rPr>
        <w:t>《信息技术软件生存周期过程》GB/T 8566</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hint="eastAsia"/>
          <w:lang w:val="en-US" w:eastAsia="zh-CN"/>
          <w:highlight w:val="none"/>
        </w:rPr>
      </w:pPr>
      <w:r>
        <w:rPr>
          <w:rFonts w:ascii="Times New Roman" w:eastAsia="宋体" w:cs="Times New Roman" w:hAnsi="Times New Roman" w:hint="eastAsia"/>
          <w:lang w:val="en-US" w:eastAsia="zh-CN"/>
          <w:highlight w:val="none"/>
        </w:rPr>
        <w:t>《信息安全技术 网络安全等级保护基本要求》GB/T 22239</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lang w:val="en-US" w:eastAsia="zh-CN"/>
          <w:highlight w:val="none"/>
        </w:rPr>
      </w:pPr>
      <w:r>
        <w:rPr>
          <w:rFonts w:ascii="Times New Roman" w:eastAsia="宋体" w:cs="Times New Roman" w:hAnsi="Times New Roman" w:hint="eastAsia"/>
          <w:lang w:val="en-US" w:eastAsia="zh-CN"/>
          <w:highlight w:val="none"/>
        </w:rPr>
        <w:t>《</w:t>
      </w:r>
      <w:r>
        <w:rPr>
          <w:rFonts w:ascii="Times New Roman" w:eastAsia="宋体" w:cs="Times New Roman" w:hAnsi="Times New Roman"/>
          <w:lang w:val="en-US" w:eastAsia="zh-CN"/>
          <w:highlight w:val="none"/>
        </w:rPr>
        <w:t>信息安全技术网络安全等级保护定级指南》GB/T</w:t>
      </w:r>
      <w:r>
        <w:rPr>
          <w:rFonts w:ascii="Times New Roman" w:eastAsia="宋体" w:cs="Times New Roman" w:hAnsi="Times New Roman" w:hint="eastAsia"/>
          <w:lang w:val="en-US" w:eastAsia="zh-CN"/>
          <w:highlight w:val="none"/>
        </w:rPr>
        <w:t xml:space="preserve"> </w:t>
      </w:r>
      <w:r>
        <w:rPr>
          <w:rFonts w:ascii="Times New Roman" w:eastAsia="宋体" w:cs="Times New Roman" w:hAnsi="Times New Roman"/>
          <w:lang w:val="en-US" w:eastAsia="zh-CN"/>
          <w:highlight w:val="none"/>
        </w:rPr>
        <w:t>22240</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hint="eastAsia"/>
          <w:lang w:val="en-US" w:eastAsia="zh-CN"/>
          <w:highlight w:val="none"/>
        </w:rPr>
      </w:pPr>
      <w:r>
        <w:rPr>
          <w:rFonts w:ascii="Times New Roman" w:eastAsia="宋体" w:cs="Times New Roman" w:hAnsi="Times New Roman" w:hint="eastAsia"/>
          <w:lang w:val="en-US" w:eastAsia="zh-CN"/>
          <w:highlight w:val="none"/>
        </w:rPr>
        <w:t>《检测和校准实验室能力的通用要求》GB/T 27025</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hint="eastAsia"/>
          <w:lang w:val="en-US" w:eastAsia="zh-CN"/>
          <w:highlight w:val="none"/>
        </w:rPr>
      </w:pPr>
      <w:r>
        <w:rPr>
          <w:rFonts w:ascii="Times New Roman" w:eastAsia="宋体" w:cs="Times New Roman" w:hAnsi="Times New Roman" w:hint="eastAsia"/>
          <w:lang w:val="en-US" w:eastAsia="zh-CN"/>
          <w:highlight w:val="none"/>
        </w:rPr>
        <w:t>《项目、项目群和项目组合管理项目管理指南》GB/T 37507</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hint="eastAsia"/>
          <w:lang w:val="en-US" w:eastAsia="zh-CN"/>
          <w:highlight w:val="none"/>
        </w:rPr>
      </w:pPr>
      <w:r>
        <w:rPr>
          <w:rFonts w:ascii="Times New Roman" w:eastAsia="宋体" w:cs="Times New Roman" w:hAnsi="Times New Roman" w:hint="eastAsia"/>
          <w:lang w:val="en-US" w:eastAsia="zh-CN"/>
          <w:highlight w:val="none"/>
        </w:rPr>
        <w:t>《数字化转型管理 参考架构》GB/T 45341</w:t>
      </w:r>
    </w:p>
    <w:p>
      <w:pPr>
        <w:keepNext w:val="0"/>
        <w:keepLines w:val="0"/>
        <w:pageBreakBefore w:val="0"/>
        <w:widowControl w:val="0"/>
        <w:tabs>
          <w:tab w:val="left" w:pos="0"/>
        </w:tabs>
        <w:kinsoku/>
        <w:wordWrap/>
        <w:overflowPunct/>
        <w:topLinePunct w:val="0"/>
        <w:autoSpaceDE/>
        <w:autoSpaceDN/>
        <w:bidi w:val="0"/>
        <w:adjustRightInd/>
        <w:snapToGrid/>
        <w:spacing w:before="0" w:after="0"/>
        <w:ind w:leftChars="200" w:left="480"/>
        <w:textAlignment w:val="auto"/>
        <w:rPr>
          <w:rFonts w:ascii="Times New Roman" w:eastAsia="宋体" w:cs="Times New Roman" w:hAnsi="Times New Roman" w:hint="eastAsia"/>
          <w:lang w:val="en-US" w:eastAsia="zh-CN"/>
          <w:highlight w:val="none"/>
        </w:rPr>
      </w:pPr>
      <w:r>
        <w:rPr>
          <w:rFonts w:ascii="Times New Roman" w:eastAsia="宋体" w:cs="Times New Roman" w:hAnsi="Times New Roman" w:hint="eastAsia"/>
          <w:lang w:val="en-US" w:eastAsia="zh-CN"/>
          <w:highlight w:val="none"/>
        </w:rPr>
        <w:t>《数字化转型管理 能力体系建设要求》GB/T 45988</w:t>
      </w:r>
    </w:p>
    <w:p>
      <w:pPr>
        <w:rPr>
          <w:rFonts w:ascii="Times New Roman" w:eastAsia="Times New Roman" w:cs="Times New Roman" w:hAnsi="Times New Roman"/>
          <w:lang w:val="zh-CN"/>
          <w:highlight w:val="none"/>
        </w:rPr>
      </w:pPr>
    </w:p>
    <w:sectPr>
      <w:footerReference w:type="default" r:id="rId7"/>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pgNumType w:start="1"/>
      <w:cols w:num="1" w:space="72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1"/>
    <w:family w:val="auto"/>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MS Gothic">
    <w:altName w:val="楷体_GB2312"/>
    <w:panose1 w:val="020B0609070205080204"/>
    <w:charset w:val="80"/>
    <w:family w:val="modern"/>
    <w:pitch w:val="variable"/>
    <w:sig w:usb0="E00002FF" w:usb1="6AC7FDFB" w:usb2="08000012" w:usb3="00000000" w:csb0="4002009F" w:csb1="DFD70000"/>
  </w:font>
  <w:font w:name="宋体">
    <w:panose1 w:val="02010600030101010101"/>
    <w:charset w:val="50"/>
    <w:family w:val="auto"/>
    <w:pitch w:val="variable"/>
    <w:sig w:usb0="00000203" w:usb1="288F0000" w:usb2="00000006" w:usb3="00000000" w:csb0="00040001" w:csb1="00000000"/>
  </w:font>
  <w:font w:name="仿宋">
    <w:panose1 w:val="02010609060101010101"/>
    <w:charset w:val="86"/>
    <w:family w:val="auto"/>
    <w:pitch w:val="variable"/>
    <w:sig w:usb0="800002BF" w:usb1="38CF7CFA" w:usb2="00000016" w:usb3="00000000" w:csb0="00040001" w:csb1="00000000"/>
  </w:font>
  <w:font w:name="Segoe UI">
    <w:altName w:val="DejaVu Sans"/>
    <w:panose1 w:val="020B0502040204020203"/>
    <w:charset w:val="00"/>
    <w:family w:val="auto"/>
    <w:pitch w:val="variable"/>
    <w:sig w:usb0="E4002EFF" w:usb1="C000E47F" w:usb2="00000009" w:usb3="00000000" w:csb0="200001FF" w:csb1="00000000"/>
  </w:font>
  <w:font w:name="Cambria Math">
    <w:altName w:val="DejaVu Sans"/>
    <w:panose1 w:val="02040503050406030204"/>
    <w:charset w:val="00"/>
    <w:family w:val="roman"/>
    <w:pitch w:val="variable"/>
    <w:sig w:usb0="E00006FF" w:usb1="420024FF" w:usb2="02000000" w:usb3="00000000" w:csb0="2000019F" w:csb1="00000000"/>
  </w:font>
  <w:font w:name="Lucida Sans">
    <w:altName w:val="DejaVu Sans"/>
    <w:panose1 w:val="020B0602030504020204"/>
    <w:charset w:val="00"/>
    <w:family w:val="auto"/>
    <w:pitch w:val="variable"/>
    <w:sig w:usb0="00000003" w:usb1="00000000" w:usb2="00000000" w:usb3="00000000" w:csb0="20000001" w:csb1="00000000"/>
  </w:font>
  <w:font w:name="Calibri">
    <w:altName w:val="Times New Roman"/>
    <w:panose1 w:val="020F0502020204030204"/>
    <w:charset w:val="00"/>
    <w:family w:val="swiss"/>
    <w:pitch w:val="variable"/>
    <w:sig w:usb0="E4002EFF" w:usb1="C200247B" w:usb2="00000009" w:usb3="00000000" w:csb0="2000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w:rPr>
        <w:rFonts w:hint="eastAsia"/>
        <w:lang w:eastAsia="zh-CN"/>
      </w:rPr>
      <w:tab/>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w:rPr>
        <w:sz w:val="18"/>
      </w:rPr>
      <mc:AlternateContent>
        <mc:Choice Requires="wps">
          <w:drawing>
            <wp:anchor distT="0" distB="0" distL="114300" distR="114300" simplePos="0" relativeHeight="25" behindDoc="0" locked="0" layoutInCell="1" hidden="0" allowOverlap="1">
              <wp:simplePos x="0" y="0"/>
              <wp:positionH relativeFrom="margin">
                <wp:align>center</wp:align>
              </wp:positionH>
              <wp:positionV relativeFrom="paragraph">
                <wp:posOffset>0</wp:posOffset>
              </wp:positionV>
              <wp:extent cx="76200" cy="199578"/>
              <wp:wrapNone/>
              <wp:docPr id="10" name="文本框 10"/>
              <wp:cNvGraphicFramePr>
                <a:graphicFrameLocks noChangeAspect="0"/>
              </wp:cNvGraphicFramePr>
              <a:graphic>
                <a:graphicData uri="http://schemas.microsoft.com/office/word/2010/wordprocessingShape">
                  <wps:wsp>
                    <wps:cNvSpPr/>
                    <wps:spPr>
                      <a:xfrm rot="0">
                        <a:off x="0" y="0"/>
                        <a:ext cx="76200" cy="199578"/>
                      </a:xfrm>
                      <a:prstGeom prst="rect"/>
                      <a:noFill/>
                      <a:ln w="6350" cmpd="sng" cap="flat">
                        <a:noFill/>
                        <a:prstDash val="solid"/>
                        <a:round/>
                      </a:ln>
                    </wps:spPr>
                    <wps:txbx id="5">
                      <w:txbxContent>
                        <w:p>
                          <w:pPr>
                            <w:pStyle w:val="17"/>
                            <w:tabs>
                              <w:tab w:val="center" w:pos="4153"/>
                              <w:tab w:val="right" w:pos="8306"/>
                            </w:tabs>
                          </w:pPr>
                          <w:r>
                            <w:fldChar w:fldCharType="begin"/>
                          </w:r>
                          <w:r>
                            <w:instrText xml:space="preserve"> PAGE  \* MERGEFORMAT </w:instrText>
                          </w:r>
                          <w:r>
                            <w:fldChar w:fldCharType="separate"/>
                          </w:r>
                          <w:r>
                            <w:t>I</w:t>
                          </w:r>
                          <w:r>
                            <w:fldChar w:fldCharType="end"/>
                          </w:r>
                        </w:p>
                      </w:txbxContent>
                    </wps:txbx>
                    <wps:bodyPr vert="horz" wrap="none" lIns="0" tIns="0" rIns="0" bIns="0" anchor="t" anchorCtr="0" upright="0">
                      <a:spAutoFit/>
                    </wps:bodyPr>
                  </wps:wsp>
                </a:graphicData>
              </a:graphic>
            </wp:anchor>
          </w:drawing>
        </mc:Choice>
        <mc:Fallback>
          <w:pict>
            <v:rect type="#_x0000_t1" id="文本框 10" o:spid="_x0000_s6" filled="f" stroked="f" strokeweight="0.5pt" style="position:absolute;margin-left:0.0pt;margin-top:0.0pt;width:6.0pt;height:15.714844pt;z-index:25;mso-position-horizontal:center;mso-position-horizontal-relative:margin;mso-position-vertical:absolute;mso-wrap-style:none;">
              <v:stroke/>
              <v:textbox id="849" inset="0mm,0mm,0mm,0mm" o:insetmode="custom" style="layout-flow:horizontal;v-text-anchor:top;mso-fit-shape-to-text:t;">
                <w:txbxContent>
                  <w:p>
                    <w:pPr>
                      <w:pStyle w:val="17"/>
                      <w:tabs>
                        <w:tab w:val="center" w:pos="4153"/>
                        <w:tab w:val="right" w:pos="8306"/>
                      </w:tabs>
                    </w:pPr>
                    <w:r>
                      <w:fldChar w:fldCharType="begin"/>
                    </w:r>
                    <w:r>
                      <w:instrText xml:space="preserve"> PAGE  \* MERGEFORMAT </w:instrText>
                    </w:r>
                    <w:r>
                      <w:fldChar w:fldCharType="separate"/>
                    </w:r>
                    <w:r>
                      <w:t>I</w:t>
                    </w:r>
                    <w:r>
                      <w:fldChar w:fldCharType="end"/>
                    </w:r>
                  </w:p>
                </w:txbxContent>
              </v:textbox>
            </v:rect>
          </w:pict>
        </mc:Fallback>
      </mc:AlternateContent>
    </w:r>
  </w:p>
</w:ftr>
</file>

<file path=word/footer4.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w:rPr>
        <w:sz w:val="18"/>
      </w:rPr>
      <mc:AlternateContent>
        <mc:Choice Requires="wps">
          <w:drawing>
            <wp:anchor distT="0" distB="0" distL="114300" distR="114300" simplePos="0" relativeHeight="27" behindDoc="0" locked="0" layoutInCell="1" hidden="0" allowOverlap="1">
              <wp:simplePos x="0" y="0"/>
              <wp:positionH relativeFrom="margin">
                <wp:align>center</wp:align>
              </wp:positionH>
              <wp:positionV relativeFrom="paragraph">
                <wp:posOffset>0</wp:posOffset>
              </wp:positionV>
              <wp:extent cx="76200" cy="199578"/>
              <wp:wrapNone/>
              <wp:docPr id="1" name="文本框 1"/>
              <wp:cNvGraphicFramePr>
                <a:graphicFrameLocks noChangeAspect="0"/>
              </wp:cNvGraphicFramePr>
              <a:graphic>
                <a:graphicData uri="http://schemas.microsoft.com/office/word/2010/wordprocessingShape">
                  <wps:wsp>
                    <wps:cNvSpPr/>
                    <wps:spPr>
                      <a:xfrm rot="0">
                        <a:off x="0" y="0"/>
                        <a:ext cx="76200" cy="199578"/>
                      </a:xfrm>
                      <a:prstGeom prst="rect"/>
                      <a:noFill/>
                      <a:ln w="6350" cmpd="sng" cap="flat">
                        <a:noFill/>
                        <a:prstDash val="solid"/>
                        <a:round/>
                      </a:ln>
                    </wps:spPr>
                    <wps:txbx id="7">
                      <w:txbxContent>
                        <w:p>
                          <w:pPr>
                            <w:pStyle w:val="17"/>
                            <w:tabs>
                              <w:tab w:val="center" w:pos="4153"/>
                              <w:tab w:val="right" w:pos="8306"/>
                            </w:tabs>
                          </w:pPr>
                          <w:r>
                            <w:fldChar w:fldCharType="begin"/>
                          </w:r>
                          <w:r>
                            <w:instrText xml:space="preserve"> PAGE  \* MERGEFORMAT </w:instrText>
                          </w:r>
                          <w:r>
                            <w:fldChar w:fldCharType="separate"/>
                          </w:r>
                          <w:r>
                            <w:t>I</w:t>
                          </w:r>
                          <w:r>
                            <w:fldChar w:fldCharType="end"/>
                          </w:r>
                        </w:p>
                      </w:txbxContent>
                    </wps:txbx>
                    <wps:bodyPr vert="horz" wrap="none" lIns="0" tIns="0" rIns="0" bIns="0" anchor="t" anchorCtr="0" upright="0">
                      <a:spAutoFit/>
                    </wps:bodyPr>
                  </wps:wsp>
                </a:graphicData>
              </a:graphic>
            </wp:anchor>
          </w:drawing>
        </mc:Choice>
        <mc:Fallback>
          <w:pict>
            <v:rect type="#_x0000_t1" id="文本框 1" o:spid="_x0000_s8" filled="f" stroked="f" strokeweight="0.5pt" style="position:absolute;margin-left:0.0pt;margin-top:0.0pt;width:6.0pt;height:15.714844pt;z-index:27;mso-position-horizontal:center;mso-position-horizontal-relative:margin;mso-position-vertical:absolute;mso-wrap-style:none;">
              <v:stroke/>
              <v:textbox id="850" inset="0mm,0mm,0mm,0mm" o:insetmode="custom" style="layout-flow:horizontal;v-text-anchor:top;mso-fit-shape-to-text:t;">
                <w:txbxContent>
                  <w:p>
                    <w:pPr>
                      <w:pStyle w:val="17"/>
                      <w:tabs>
                        <w:tab w:val="center" w:pos="4153"/>
                        <w:tab w:val="right" w:pos="8306"/>
                      </w:tabs>
                    </w:pPr>
                    <w:r>
                      <w:fldChar w:fldCharType="begin"/>
                    </w:r>
                    <w:r>
                      <w:instrText xml:space="preserve"> PAGE  \* MERGEFORMAT </w:instrText>
                    </w:r>
                    <w:r>
                      <w:fldChar w:fldCharType="separate"/>
                    </w:r>
                    <w:r>
                      <w:t>I</w:t>
                    </w:r>
                    <w:r>
                      <w:fldChar w:fldCharType="end"/>
                    </w:r>
                  </w:p>
                </w:txbxContent>
              </v:textbox>
            </v:rect>
          </w:pict>
        </mc:Fallback>
      </mc:AlternateContent>
    </w:r>
  </w:p>
</w:ftr>
</file>

<file path=word/footer5.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mc:AlternateContent>
        <mc:Choice Requires="wps">
          <w:drawing>
            <wp:anchor distT="0" distB="0" distL="114300" distR="114300" simplePos="0" relativeHeight="23" behindDoc="0" locked="0" layoutInCell="1" hidden="0" allowOverlap="1">
              <wp:simplePos x="0" y="0"/>
              <wp:positionH relativeFrom="margin">
                <wp:align>center</wp:align>
              </wp:positionH>
              <wp:positionV relativeFrom="paragraph">
                <wp:posOffset>0</wp:posOffset>
              </wp:positionV>
              <wp:extent cx="217170" cy="199578"/>
              <wp:wrapNone/>
              <wp:docPr id="2" name="文本框 2"/>
              <wp:cNvGraphicFramePr>
                <a:graphicFrameLocks noChangeAspect="0"/>
              </wp:cNvGraphicFramePr>
              <a:graphic>
                <a:graphicData uri="http://schemas.microsoft.com/office/word/2010/wordprocessingShape">
                  <wps:wsp>
                    <wps:cNvSpPr/>
                    <wps:spPr>
                      <a:xfrm rot="0">
                        <a:off x="0" y="0"/>
                        <a:ext cx="217170" cy="199578"/>
                      </a:xfrm>
                      <a:prstGeom prst="rect"/>
                      <a:noFill/>
                      <a:ln w="6350" cmpd="sng" cap="flat">
                        <a:noFill/>
                        <a:prstDash val="solid"/>
                        <a:round/>
                      </a:ln>
                    </wps:spPr>
                    <wps:txbx id="9">
                      <w:txbxContent>
                        <w:p>
                          <w:pPr>
                            <w:pStyle w:val="17"/>
                            <w:tabs>
                              <w:tab w:val="center" w:pos="4153"/>
                              <w:tab w:val="right" w:pos="8306"/>
                            </w:tabs>
                          </w:pPr>
                          <w:r>
                            <w:rPr>
                              <w:rFonts w:hint="eastAsia"/>
                            </w:rPr>
                            <w:t xml:space="preserve"> </w:t>
                          </w:r>
                          <w:r>
                            <w:fldChar w:fldCharType="begin"/>
                          </w:r>
                          <w:r>
                            <w:instrText xml:space="preserve"> PAGE  \* MERGEFORMAT </w:instrText>
                          </w:r>
                          <w:r>
                            <w:fldChar w:fldCharType="separate"/>
                          </w:r>
                          <w:r>
                            <w:t>7</w:t>
                          </w:r>
                          <w:r>
                            <w:fldChar w:fldCharType="end"/>
                          </w:r>
                          <w:r>
                            <w:rPr>
                              <w:rFonts w:hint="eastAsia"/>
                            </w:rPr>
                            <w:t xml:space="preserve"> </w:t>
                          </w:r>
                        </w:p>
                      </w:txbxContent>
                    </wps:txbx>
                    <wps:bodyPr vert="horz" wrap="square" lIns="0" tIns="0" rIns="0" bIns="0" anchor="t" anchorCtr="0" upright="0">
                      <a:spAutoFit/>
                    </wps:bodyPr>
                  </wps:wsp>
                </a:graphicData>
              </a:graphic>
            </wp:anchor>
          </w:drawing>
        </mc:Choice>
        <mc:Fallback>
          <w:pict>
            <v:rect type="#_x0000_t1" id="文本框 2" o:spid="_x0000_s10" filled="f" stroked="f" strokeweight="0.5pt" style="position:absolute;margin-left:0.0pt;margin-top:0.0pt;width:17.1pt;height:15.714844pt;z-index:23;mso-position-horizontal:center;mso-position-horizontal-relative:margin;mso-position-vertical:absolute;mso-wrap-style:square;">
              <v:stroke/>
              <v:textbox id="851" inset="0mm,0mm,0mm,0mm" o:insetmode="custom" style="layout-flow:horizontal;v-text-anchor:top;mso-fit-shape-to-text:t;">
                <w:txbxContent>
                  <w:p>
                    <w:pPr>
                      <w:pStyle w:val="17"/>
                      <w:tabs>
                        <w:tab w:val="center" w:pos="4153"/>
                        <w:tab w:val="right" w:pos="8306"/>
                      </w:tabs>
                    </w:pPr>
                    <w:r>
                      <w:rPr>
                        <w:rFonts w:hint="eastAsia"/>
                      </w:rPr>
                      <w:t xml:space="preserve"> </w:t>
                    </w:r>
                    <w:r>
                      <w:fldChar w:fldCharType="begin"/>
                    </w:r>
                    <w:r>
                      <w:instrText xml:space="preserve"> PAGE  \* MERGEFORMAT </w:instrText>
                    </w:r>
                    <w:r>
                      <w:fldChar w:fldCharType="separate"/>
                    </w:r>
                    <w:r>
                      <w:t>7</w:t>
                    </w:r>
                    <w:r>
                      <w:fldChar w:fldCharType="end"/>
                    </w:r>
                    <w:r>
                      <w:rPr>
                        <w:rFonts w:hint="eastAsia"/>
                      </w:rPr>
                      <w:t xml:space="preserve"> </w:t>
                    </w:r>
                  </w:p>
                </w:txbxContent>
              </v:textbox>
            </v:rect>
          </w:pict>
        </mc:Fallback>
      </mc:AlternateContent>
    </w:r>
    <w:r>
      <w:rPr>
        <w:rFonts w:hint="eastAsia"/>
        <w:lang w:eastAsia="zh-CN"/>
      </w:rPr>
      <w:tab/>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97B115CD"/>
    <w:multiLevelType w:val="multilevel"/>
    <w:tmpl w:val="97B115CD"/>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30"/>
        <w:szCs w:val="30"/>
      </w:rPr>
    </w:lvl>
    <w:lvl w:ilvl="1">
      <w:start w:val="1"/>
      <w:numFmt w:val="decimal"/>
      <w:suff w:val="space"/>
      <w:lvlText w:val="%1.%2 "/>
      <w:lvlJc w:val="left"/>
      <w:pPr>
        <w:tabs>
          <w:tab w:val="num" w:pos="420"/>
        </w:tabs>
        <w:ind w:left="567" w:hanging="567"/>
      </w:pPr>
      <w:rPr>
        <w:rFonts w:ascii="Times New Roman" w:hAnsi="Times New Roman" w:eastAsia="宋体" w:cs="Times New Roman" w:hint="default"/>
        <w:b/>
        <w:bCs/>
        <w:color w:val="auto"/>
      </w:rPr>
    </w:lvl>
    <w:lvl w:ilvl="2">
      <w:start w:val="1"/>
      <w:numFmt w:val="decimal"/>
      <w:suff w:val="space"/>
      <w:lvlText w:val="%1.%2.%3 "/>
      <w:lvlJc w:val="left"/>
      <w:pPr>
        <w:tabs>
          <w:tab w:val="num" w:pos="0"/>
        </w:tabs>
        <w:ind w:left="1418" w:hanging="709"/>
      </w:pPr>
      <w:rPr>
        <w:rFonts w:ascii="Times New Roman" w:hAnsi="Times New Roman" w:eastAsia="宋体" w:cs="Times New Roman" w:hint="default"/>
        <w:b/>
        <w:bCs/>
        <w:spacing w:val="20"/>
        <w:sz w:val="24"/>
        <w:szCs w:val="24"/>
      </w:rPr>
    </w:lvl>
    <w:lvl w:ilvl="3">
      <w:start w:val="1"/>
      <w:numFmt w:val="none"/>
      <w:suff w:val="space"/>
      <w:lvlText w:val="%1"/>
      <w:lvlJc w:val="left"/>
      <w:pPr>
        <w:tabs>
          <w:tab w:val="num" w:pos="0"/>
        </w:tabs>
        <w:ind w:left="850" w:hanging="850"/>
      </w:pPr>
      <w:rPr>
        <w:rFonts w:hint="default"/>
        <w:color w:val="auto"/>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nsid w:val="7801ED28"/>
    <w:multiLevelType w:val="singleLevel"/>
    <w:tmpl w:val="7801ED28"/>
    <w:lvl w:ilvl="0">
      <w:start w:val="1"/>
      <w:numFmt w:val="decimal"/>
      <w:lvlRestart w:val="0"/>
      <w:suff w:val="nothing"/>
      <w:lvlText w:val="1.0.%1  "/>
      <w:lvlJc w:val="left"/>
      <w:pPr>
        <w:tabs>
          <w:tab w:val="num" w:pos="0"/>
        </w:tabs>
        <w:ind w:left="0" w:hanging="0"/>
      </w:pPr>
      <w:rPr>
        <w:rFonts w:ascii="Times New Roman" w:hAnsi="Times New Roman" w:eastAsia="宋体" w:cs="Times New Roman" w:hint="default"/>
        <w:b/>
        <w:bCs/>
        <w:spacing w:val="20"/>
        <w:sz w:val="24"/>
        <w:szCs w:val="24"/>
      </w:rPr>
    </w:lvl>
  </w:abstractNum>
  <w:abstractNum w:abstractNumId="2">
    <w:nsid w:val="227E3D8C"/>
    <w:multiLevelType w:val="singleLevel"/>
    <w:tmpl w:val="227E3D8C"/>
    <w:lvl w:ilvl="0">
      <w:start w:val="1"/>
      <w:numFmt w:val="decimal"/>
      <w:lvlRestart w:val="0"/>
      <w:suff w:val="nothing"/>
      <w:lvlText w:val="2.0.%1  "/>
      <w:lvlJc w:val="left"/>
      <w:pPr>
        <w:tabs>
          <w:tab w:val="num" w:pos="0"/>
        </w:tabs>
        <w:ind w:left="0" w:hanging="0"/>
      </w:pPr>
      <w:rPr>
        <w:rFonts w:ascii="Times New Roman" w:hAnsi="Times New Roman" w:eastAsia="宋体" w:cs="Times New Roman" w:hint="default"/>
        <w:b/>
        <w:bCs/>
        <w:spacing w:val="20"/>
        <w:sz w:val="24"/>
        <w:szCs w:val="24"/>
      </w:rPr>
    </w:lvl>
  </w:abstractNum>
  <w:abstractNum w:abstractNumId="3">
    <w:nsid w:val="3A115B2E"/>
    <w:multiLevelType w:val="singleLevel"/>
    <w:tmpl w:val="3A115B2E"/>
    <w:lvl w:ilvl="0">
      <w:start w:val="1"/>
      <w:numFmt w:val="decimal"/>
      <w:lvlRestart w:val="0"/>
      <w:suff w:val="nothing"/>
      <w:lvlText w:val="3.0.%1  "/>
      <w:lvlJc w:val="left"/>
      <w:pPr>
        <w:tabs>
          <w:tab w:val="num" w:pos="0"/>
        </w:tabs>
        <w:ind w:left="0" w:hanging="0"/>
      </w:pPr>
      <w:rPr>
        <w:rFonts w:ascii="Times New Roman" w:hAnsi="Times New Roman" w:eastAsia="宋体" w:cs="Times New Roman" w:hint="default"/>
        <w:b/>
        <w:bCs/>
        <w:spacing w:val="20"/>
        <w:sz w:val="24"/>
        <w:szCs w:val="24"/>
      </w:rPr>
    </w:lvl>
  </w:abstractNum>
  <w:abstractNum w:abstractNumId="4">
    <w:nsid w:val="CDF8C816"/>
    <w:multiLevelType w:val="singleLevel"/>
    <w:tmpl w:val="CDF8C816"/>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5">
    <w:nsid w:val="5C815E5B"/>
    <w:multiLevelType w:val="singleLevel"/>
    <w:tmpl w:val="5C815E5B"/>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6">
    <w:nsid w:val="78C19948"/>
    <w:multiLevelType w:val="singleLevel"/>
    <w:tmpl w:val="78C19948"/>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7">
    <w:nsid w:val="1871C0F9"/>
    <w:multiLevelType w:val="singleLevel"/>
    <w:tmpl w:val="1871C0F9"/>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8">
    <w:nsid w:val="DE1CA9F0"/>
    <w:multiLevelType w:val="singleLevel"/>
    <w:tmpl w:val="DE1CA9F0"/>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9">
    <w:nsid w:val="2286F3DB"/>
    <w:multiLevelType w:val="singleLevel"/>
    <w:tmpl w:val="2286F3DB"/>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0">
    <w:nsid w:val="178F4D5F"/>
    <w:multiLevelType w:val="singleLevel"/>
    <w:tmpl w:val="178F4D5F"/>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1">
    <w:nsid w:val="B8F45888"/>
    <w:multiLevelType w:val="singleLevel"/>
    <w:tmpl w:val="B8F45888"/>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2">
    <w:nsid w:val="6AC79CFB"/>
    <w:multiLevelType w:val="singleLevel"/>
    <w:tmpl w:val="6AC79CFB"/>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3">
    <w:nsid w:val="9CD5AC15"/>
    <w:multiLevelType w:val="singleLevel"/>
    <w:tmpl w:val="9CD5AC15"/>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4">
    <w:nsid w:val="4FAC8B4F"/>
    <w:multiLevelType w:val="singleLevel"/>
    <w:tmpl w:val="4FAC8B4F"/>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5">
    <w:nsid w:val="66FE3EDE"/>
    <w:multiLevelType w:val="singleLevel"/>
    <w:tmpl w:val="66FE3EDE"/>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6">
    <w:nsid w:val="26B7E290"/>
    <w:multiLevelType w:val="singleLevel"/>
    <w:tmpl w:val="26B7E290"/>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7">
    <w:nsid w:val="9AC2ED5E"/>
    <w:multiLevelType w:val="singleLevel"/>
    <w:tmpl w:val="9AC2ED5E"/>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8">
    <w:nsid w:val="7E594CC3"/>
    <w:multiLevelType w:val="singleLevel"/>
    <w:tmpl w:val="7E594CC3"/>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19">
    <w:nsid w:val="70DB9EC8"/>
    <w:multiLevelType w:val="singleLevel"/>
    <w:tmpl w:val="70DB9EC8"/>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0">
    <w:nsid w:val="1799F797"/>
    <w:multiLevelType w:val="singleLevel"/>
    <w:tmpl w:val="1799F797"/>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1">
    <w:nsid w:val="BC7C30D5"/>
    <w:multiLevelType w:val="singleLevel"/>
    <w:tmpl w:val="BC7C30D5"/>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2">
    <w:nsid w:val="756E624F"/>
    <w:multiLevelType w:val="singleLevel"/>
    <w:tmpl w:val="756E624F"/>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3">
    <w:nsid w:val="5BF9C190"/>
    <w:multiLevelType w:val="singleLevel"/>
    <w:tmpl w:val="5BF9C190"/>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4">
    <w:nsid w:val="48DDFA6D"/>
    <w:multiLevelType w:val="singleLevel"/>
    <w:tmpl w:val="48DDFA6D"/>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5">
    <w:nsid w:val="B3F37E38"/>
    <w:multiLevelType w:val="singleLevel"/>
    <w:tmpl w:val="B3F37E38"/>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6">
    <w:nsid w:val="B3550E06"/>
    <w:multiLevelType w:val="singleLevel"/>
    <w:tmpl w:val="B3550E06"/>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7">
    <w:nsid w:val="E35BAAF0"/>
    <w:multiLevelType w:val="singleLevel"/>
    <w:tmpl w:val="E35BAAF0"/>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8">
    <w:nsid w:val="A4CD4416"/>
    <w:multiLevelType w:val="singleLevel"/>
    <w:tmpl w:val="A4CD4416"/>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29">
    <w:nsid w:val="84687C11"/>
    <w:multiLevelType w:val="singleLevel"/>
    <w:tmpl w:val="84687C11"/>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30">
    <w:nsid w:val="5C76088C"/>
    <w:multiLevelType w:val="singleLevel"/>
    <w:tmpl w:val="5C76088C"/>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31">
    <w:nsid w:val="6163FFF3"/>
    <w:multiLevelType w:val="multilevel"/>
    <w:tmpl w:val="6163FFF3"/>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30"/>
        <w:szCs w:val="30"/>
      </w:rPr>
    </w:lvl>
    <w:lvl w:ilvl="1">
      <w:start w:val="1"/>
      <w:numFmt w:val="decimal"/>
      <w:suff w:val="space"/>
      <w:lvlText w:val="%1.%2 "/>
      <w:lvlJc w:val="left"/>
      <w:pPr>
        <w:tabs>
          <w:tab w:val="num" w:pos="420"/>
        </w:tabs>
        <w:ind w:left="567" w:hanging="567"/>
      </w:pPr>
      <w:rPr>
        <w:rFonts w:ascii="Times New Roman" w:hAnsi="Times New Roman" w:eastAsia="宋体" w:cs="Times New Roman" w:hint="default"/>
        <w:b/>
        <w:bCs/>
        <w:color w:val="auto"/>
      </w:rPr>
    </w:lvl>
    <w:lvl w:ilvl="2">
      <w:start w:val="1"/>
      <w:numFmt w:val="decimal"/>
      <w:suff w:val="space"/>
      <w:lvlText w:val="7.0.%3 "/>
      <w:lvlJc w:val="left"/>
      <w:pPr>
        <w:tabs>
          <w:tab w:val="num" w:pos="0"/>
        </w:tabs>
        <w:ind w:left="1418" w:hanging="709"/>
      </w:pPr>
      <w:rPr>
        <w:rFonts w:ascii="Times New Roman" w:hAnsi="Times New Roman" w:eastAsia="宋体" w:cs="Times New Roman" w:hint="default"/>
        <w:b/>
        <w:bCs/>
        <w:spacing w:val="20"/>
        <w:sz w:val="24"/>
        <w:szCs w:val="24"/>
      </w:rPr>
    </w:lvl>
    <w:lvl w:ilvl="3">
      <w:start w:val="1"/>
      <w:numFmt w:val="none"/>
      <w:suff w:val="space"/>
      <w:lvlText w:val="%1"/>
      <w:lvlJc w:val="left"/>
      <w:pPr>
        <w:tabs>
          <w:tab w:val="num" w:pos="0"/>
        </w:tabs>
        <w:ind w:left="850" w:hanging="850"/>
      </w:pPr>
      <w:rPr>
        <w:rFonts w:hint="default"/>
        <w:color w:val="auto"/>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2">
    <w:nsid w:val="DE3BDDDA"/>
    <w:multiLevelType w:val="singleLevel"/>
    <w:tmpl w:val="DE3BDDDA"/>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abstractNum>
  <w:abstractNum w:abstractNumId="33">
    <w:nsid w:val="CAE0FA67"/>
    <w:multiLevelType w:val="multilevel"/>
    <w:tmpl w:val="CAE0FA67"/>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34">
    <w:nsid w:val="709EE0CC"/>
    <w:multiLevelType w:val="multilevel"/>
    <w:tmpl w:val="709EE0CC"/>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35">
    <w:nsid w:val="77BBBA72"/>
    <w:multiLevelType w:val="multilevel"/>
    <w:tmpl w:val="77BBBA72"/>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36">
    <w:nsid w:val="A18487FF"/>
    <w:multiLevelType w:val="multilevel"/>
    <w:tmpl w:val="A18487FF"/>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37">
    <w:nsid w:val="3F33939D"/>
    <w:multiLevelType w:val="multilevel"/>
    <w:tmpl w:val="3F33939D"/>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30"/>
        <w:szCs w:val="30"/>
      </w:rPr>
    </w:lvl>
    <w:lvl w:ilvl="1">
      <w:start w:val="1"/>
      <w:numFmt w:val="decimal"/>
      <w:suff w:val="space"/>
      <w:lvlText w:val="%1.%2 "/>
      <w:lvlJc w:val="left"/>
      <w:pPr>
        <w:tabs>
          <w:tab w:val="num" w:pos="420"/>
        </w:tabs>
        <w:ind w:left="567" w:hanging="567"/>
      </w:pPr>
      <w:rPr>
        <w:rFonts w:ascii="Times New Roman" w:hAnsi="Times New Roman" w:eastAsia="宋体" w:cs="Times New Roman" w:hint="default"/>
        <w:b/>
        <w:bCs/>
        <w:color w:val="auto"/>
      </w:rPr>
    </w:lvl>
    <w:lvl w:ilvl="2">
      <w:start w:val="1"/>
      <w:numFmt w:val="decimal"/>
      <w:suff w:val="space"/>
      <w:lvlText w:val="8.0.%3 "/>
      <w:lvlJc w:val="left"/>
      <w:pPr>
        <w:tabs>
          <w:tab w:val="num" w:pos="0"/>
        </w:tabs>
        <w:ind w:left="0" w:hanging="0"/>
      </w:pPr>
      <w:rPr>
        <w:rFonts w:ascii="Times New Roman" w:hAnsi="Times New Roman" w:eastAsia="宋体" w:cs="Times New Roman" w:hint="default"/>
        <w:b/>
        <w:bCs/>
        <w:spacing w:val="20"/>
        <w:sz w:val="24"/>
        <w:szCs w:val="24"/>
      </w:rPr>
    </w:lvl>
    <w:lvl w:ilvl="3">
      <w:start w:val="1"/>
      <w:numFmt w:val="none"/>
      <w:suff w:val="space"/>
      <w:lvlText w:val="%1"/>
      <w:lvlJc w:val="left"/>
      <w:pPr>
        <w:tabs>
          <w:tab w:val="num" w:pos="0"/>
        </w:tabs>
        <w:ind w:left="850" w:hanging="850"/>
      </w:pPr>
      <w:rPr>
        <w:rFonts w:hint="default"/>
        <w:color w:val="auto"/>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8">
    <w:nsid w:val="CA4561B8"/>
    <w:multiLevelType w:val="multilevel"/>
    <w:tmpl w:val="CA4561B8"/>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39">
    <w:nsid w:val="F106CA4B"/>
    <w:multiLevelType w:val="multilevel"/>
    <w:tmpl w:val="F106CA4B"/>
    <w:lvl w:ilvl="0">
      <w:start w:val="1"/>
      <w:numFmt w:val="decimal"/>
      <w:lvlRestart w:val="0"/>
      <w:suff w:val="space"/>
      <w:lvlText w:val="%1 "/>
      <w:lvlJc w:val="left"/>
      <w:pPr>
        <w:tabs>
          <w:tab w:val="num" w:pos="0"/>
        </w:tabs>
        <w:ind w:left="425" w:hanging="425"/>
      </w:pPr>
      <w:rPr>
        <w:rFonts w:ascii="Times New Roman" w:hAnsi="Times New Roman" w:eastAsia="宋体" w:cs="Times New Roman" w:hint="default"/>
        <w:b/>
        <w:bCs/>
        <w:sz w:val="24"/>
        <w:szCs w:val="24"/>
      </w:rPr>
    </w:lvl>
    <w:lvl w:ilvl="1">
      <w:start w:val="1"/>
      <w:numFmt w:val="decimal"/>
      <w:lvlText w:val="%2."/>
      <w:lvlJc w:val="left"/>
      <w:pPr>
        <w:tabs>
          <w:tab w:val="num" w:pos="1440"/>
        </w:tabs>
        <w:ind w:left="1440" w:firstLine="65176"/>
      </w:pPr>
    </w:lvl>
    <w:lvl w:ilvl="2">
      <w:start w:val="1"/>
      <w:numFmt w:val="decimal"/>
      <w:lvlText w:val="%3."/>
      <w:lvlJc w:val="left"/>
      <w:pPr>
        <w:tabs>
          <w:tab w:val="num" w:pos="2160"/>
        </w:tabs>
        <w:ind w:left="2160" w:firstLine="65176"/>
      </w:pPr>
    </w:lvl>
    <w:lvl w:ilvl="3">
      <w:start w:val="1"/>
      <w:numFmt w:val="decimal"/>
      <w:lvlText w:val="%4."/>
      <w:lvlJc w:val="left"/>
      <w:pPr>
        <w:tabs>
          <w:tab w:val="num" w:pos="2880"/>
        </w:tabs>
        <w:ind w:left="2880" w:firstLine="65176"/>
      </w:pPr>
    </w:lvl>
    <w:lvl w:ilvl="4">
      <w:start w:val="1"/>
      <w:numFmt w:val="decimal"/>
      <w:lvlText w:val="%5."/>
      <w:lvlJc w:val="left"/>
      <w:pPr>
        <w:tabs>
          <w:tab w:val="num" w:pos="3600"/>
        </w:tabs>
        <w:ind w:left="3600" w:firstLine="65176"/>
      </w:pPr>
    </w:lvl>
    <w:lvl w:ilvl="5">
      <w:start w:val="1"/>
      <w:numFmt w:val="decimal"/>
      <w:lvlText w:val="%6."/>
      <w:lvlJc w:val="left"/>
      <w:pPr>
        <w:tabs>
          <w:tab w:val="num" w:pos="4320"/>
        </w:tabs>
        <w:ind w:left="4320" w:firstLine="65176"/>
      </w:pPr>
    </w:lvl>
    <w:lvl w:ilvl="6">
      <w:start w:val="1"/>
      <w:numFmt w:val="decimal"/>
      <w:lvlText w:val="%7."/>
      <w:lvlJc w:val="left"/>
      <w:pPr>
        <w:tabs>
          <w:tab w:val="num" w:pos="5040"/>
        </w:tabs>
        <w:ind w:left="5040" w:firstLine="65176"/>
      </w:pPr>
    </w:lvl>
    <w:lvl w:ilvl="7">
      <w:start w:val="1"/>
      <w:numFmt w:val="decimal"/>
      <w:lvlText w:val="%8."/>
      <w:lvlJc w:val="left"/>
      <w:pPr>
        <w:tabs>
          <w:tab w:val="num" w:pos="5760"/>
        </w:tabs>
        <w:ind w:left="5760" w:firstLine="65176"/>
      </w:pPr>
    </w:lvl>
    <w:lvl w:ilvl="8">
      <w:start w:val="1"/>
      <w:numFmt w:val="decimal"/>
      <w:lvlText w:val="%9."/>
      <w:lvlJc w:val="left"/>
      <w:pPr>
        <w:tabs>
          <w:tab w:val="num" w:pos="6480"/>
        </w:tabs>
        <w:ind w:left="6480" w:firstLine="65176"/>
      </w:pPr>
    </w:lvl>
  </w:abstractNum>
  <w:abstractNum w:abstractNumId="40">
    <w:nsid w:val="EC892543"/>
    <w:multiLevelType w:val="multilevel"/>
    <w:tmpl w:val="4259FFB0"/>
    <w:lvl w:ilvl="0">
      <w:start w:val="1"/>
      <w:numFmt w:val="decimal"/>
      <w:lvlRestart w:val="0"/>
      <w:pStyle w:val="1"/>
      <w:suff w:val="space"/>
      <w:lvlText w:val="%1 "/>
      <w:lvlJc w:val="left"/>
      <w:pPr>
        <w:tabs>
          <w:tab w:val="num" w:pos="0"/>
        </w:tabs>
        <w:ind w:left="425" w:hanging="425"/>
      </w:pPr>
      <w:rPr>
        <w:rFonts w:ascii="Times New Roman" w:hAnsi="Times New Roman" w:eastAsia="宋体" w:cs="Times New Roman" w:hint="default"/>
        <w:b/>
        <w:bCs/>
        <w:sz w:val="30"/>
        <w:szCs w:val="30"/>
      </w:rPr>
    </w:lvl>
    <w:lvl w:ilvl="1">
      <w:start w:val="1"/>
      <w:numFmt w:val="decimal"/>
      <w:suff w:val="space"/>
      <w:lvlText w:val="%1.%2 "/>
      <w:lvlJc w:val="left"/>
      <w:pPr>
        <w:tabs>
          <w:tab w:val="num" w:pos="420"/>
        </w:tabs>
        <w:ind w:left="567" w:hanging="567"/>
      </w:pPr>
      <w:rPr>
        <w:rFonts w:ascii="Times New Roman" w:hAnsi="Times New Roman" w:eastAsia="宋体" w:cs="Times New Roman" w:hint="default"/>
        <w:b/>
        <w:bCs/>
        <w:color w:val="auto"/>
      </w:rPr>
    </w:lvl>
    <w:lvl w:ilvl="2">
      <w:start w:val="1"/>
      <w:numFmt w:val="decimal"/>
      <w:suff w:val="space"/>
      <w:lvlText w:val="%1.%2.%3 "/>
      <w:lvlJc w:val="left"/>
      <w:pPr>
        <w:tabs>
          <w:tab w:val="num" w:pos="0"/>
        </w:tabs>
        <w:ind w:left="1418" w:hanging="709"/>
      </w:pPr>
      <w:rPr>
        <w:rFonts w:ascii="Times New Roman" w:hAnsi="Times New Roman" w:eastAsia="宋体" w:cs="Times New Roman" w:hint="default"/>
        <w:b/>
        <w:bCs/>
        <w:sz w:val="24"/>
        <w:szCs w:val="24"/>
      </w:rPr>
    </w:lvl>
    <w:lvl w:ilvl="3">
      <w:start w:val="1"/>
      <w:numFmt w:val="none"/>
      <w:suff w:val="space"/>
      <w:lvlText w:val="%1"/>
      <w:lvlJc w:val="left"/>
      <w:pPr>
        <w:tabs>
          <w:tab w:val="num" w:pos="0"/>
        </w:tabs>
        <w:ind w:left="850" w:hanging="850"/>
      </w:pPr>
      <w:rPr>
        <w:rFonts w:hint="default"/>
        <w:color w:val="auto"/>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41">
    <w:nsid w:val="6CEA2025"/>
    <w:multiLevelType w:val="multilevel"/>
    <w:tmpl w:val="6CEA2025"/>
    <w:lvl w:ilvl="0">
      <w:start w:val="1"/>
      <w:numFmt w:val="none"/>
      <w:lvlRestart w:val="0"/>
      <w:suff w:val="nothing"/>
      <w:lvlText w:val="%1"/>
      <w:lvlJc w:val="left"/>
      <w:pPr>
        <w:ind w:left="0" w:hanging="0"/>
      </w:pPr>
      <w:rPr>
        <w:rFonts w:hint="eastAsia"/>
      </w:rPr>
    </w:lvl>
    <w:lvl w:ilvl="1">
      <w:start w:val="1"/>
      <w:numFmt w:val="decimal"/>
      <w:pStyle w:val="25"/>
      <w:suff w:val="nothing"/>
      <w:lvlText w:val="%1%2　"/>
      <w:lvlJc w:val="left"/>
      <w:pPr>
        <w:ind w:left="0" w:hanging="0"/>
      </w:pPr>
      <w:rPr>
        <w:rFonts w:ascii="黑体" w:hAnsi="黑体" w:eastAsia="黑体" w:hint="default"/>
        <w:b/>
        <w:bCs/>
        <w:i w:val="0"/>
        <w:sz w:val="21"/>
      </w:rPr>
    </w:lvl>
    <w:lvl w:ilvl="2">
      <w:start w:val="1"/>
      <w:numFmt w:val="decimal"/>
      <w:pStyle w:val="26"/>
      <w:suff w:val="nothing"/>
      <w:lvlText w:val="%1%2.%3　"/>
      <w:lvlJc w:val="left"/>
      <w:pPr>
        <w:ind w:left="0" w:hanging="0"/>
      </w:pPr>
      <w:rPr>
        <w:rFonts w:ascii="黑体" w:hAnsi="黑体" w:eastAsia="黑体" w:cs="Times New Roman" w:hint="default"/>
        <w:b/>
        <w:bCs/>
        <w:i w:val="0"/>
        <w:iCs w:val="0"/>
        <w:caps w:val="0"/>
        <w:smallCaps w:val="0"/>
        <w:strike w:val="0"/>
        <w:dstrike w:val="0"/>
        <w:vanish w:val="0"/>
        <w:color w:val="auto"/>
        <w:spacing w:val="0"/>
        <w:kern w:val="0"/>
        <w:position w:val="0"/>
        <w:sz w:val="21"/>
        <w:u w:val="none"/>
        <w:vertAlign w:val="baseline"/>
      </w:rPr>
    </w:lvl>
    <w:lvl w:ilvl="3">
      <w:start w:val="1"/>
      <w:numFmt w:val="decimal"/>
      <w:pStyle w:val="28"/>
      <w:suff w:val="nothing"/>
      <w:lvlText w:val="%1%2.%3.%4　"/>
      <w:lvlJc w:val="left"/>
      <w:pPr>
        <w:ind w:left="0" w:hanging="0"/>
      </w:pPr>
      <w:rPr>
        <w:rFonts w:ascii="黑体" w:hAnsi="黑体" w:eastAsia="黑体" w:hint="default"/>
        <w:b/>
        <w:bCs/>
        <w:i w:val="0"/>
        <w:sz w:val="21"/>
      </w:rPr>
    </w:lvl>
    <w:lvl w:ilvl="4">
      <w:start w:val="1"/>
      <w:numFmt w:val="decimal"/>
      <w:suff w:val="nothing"/>
      <w:lvlText w:val="%1%2.%3.%4.%5　"/>
      <w:lvlJc w:val="left"/>
      <w:pPr>
        <w:ind w:left="0" w:hanging="0"/>
      </w:pPr>
      <w:rPr>
        <w:rFonts w:ascii="黑体" w:hAnsi="黑体" w:eastAsia="黑体" w:hint="eastAsia"/>
        <w:b w:val="0"/>
        <w:i w:val="0"/>
        <w:sz w:val="21"/>
      </w:rPr>
    </w:lvl>
    <w:lvl w:ilvl="5">
      <w:start w:val="1"/>
      <w:numFmt w:val="decimal"/>
      <w:suff w:val="nothing"/>
      <w:lvlText w:val="%1%2.%3.%4.%5.%6　"/>
      <w:lvlJc w:val="left"/>
      <w:pPr>
        <w:ind w:left="0" w:hanging="0"/>
      </w:pPr>
      <w:rPr>
        <w:rFonts w:ascii="黑体" w:hAnsi="黑体" w:eastAsia="黑体" w:hint="eastAsia"/>
        <w:b w:val="0"/>
        <w:i w:val="0"/>
        <w:sz w:val="21"/>
      </w:rPr>
    </w:lvl>
    <w:lvl w:ilvl="6">
      <w:start w:val="1"/>
      <w:numFmt w:val="decimal"/>
      <w:suff w:val="nothing"/>
      <w:lvlText w:val="%1%2.%3.%4.%5.%6.%7　"/>
      <w:lvlJc w:val="left"/>
      <w:pPr>
        <w:ind w:left="0" w:hanging="0"/>
      </w:pPr>
      <w:rPr>
        <w:rFonts w:ascii="黑体" w:hAns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420"/>
  <w:drawingGridHorizontalSpacing w:val="120"/>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ZDc2NDdkOThiNWI4ZmE4N2NjZWFkYmI0ZjAyMDk4MWYifQ=="/>
  </w:docVars>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qFormat/>
    <w:pPr>
      <w:widowControl w:val="0"/>
      <w:spacing w:line="360" w:lineRule="auto"/>
      <w:jc w:val="both"/>
    </w:pPr>
    <w:rPr>
      <w:rFonts w:ascii="Calibri" w:eastAsia="宋体" w:cs="Times New Roman" w:hAnsi="Calibri"/>
      <w:kern w:val="2"/>
      <w:sz w:val="24"/>
      <w:szCs w:val="24"/>
      <w:lang w:val="en-US" w:eastAsia="zh-CN" w:bidi="ar-SA"/>
    </w:rPr>
  </w:style>
  <w:style w:type="paragraph" w:styleId="1">
    <w:name w:val="heading 1"/>
    <w:qFormat/>
    <w:basedOn w:val="0"/>
    <w:next w:val="0"/>
    <w:link w:val="1Char"/>
    <w:pPr>
      <w:numPr>
        <w:ilvl w:val="0"/>
        <w:numId w:val="41"/>
      </w:numPr>
      <w:ind w:left="425" w:hanging="425"/>
      <w:jc w:val="center"/>
      <w:outlineLvl w:val="0"/>
    </w:pPr>
    <w:rPr>
      <w:rFonts w:ascii="Times New Roman" w:eastAsia="宋体" w:hAnsi="Times New Roman"/>
      <w:b/>
      <w:bCs/>
      <w:color w:val="auto"/>
      <w:kern w:val="44"/>
      <w:sz w:val="30"/>
      <w:szCs w:val="30"/>
    </w:rPr>
  </w:style>
  <w:style w:type="character" w:customStyle="1" w:styleId="1Char">
    <w:name w:val="heading 1 Char"/>
    <w:basedOn w:val="10"/>
    <w:link w:val="1"/>
    <w:rPr>
      <w:rFonts w:ascii="Times New Roman" w:eastAsia="宋体" w:cs="Times New Roman" w:hAnsi="Times New Roman"/>
      <w:b/>
      <w:bCs/>
      <w:color w:val="auto"/>
      <w:kern w:val="44"/>
      <w:sz w:val="30"/>
      <w:szCs w:val="30"/>
      <w:lang w:val="en-US" w:eastAsia="zh-CN" w:bidi="ar-SA"/>
    </w:rPr>
  </w:style>
  <w:style w:type="paragraph" w:styleId="2">
    <w:name w:val="heading 2"/>
    <w:qFormat/>
    <w:basedOn w:val="0"/>
    <w:next w:val="0"/>
    <w:link w:val="2Char"/>
    <w:pPr>
      <w:keepNext/>
      <w:keepLines/>
      <w:spacing w:before="0" w:after="0" w:line="360" w:lineRule="auto"/>
      <w:jc w:val="center"/>
      <w:outlineLvl w:val="1"/>
    </w:pPr>
    <w:rPr>
      <w:rFonts w:ascii="Times New Roman" w:eastAsia="黑体" w:hAnsi="Times New Roman"/>
      <w:b/>
      <w:sz w:val="28"/>
    </w:rPr>
  </w:style>
  <w:style w:type="character" w:customStyle="1" w:styleId="2Char">
    <w:name w:val="heading 2 Char"/>
    <w:basedOn w:val="10"/>
    <w:link w:val="2"/>
    <w:rPr>
      <w:rFonts w:ascii="Times New Roman" w:eastAsia="黑体" w:cs="Times New Roman" w:hAnsi="Times New Roman"/>
      <w:b/>
      <w:kern w:val="2"/>
      <w:sz w:val="28"/>
      <w:szCs w:val="24"/>
      <w:lang w:val="en-US" w:eastAsia="zh-CN"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Calibri" w:eastAsia="宋体" w:cs="Times New Roman" w:hAnsi="Calibri"/>
      <w:b/>
      <w:bCs/>
      <w:kern w:val="2"/>
      <w:sz w:val="32"/>
      <w:szCs w:val="32"/>
      <w:lang w:val="en-US" w:eastAsia="zh-CN" w:bidi="ar-SA"/>
    </w:rPr>
  </w:style>
  <w:style w:type="paragraph" w:styleId="4">
    <w:name w:val="heading 4"/>
    <w:qFormat/>
    <w:basedOn w:val="0"/>
    <w:next w:val="0"/>
    <w:link w:val="4Char"/>
    <w:pPr>
      <w:spacing w:before="0" w:beforeAutospacing="1" w:after="0" w:afterAutospacing="1"/>
      <w:jc w:val="left"/>
      <w:outlineLvl w:val="3"/>
    </w:pPr>
    <w:rPr>
      <w:rFonts w:ascii="宋体" w:eastAsia="宋体" w:cs="宋体" w:hAnsi="宋体"/>
      <w:b/>
      <w:bCs/>
      <w:kern w:val="0"/>
      <w:sz w:val="24"/>
      <w:szCs w:val="24"/>
      <w:lang w:val="en-US" w:eastAsia="zh-CN"/>
    </w:rPr>
  </w:style>
  <w:style w:type="character" w:customStyle="1" w:styleId="4Char">
    <w:name w:val="heading 4 Char"/>
    <w:basedOn w:val="10"/>
    <w:link w:val="4"/>
    <w:rPr>
      <w:rFonts w:ascii="宋体" w:eastAsia="宋体" w:cs="宋体" w:hAnsi="宋体"/>
      <w:b/>
      <w:bCs/>
      <w:kern w:val="0"/>
      <w:sz w:val="24"/>
      <w:szCs w:val="24"/>
      <w:lang w:val="en-US" w:eastAsia="zh-CN" w:bidi="ar-SA"/>
    </w:rPr>
  </w:style>
  <w:style w:type="character" w:default="1" w:styleId="10">
    <w:name w:val="Default Paragraph Font"/>
    <w:qFormat/>
  </w:style>
  <w:style w:type="paragraph" w:styleId="15">
    <w:name w:val="annotation text"/>
    <w:qFormat/>
    <w:basedOn w:val="0"/>
    <w:pPr>
      <w:jc w:val="left"/>
    </w:pPr>
  </w:style>
  <w:style w:type="paragraph" w:styleId="16">
    <w:name w:val="Body Text"/>
    <w:qFormat/>
    <w:basedOn w:val="0"/>
    <w:next w:val="0"/>
    <w:pPr>
      <w:spacing w:after="120"/>
    </w:pPr>
  </w:style>
  <w:style w:type="paragraph" w:styleId="17">
    <w:name w:val="footer"/>
    <w:qFormat/>
    <w:basedOn w:val="0"/>
    <w:pPr>
      <w:tabs>
        <w:tab w:val="center" w:pos="4153"/>
        <w:tab w:val="right" w:pos="8306"/>
      </w:tabs>
      <w:snapToGrid w:val="0"/>
      <w:jc w:val="left"/>
    </w:pPr>
    <w:rPr>
      <w:sz w:val="18"/>
    </w:rPr>
  </w:style>
  <w:style w:type="paragraph" w:styleId="18">
    <w:name w:val="header"/>
    <w:qFormat/>
    <w:basedOn w:val="0"/>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19">
    <w:name w:val="toc 1"/>
    <w:qFormat/>
    <w:basedOn w:val="0"/>
    <w:next w:val="0"/>
    <w:rPr>
      <w:rFonts w:ascii="宋体"/>
    </w:rPr>
  </w:style>
  <w:style w:type="paragraph" w:styleId="20">
    <w:name w:val="toc 2"/>
    <w:qFormat/>
    <w:basedOn w:val="0"/>
    <w:next w:val="0"/>
    <w:pPr>
      <w:ind w:leftChars="200" w:left="200"/>
    </w:pPr>
  </w:style>
  <w:style w:type="paragraph" w:styleId="21">
    <w:name w:val="Normal (Web)"/>
    <w:qFormat/>
    <w:basedOn w:val="0"/>
    <w:pPr>
      <w:spacing w:before="0" w:beforeAutospacing="1" w:after="0" w:afterAutospacing="1"/>
      <w:ind w:left="0" w:right="0"/>
      <w:jc w:val="left"/>
    </w:pPr>
    <w:rPr>
      <w:kern w:val="0"/>
      <w:sz w:val="24"/>
      <w:lang w:val="en-US" w:eastAsia="zh-CN"/>
    </w:rPr>
  </w:style>
  <w:style w:type="paragraph" w:styleId="22">
    <w:name w:val="List Paragraph"/>
    <w:qFormat/>
    <w:basedOn w:val="0"/>
    <w:pPr>
      <w:ind w:firstLineChars="200" w:firstLine="200"/>
    </w:pPr>
  </w:style>
  <w:style w:type="character" w:customStyle="1" w:yozoId="4094" w:styleId="23">
    <w:name w:val="font11"/>
    <w:qFormat/>
    <w:basedOn w:val="10"/>
    <w:rPr>
      <w:rFonts w:ascii="宋体" w:eastAsia="宋体" w:cs="宋体" w:hAnsi="宋体"/>
      <w:color w:val="000000"/>
      <w:sz w:val="21"/>
      <w:szCs w:val="21"/>
      <w:u w:val="none"/>
    </w:rPr>
  </w:style>
  <w:style w:type="character" w:customStyle="1" w:yozoId="4094" w:styleId="24">
    <w:name w:val="font21"/>
    <w:qFormat/>
    <w:basedOn w:val="10"/>
    <w:rPr>
      <w:rFonts w:ascii="Times New Roman" w:cs="Times New Roman" w:hAnsi="Times New Roman"/>
      <w:color w:val="000000"/>
      <w:sz w:val="21"/>
      <w:szCs w:val="21"/>
      <w:u w:val="none"/>
    </w:rPr>
  </w:style>
  <w:style w:type="paragraph" w:customStyle="1" w:yozoId="4094" w:styleId="25">
    <w:name w:val="标准文件_章标题"/>
    <w:qFormat/>
    <w:next w:val="27"/>
    <w:pPr>
      <w:numPr>
        <w:ilvl w:val="1"/>
        <w:numId w:val="42"/>
      </w:numPr>
      <w:spacing w:beforeLines="100" w:before="100" w:afterLines="100" w:after="100"/>
      <w:jc w:val="both"/>
      <w:outlineLvl w:val="0"/>
    </w:pPr>
    <w:rPr>
      <w:rFonts w:ascii="黑体" w:eastAsia="黑体" w:cs="Times New Roman" w:hAnsi="Times New Roman"/>
      <w:kern w:val="0"/>
      <w:sz w:val="21"/>
      <w:szCs w:val="20"/>
      <w:lang w:val="en-US" w:eastAsia="zh-CN" w:bidi="ar-SA"/>
    </w:rPr>
  </w:style>
  <w:style w:type="paragraph" w:customStyle="1" w:yozoId="4094" w:styleId="26">
    <w:name w:val="标准文件_一级条标题"/>
    <w:qFormat/>
    <w:basedOn w:val="25"/>
    <w:next w:val="27"/>
    <w:pPr>
      <w:numPr>
        <w:ilvl w:val="2"/>
        <w:numId w:val="42"/>
      </w:numPr>
      <w:spacing w:beforeLines="50" w:before="50" w:afterLines="50" w:after="50"/>
      <w:outlineLvl w:val="1"/>
    </w:pPr>
  </w:style>
  <w:style w:type="paragraph" w:customStyle="1" w:yozoId="4094" w:styleId="27">
    <w:name w:val="标准文件_段"/>
    <w:qFormat/>
    <w:pPr>
      <w:autoSpaceDE w:val="0"/>
      <w:autoSpaceDN w:val="0"/>
      <w:ind w:firstLineChars="200" w:firstLine="200"/>
      <w:jc w:val="both"/>
    </w:pPr>
    <w:rPr>
      <w:rFonts w:ascii="宋体" w:eastAsia="宋体" w:cs="Times New Roman" w:hAnsi="Times New Roman"/>
      <w:sz w:val="21"/>
      <w:szCs w:val="20"/>
      <w:lang w:val="en-US" w:eastAsia="zh-CN" w:bidi="ar-SA"/>
    </w:rPr>
  </w:style>
  <w:style w:type="paragraph" w:customStyle="1" w:yozoId="4094" w:styleId="28">
    <w:name w:val="标准文件_二级条标题"/>
    <w:qFormat/>
    <w:next w:val="0"/>
    <w:pPr>
      <w:widowControl w:val="0"/>
      <w:numPr>
        <w:ilvl w:val="3"/>
        <w:numId w:val="42"/>
      </w:numPr>
      <w:spacing w:beforeLines="50" w:before="50" w:afterLines="50" w:after="50"/>
      <w:jc w:val="both"/>
      <w:outlineLvl w:val="2"/>
    </w:pPr>
    <w:rPr>
      <w:rFonts w:ascii="黑体" w:eastAsia="黑体" w:cs="Times New Roman" w:hAnsi="Times New Roman"/>
      <w:kern w:val="0"/>
      <w:sz w:val="21"/>
      <w:szCs w:val="20"/>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1.jpeg"/><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oter" Target="footer4.xml"/><Relationship Id="rId7" Type="http://schemas.openxmlformats.org/officeDocument/2006/relationships/footer" Target="footer5.xml"/><Relationship Id="rId8" Type="http://schemas.openxmlformats.org/officeDocument/2006/relationships/styles" Target="styl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customXml" Target="../customXml/item1.xml"/><Relationship Id="rId12" Type="http://schemas.openxmlformats.org/officeDocument/2006/relationships/theme" Target="theme/theme1.xml"/></Relationships>
</file>

<file path=word/theme/theme1.xml><?xml version="1.0" encoding="utf-8"?>
<a:theme xmlns:a="http://schemas.openxmlformats.org/drawing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
        <a:ea typeface=""/>
        <a:cs typeface=""/>
      </a:majorFont>
      <a:minorFont>
        <a:latin typeface=""/>
        <a:ea typeface=""/>
        <a:cs typeface=""/>
      </a:minorFont>
    </a:fontScheme>
    <a:fmtScheme name="WPS">
      <a:fillStyleLst>
        <a:solidFill>
          <a:schemeClr val="phClr"/>
        </a:solidFill>
        <a:gradFill rotWithShape="1">
          <a:gsLst>
            <a:gs pos="0">
              <a:schemeClr val="phClr">
                <a:lumOff val="17500"/>
              </a:schemeClr>
            </a:gs>
            <a:gs pos="100000">
              <a:schemeClr val="phClr"/>
            </a:gs>
          </a:gsLst>
          <a:lin ang="2700000" scaled="1"/>
        </a:gradFill>
        <a:gradFill rotWithShape="1">
          <a:gsLst>
            <a:gs pos="0">
              <a:schemeClr val="phClr">
                <a:hueOff val="-2520000"/>
              </a:schemeClr>
            </a:gs>
            <a:gs pos="100000">
              <a:schemeClr val="phClr"/>
            </a:gs>
          </a:gsLst>
          <a:lin ang="2700000" scaled="1"/>
        </a:gradFill>
      </a:fillStyleLst>
      <a:lnStyleLst>
        <a:ln w="12700" cmpd="sng" cap="flat">
          <a:solidFill>
            <a:schemeClr val="phClr"/>
          </a:solidFill>
          <a:prstDash val="solid"/>
          <a:miter/>
        </a:ln>
        <a:ln w="12700" cmpd="sng" cap="flat">
          <a:solidFill>
            <a:schemeClr val="phClr"/>
          </a:solidFill>
          <a:prstDash val="solid"/>
          <a:miter/>
        </a:ln>
        <a:ln w="12700" cmpd="sng" cap="flat">
          <a:gradFill rotWithShape="1">
            <a:gsLst>
              <a:gs pos="0">
                <a:schemeClr val="phClr">
                  <a:hueOff val="-4200000"/>
                </a:schemeClr>
              </a:gs>
              <a:gs pos="100000">
                <a:schemeClr val="phClr"/>
              </a:gs>
            </a:gsLst>
            <a:lin ang="2700000" scaled="1"/>
          </a:gradFill>
          <a:prstDash val="solid"/>
          <a:miter/>
        </a:ln>
      </a:lnStyleLst>
      <a:effectStyleLst>
        <a:effectStyle>
          <a:effectLst>
            <a:outerShdw sx="100000" sy="100000" algn="ctr" rotWithShape="0" blurRad="101600" dist="50800" dir="5400000">
              <a:schemeClr val="phClr">
                <a:alpha val="60000"/>
              </a:schemeClr>
            </a:outerShdw>
          </a:effectLst>
        </a:effectStyle>
        <a:effectStyle>
          <a:effectLst>
            <a:reflection stA="50000" endA="300" endPos="40000" dist="25400" dir="5400000" sy="-100000" algn="bl" rotWithShape="0"/>
          </a:effectLst>
        </a:effectStyle>
        <a:effectStyle>
          <a:effectLst>
            <a:outerShdw sx="100000" sy="100000" algn="ctr" rotWithShape="0" blurRad="57150" dist="19050" dir="540000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sectPr/>
    <sectPr/>
    <sectPr/>
    <sectPr/>
  </customProps>
</customData>
</file>

<file path=customXml/itemProps1.xml><?xml version="1.0" encoding="utf-8"?>
<ds:datastoreItem xmlns:ds="http://schemas.openxmlformats.org/officeDocument/2006/customXml" ds:itemID="{36B4412A-6F8A-4E5F-BF49-A321B46F5955}">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22</TotalTime>
  <Application>WPS_Yozo_Office9.0.6115.191ZH.S1</Application>
  <Pages>40</Pages>
  <Words>0</Words>
  <Characters>19194</Characters>
  <Lines>0</Lines>
  <Paragraphs>537</Paragraphs>
  <CharactersWithSpaces>25592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焦帅</dc:creator>
  <cp:lastModifiedBy>admini1</cp:lastModifiedBy>
  <cp:revision>2</cp:revision>
  <dcterms:created xsi:type="dcterms:W3CDTF">2025-02-09T09:45:00Z</dcterms:created>
  <dcterms:modified xsi:type="dcterms:W3CDTF">2026-04-27T09:25:44Z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2052-12.1.0.23542</vt:lpwstr>
  </property>
  <property fmtid="{D5CDD505-2E9C-101B-9397-08002B2CF9AE}" pid="3" name="ICV">
    <vt:lpwstr>3F49E34CC38E4B1A8C60E9309AC31B58_13</vt:lpwstr>
  </property>
  <property fmtid="{D5CDD505-2E9C-101B-9397-08002B2CF9AE}" pid="4" name="KSOTemplateDocerSaveRecord">
    <vt:lpwstr>eyJoZGlkIjoiNDczZWRiM2NiZjE5ZjEwZTg4ZmFmYjJiZjU0MTM2MzciLCJ1c2VySWQiOiI3MjQ5MjU0MzQifQ==</vt:lpwstr>
  </property>
</Properties>
</file>