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4C0A0">
      <w:pPr>
        <w:spacing w:line="580" w:lineRule="exact"/>
        <w:ind w:firstLine="0" w:firstLineChars="0"/>
        <w:jc w:val="center"/>
        <w:rPr>
          <w:rFonts w:eastAsia="方正小标宋简体"/>
          <w:bCs/>
          <w:color w:val="000000"/>
          <w:szCs w:val="32"/>
        </w:rPr>
      </w:pPr>
    </w:p>
    <w:p w14:paraId="79C6BBCE">
      <w:pPr>
        <w:spacing w:line="580" w:lineRule="exact"/>
        <w:ind w:firstLine="0" w:firstLineChars="0"/>
        <w:jc w:val="center"/>
        <w:rPr>
          <w:rFonts w:eastAsia="方正小标宋简体"/>
          <w:bCs/>
          <w:color w:val="000000"/>
          <w:szCs w:val="32"/>
        </w:rPr>
      </w:pPr>
    </w:p>
    <w:p w14:paraId="1F532A5F">
      <w:pPr>
        <w:spacing w:line="580" w:lineRule="exact"/>
        <w:ind w:firstLine="0" w:firstLineChars="0"/>
        <w:jc w:val="center"/>
        <w:rPr>
          <w:rFonts w:eastAsia="方正小标宋简体"/>
          <w:bCs/>
          <w:color w:val="000000"/>
          <w:szCs w:val="32"/>
        </w:rPr>
      </w:pPr>
    </w:p>
    <w:p w14:paraId="5152D031">
      <w:pPr>
        <w:spacing w:line="580" w:lineRule="exact"/>
        <w:ind w:firstLine="0" w:firstLineChars="0"/>
        <w:jc w:val="center"/>
        <w:rPr>
          <w:rFonts w:eastAsia="方正小标宋简体"/>
          <w:bCs/>
          <w:color w:val="000000"/>
          <w:szCs w:val="32"/>
        </w:rPr>
      </w:pPr>
    </w:p>
    <w:p w14:paraId="3FFE68D0">
      <w:pPr>
        <w:spacing w:line="580" w:lineRule="exact"/>
        <w:ind w:firstLine="0" w:firstLineChars="0"/>
        <w:jc w:val="center"/>
        <w:rPr>
          <w:rFonts w:eastAsia="方正小标宋简体"/>
          <w:bCs/>
          <w:color w:val="000000"/>
          <w:szCs w:val="32"/>
        </w:rPr>
      </w:pPr>
    </w:p>
    <w:p w14:paraId="2825A534">
      <w:pPr>
        <w:spacing w:line="580" w:lineRule="exact"/>
        <w:ind w:firstLine="0" w:firstLineChars="0"/>
        <w:jc w:val="center"/>
        <w:rPr>
          <w:rFonts w:hint="eastAsia" w:eastAsia="方正小标宋简体"/>
          <w:bCs/>
          <w:color w:val="000000"/>
          <w:szCs w:val="32"/>
        </w:rPr>
      </w:pPr>
    </w:p>
    <w:p w14:paraId="31F53B30">
      <w:pPr>
        <w:spacing w:line="580" w:lineRule="exact"/>
        <w:ind w:firstLine="0" w:firstLineChars="0"/>
        <w:jc w:val="center"/>
        <w:rPr>
          <w:rFonts w:eastAsia="方正小标宋简体"/>
          <w:bCs/>
          <w:color w:val="000000"/>
          <w:sz w:val="48"/>
          <w:szCs w:val="48"/>
        </w:rPr>
      </w:pPr>
      <w:bookmarkStart w:id="0" w:name="_Hlk191643887"/>
      <w:r>
        <w:rPr>
          <w:rFonts w:hint="eastAsia" w:eastAsia="方正小标宋简体"/>
          <w:bCs/>
          <w:color w:val="000000"/>
          <w:sz w:val="48"/>
          <w:szCs w:val="48"/>
        </w:rPr>
        <w:t>贵阳市“十五五”商务发展</w:t>
      </w:r>
      <w:bookmarkEnd w:id="0"/>
      <w:r>
        <w:rPr>
          <w:rFonts w:hint="eastAsia" w:eastAsia="方正小标宋简体"/>
          <w:bCs/>
          <w:color w:val="000000"/>
          <w:sz w:val="48"/>
          <w:szCs w:val="48"/>
        </w:rPr>
        <w:t>规划</w:t>
      </w:r>
    </w:p>
    <w:p w14:paraId="4EBFE25C">
      <w:pPr>
        <w:spacing w:line="580" w:lineRule="exact"/>
        <w:ind w:firstLine="0" w:firstLineChars="0"/>
        <w:jc w:val="center"/>
        <w:rPr>
          <w:rFonts w:hint="eastAsia" w:ascii="仿宋_GB2312"/>
          <w:bCs/>
          <w:color w:val="000000"/>
          <w:szCs w:val="32"/>
        </w:rPr>
      </w:pPr>
      <w:r>
        <w:rPr>
          <w:rFonts w:hint="eastAsia" w:ascii="仿宋_GB2312"/>
          <w:bCs/>
          <w:color w:val="000000"/>
          <w:szCs w:val="32"/>
        </w:rPr>
        <w:t>（</w:t>
      </w:r>
      <w:r>
        <w:rPr>
          <w:rFonts w:hint="eastAsia" w:ascii="仿宋_GB2312"/>
          <w:bCs/>
          <w:color w:val="000000"/>
          <w:szCs w:val="32"/>
          <w:lang w:val="en-US" w:eastAsia="zh-CN"/>
        </w:rPr>
        <w:t>征求意见</w:t>
      </w:r>
      <w:r>
        <w:rPr>
          <w:rFonts w:hint="eastAsia" w:ascii="仿宋_GB2312"/>
          <w:bCs/>
          <w:color w:val="000000"/>
          <w:szCs w:val="32"/>
        </w:rPr>
        <w:t>稿）</w:t>
      </w:r>
    </w:p>
    <w:p w14:paraId="1EF339FF">
      <w:pPr>
        <w:spacing w:line="580" w:lineRule="exact"/>
        <w:ind w:firstLine="0" w:firstLineChars="0"/>
        <w:jc w:val="center"/>
        <w:rPr>
          <w:rFonts w:eastAsia="方正小标宋简体"/>
          <w:bCs/>
          <w:color w:val="000000"/>
          <w:szCs w:val="32"/>
        </w:rPr>
      </w:pPr>
    </w:p>
    <w:p w14:paraId="7C4EBC5F">
      <w:pPr>
        <w:spacing w:line="580" w:lineRule="exact"/>
        <w:ind w:firstLine="0" w:firstLineChars="0"/>
        <w:jc w:val="center"/>
        <w:rPr>
          <w:rFonts w:eastAsia="方正小标宋简体"/>
          <w:bCs/>
          <w:color w:val="000000"/>
          <w:szCs w:val="32"/>
        </w:rPr>
      </w:pPr>
    </w:p>
    <w:p w14:paraId="36AB3370">
      <w:pPr>
        <w:spacing w:line="580" w:lineRule="exact"/>
        <w:ind w:firstLine="0" w:firstLineChars="0"/>
        <w:jc w:val="center"/>
        <w:rPr>
          <w:rFonts w:eastAsia="方正小标宋简体"/>
          <w:bCs/>
          <w:color w:val="000000"/>
          <w:szCs w:val="32"/>
        </w:rPr>
      </w:pPr>
    </w:p>
    <w:p w14:paraId="0265F582">
      <w:pPr>
        <w:spacing w:line="580" w:lineRule="exact"/>
        <w:ind w:firstLine="0" w:firstLineChars="0"/>
        <w:jc w:val="center"/>
        <w:rPr>
          <w:rFonts w:eastAsia="方正小标宋简体"/>
          <w:bCs/>
          <w:color w:val="000000"/>
          <w:szCs w:val="32"/>
        </w:rPr>
      </w:pPr>
    </w:p>
    <w:p w14:paraId="52BA1AA9">
      <w:pPr>
        <w:spacing w:line="580" w:lineRule="exact"/>
        <w:ind w:firstLine="0" w:firstLineChars="0"/>
        <w:jc w:val="center"/>
        <w:rPr>
          <w:rFonts w:eastAsia="方正小标宋简体"/>
          <w:bCs/>
          <w:color w:val="000000"/>
          <w:szCs w:val="32"/>
        </w:rPr>
      </w:pPr>
    </w:p>
    <w:p w14:paraId="4D6E5326">
      <w:pPr>
        <w:spacing w:line="580" w:lineRule="exact"/>
        <w:ind w:firstLine="0" w:firstLineChars="0"/>
        <w:jc w:val="center"/>
        <w:rPr>
          <w:rFonts w:eastAsia="方正小标宋简体"/>
          <w:bCs/>
          <w:color w:val="000000"/>
          <w:szCs w:val="32"/>
        </w:rPr>
      </w:pPr>
    </w:p>
    <w:p w14:paraId="4C937A1C">
      <w:pPr>
        <w:spacing w:line="580" w:lineRule="exact"/>
        <w:ind w:firstLine="0" w:firstLineChars="0"/>
        <w:jc w:val="center"/>
        <w:rPr>
          <w:rFonts w:eastAsia="方正小标宋简体"/>
          <w:bCs/>
          <w:color w:val="000000"/>
          <w:szCs w:val="32"/>
        </w:rPr>
      </w:pPr>
    </w:p>
    <w:p w14:paraId="4875CEF1">
      <w:pPr>
        <w:spacing w:line="580" w:lineRule="exact"/>
        <w:ind w:firstLine="0" w:firstLineChars="0"/>
        <w:jc w:val="center"/>
        <w:rPr>
          <w:rFonts w:eastAsia="方正小标宋简体"/>
          <w:bCs/>
          <w:color w:val="000000"/>
          <w:szCs w:val="32"/>
        </w:rPr>
      </w:pPr>
    </w:p>
    <w:p w14:paraId="6D8B0A55">
      <w:pPr>
        <w:spacing w:line="580" w:lineRule="exact"/>
        <w:ind w:firstLine="0" w:firstLineChars="0"/>
        <w:jc w:val="center"/>
        <w:rPr>
          <w:rFonts w:eastAsia="方正小标宋简体"/>
          <w:bCs/>
          <w:color w:val="000000"/>
          <w:szCs w:val="32"/>
        </w:rPr>
      </w:pPr>
    </w:p>
    <w:p w14:paraId="57ACF246">
      <w:pPr>
        <w:spacing w:line="580" w:lineRule="exact"/>
        <w:ind w:firstLine="0" w:firstLineChars="0"/>
        <w:jc w:val="center"/>
        <w:rPr>
          <w:rFonts w:eastAsia="方正小标宋简体"/>
          <w:bCs/>
          <w:color w:val="000000"/>
          <w:szCs w:val="32"/>
        </w:rPr>
      </w:pPr>
    </w:p>
    <w:p w14:paraId="394E25D6">
      <w:pPr>
        <w:spacing w:line="580" w:lineRule="exact"/>
        <w:ind w:firstLine="0" w:firstLineChars="0"/>
        <w:jc w:val="center"/>
        <w:rPr>
          <w:rFonts w:eastAsia="方正小标宋简体"/>
          <w:bCs/>
          <w:color w:val="000000"/>
          <w:szCs w:val="32"/>
        </w:rPr>
      </w:pPr>
    </w:p>
    <w:p w14:paraId="26A5A152">
      <w:pPr>
        <w:widowControl/>
        <w:spacing w:line="600" w:lineRule="exact"/>
        <w:ind w:firstLine="0" w:firstLineChars="0"/>
        <w:jc w:val="center"/>
        <w:rPr>
          <w:rFonts w:eastAsia="楷体"/>
          <w:color w:val="000000"/>
          <w:szCs w:val="32"/>
        </w:rPr>
      </w:pPr>
      <w:r>
        <w:rPr>
          <w:rFonts w:hint="eastAsia" w:eastAsia="楷体"/>
          <w:color w:val="000000"/>
          <w:szCs w:val="32"/>
        </w:rPr>
        <w:t>贵阳市商务局</w:t>
      </w:r>
    </w:p>
    <w:p w14:paraId="7410EDC2">
      <w:pPr>
        <w:spacing w:line="580" w:lineRule="exact"/>
        <w:ind w:firstLine="0" w:firstLineChars="0"/>
        <w:jc w:val="center"/>
        <w:rPr>
          <w:rFonts w:eastAsia="楷体" w:cs="楷体"/>
          <w:color w:val="000000"/>
          <w:szCs w:val="32"/>
        </w:rPr>
      </w:pPr>
      <w:r>
        <w:rPr>
          <w:rFonts w:hint="eastAsia" w:eastAsia="楷体" w:cs="楷体"/>
          <w:color w:val="000000"/>
          <w:szCs w:val="32"/>
          <w:lang w:eastAsia="zh-CN"/>
        </w:rPr>
        <w:t>二○二</w:t>
      </w:r>
      <w:r>
        <w:rPr>
          <w:rFonts w:hint="eastAsia" w:eastAsia="楷体" w:cs="楷体"/>
          <w:color w:val="000000"/>
          <w:szCs w:val="32"/>
        </w:rPr>
        <w:t>六年五月</w:t>
      </w:r>
    </w:p>
    <w:p w14:paraId="467FEEB8">
      <w:pPr>
        <w:pStyle w:val="2"/>
        <w:ind w:firstLine="0" w:firstLineChars="0"/>
        <w:rPr>
          <w:rFonts w:hint="eastAsia"/>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0AAE9F30">
      <w:pPr>
        <w:ind w:firstLine="0" w:firstLineChars="0"/>
        <w:jc w:val="center"/>
        <w:rPr>
          <w:rFonts w:eastAsia="黑体"/>
          <w:color w:val="000000"/>
          <w:szCs w:val="32"/>
        </w:rPr>
      </w:pPr>
      <w:r>
        <w:rPr>
          <w:rFonts w:hint="eastAsia" w:eastAsia="黑体"/>
          <w:color w:val="000000"/>
          <w:szCs w:val="32"/>
        </w:rPr>
        <w:t>目  录</w:t>
      </w:r>
    </w:p>
    <w:p w14:paraId="78E15A57">
      <w:pPr>
        <w:pStyle w:val="6"/>
        <w:tabs>
          <w:tab w:val="right" w:leader="dot" w:pos="8296"/>
        </w:tabs>
        <w:spacing w:line="540" w:lineRule="exact"/>
        <w:rPr>
          <w:rFonts w:hint="eastAsia" w:ascii="等线" w:hAnsi="等线" w:eastAsia="等线"/>
          <w:color w:val="000000"/>
          <w:sz w:val="22"/>
          <w:szCs w:val="24"/>
        </w:rPr>
      </w:pPr>
      <w:r>
        <w:rPr>
          <w:color w:val="000000"/>
          <w:szCs w:val="32"/>
        </w:rPr>
        <w:fldChar w:fldCharType="begin"/>
      </w:r>
      <w:r>
        <w:rPr>
          <w:color w:val="000000"/>
          <w:szCs w:val="32"/>
        </w:rPr>
        <w:instrText xml:space="preserve"> TOC \o "1-3" \h \z \u </w:instrText>
      </w:r>
      <w:r>
        <w:rPr>
          <w:color w:val="000000"/>
          <w:szCs w:val="32"/>
        </w:rPr>
        <w:fldChar w:fldCharType="separate"/>
      </w: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"_Toc229673019"</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前  言</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_Toc229673019 \h</w:instrText>
      </w:r>
      <w:r>
        <w:rPr>
          <w:rFonts w:hint="eastAsia"/>
          <w:color w:val="000000"/>
        </w:rPr>
        <w:instrText xml:space="preserve"> </w:instrText>
      </w:r>
      <w:r>
        <w:rPr>
          <w:color w:val="000000"/>
        </w:rPr>
        <w:fldChar w:fldCharType="separate"/>
      </w:r>
      <w:r>
        <w:rPr>
          <w:color w:val="000000"/>
        </w:rPr>
        <w:t>1</w:t>
      </w:r>
      <w:r>
        <w:rPr>
          <w:rFonts w:hint="eastAsia"/>
          <w:color w:val="000000"/>
        </w:rPr>
        <w:fldChar w:fldCharType="end"/>
      </w:r>
      <w:r>
        <w:rPr>
          <w:rStyle w:val="10"/>
          <w:rFonts w:hint="eastAsia"/>
          <w:color w:val="000000"/>
        </w:rPr>
        <w:fldChar w:fldCharType="end"/>
      </w:r>
    </w:p>
    <w:p w14:paraId="6B9482A4">
      <w:pPr>
        <w:pStyle w:val="6"/>
        <w:tabs>
          <w:tab w:val="right" w:leader="dot" w:pos="8296"/>
        </w:tabs>
        <w:spacing w:line="540" w:lineRule="exact"/>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"_Toc229673020"</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一、发展基础与环境</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_Toc229673020 \h</w:instrText>
      </w:r>
      <w:r>
        <w:rPr>
          <w:rFonts w:hint="eastAsia"/>
          <w:color w:val="000000"/>
        </w:rPr>
        <w:instrText xml:space="preserve"> </w:instrText>
      </w:r>
      <w:r>
        <w:rPr>
          <w:color w:val="000000"/>
        </w:rPr>
        <w:fldChar w:fldCharType="separate"/>
      </w:r>
      <w:r>
        <w:rPr>
          <w:color w:val="000000"/>
        </w:rPr>
        <w:t>2</w:t>
      </w:r>
      <w:r>
        <w:rPr>
          <w:rFonts w:hint="eastAsia"/>
          <w:color w:val="000000"/>
        </w:rPr>
        <w:fldChar w:fldCharType="end"/>
      </w:r>
      <w:r>
        <w:rPr>
          <w:rStyle w:val="10"/>
          <w:rFonts w:hint="eastAsia"/>
          <w:color w:val="000000"/>
        </w:rPr>
        <w:fldChar w:fldCharType="end"/>
      </w:r>
    </w:p>
    <w:p w14:paraId="4CAA57B1">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"_Toc229673021"</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（一）发展基础</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_Toc229673021 \h</w:instrText>
      </w:r>
      <w:r>
        <w:rPr>
          <w:rFonts w:hint="eastAsia"/>
          <w:color w:val="000000"/>
        </w:rPr>
        <w:instrText xml:space="preserve"> </w:instrText>
      </w:r>
      <w:r>
        <w:rPr>
          <w:color w:val="000000"/>
        </w:rPr>
        <w:fldChar w:fldCharType="separate"/>
      </w:r>
      <w:r>
        <w:rPr>
          <w:color w:val="000000"/>
        </w:rPr>
        <w:t>2</w:t>
      </w:r>
      <w:r>
        <w:rPr>
          <w:rFonts w:hint="eastAsia"/>
          <w:color w:val="000000"/>
        </w:rPr>
        <w:fldChar w:fldCharType="end"/>
      </w:r>
      <w:r>
        <w:rPr>
          <w:rStyle w:val="10"/>
          <w:rFonts w:hint="eastAsia"/>
          <w:color w:val="000000"/>
        </w:rPr>
        <w:fldChar w:fldCharType="end"/>
      </w:r>
    </w:p>
    <w:p w14:paraId="0B27F6F3">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"_Toc229673022"</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（二）面临形势</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_Toc229673022 \h</w:instrText>
      </w:r>
      <w:r>
        <w:rPr>
          <w:rFonts w:hint="eastAsia"/>
          <w:color w:val="000000"/>
        </w:rPr>
        <w:instrText xml:space="preserve"> </w:instrText>
      </w:r>
      <w:r>
        <w:rPr>
          <w:color w:val="000000"/>
        </w:rPr>
        <w:fldChar w:fldCharType="separate"/>
      </w:r>
      <w:r>
        <w:rPr>
          <w:color w:val="000000"/>
        </w:rPr>
        <w:t>5</w:t>
      </w:r>
      <w:r>
        <w:rPr>
          <w:rFonts w:hint="eastAsia"/>
          <w:color w:val="000000"/>
        </w:rPr>
        <w:fldChar w:fldCharType="end"/>
      </w:r>
      <w:r>
        <w:rPr>
          <w:rStyle w:val="10"/>
          <w:rFonts w:hint="eastAsia"/>
          <w:color w:val="000000"/>
        </w:rPr>
        <w:fldChar w:fldCharType="end"/>
      </w:r>
    </w:p>
    <w:p w14:paraId="56A98D1B">
      <w:pPr>
        <w:pStyle w:val="6"/>
        <w:tabs>
          <w:tab w:val="right" w:leader="dot" w:pos="8296"/>
        </w:tabs>
        <w:spacing w:line="540" w:lineRule="exact"/>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"_Toc229673023"</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二、总体要求</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_Toc229673023 \h</w:instrText>
      </w:r>
      <w:r>
        <w:rPr>
          <w:rFonts w:hint="eastAsia"/>
          <w:color w:val="000000"/>
        </w:rPr>
        <w:instrText xml:space="preserve"> </w:instrText>
      </w:r>
      <w:r>
        <w:rPr>
          <w:color w:val="000000"/>
        </w:rPr>
        <w:fldChar w:fldCharType="separate"/>
      </w:r>
      <w:r>
        <w:rPr>
          <w:color w:val="000000"/>
        </w:rPr>
        <w:t>9</w:t>
      </w:r>
      <w:r>
        <w:rPr>
          <w:rFonts w:hint="eastAsia"/>
          <w:color w:val="000000"/>
        </w:rPr>
        <w:fldChar w:fldCharType="end"/>
      </w:r>
      <w:r>
        <w:rPr>
          <w:rStyle w:val="10"/>
          <w:rFonts w:hint="eastAsia"/>
          <w:color w:val="000000"/>
        </w:rPr>
        <w:fldChar w:fldCharType="end"/>
      </w:r>
    </w:p>
    <w:p w14:paraId="7D84EC26">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"_Toc229673024"</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（一）指导思想</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_Toc229673024 \h</w:instrText>
      </w:r>
      <w:r>
        <w:rPr>
          <w:rFonts w:hint="eastAsia"/>
          <w:color w:val="000000"/>
        </w:rPr>
        <w:instrText xml:space="preserve"> </w:instrText>
      </w:r>
      <w:r>
        <w:rPr>
          <w:color w:val="000000"/>
        </w:rPr>
        <w:fldChar w:fldCharType="separate"/>
      </w:r>
      <w:r>
        <w:rPr>
          <w:color w:val="000000"/>
        </w:rPr>
        <w:t>9</w:t>
      </w:r>
      <w:r>
        <w:rPr>
          <w:rFonts w:hint="eastAsia"/>
          <w:color w:val="000000"/>
        </w:rPr>
        <w:fldChar w:fldCharType="end"/>
      </w:r>
      <w:r>
        <w:rPr>
          <w:rStyle w:val="10"/>
          <w:rFonts w:hint="eastAsia"/>
          <w:color w:val="000000"/>
        </w:rPr>
        <w:fldChar w:fldCharType="end"/>
      </w:r>
    </w:p>
    <w:p w14:paraId="61ACFD76">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"_Toc229673025"</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（二）基本原则</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_Toc229673025 \h</w:instrText>
      </w:r>
      <w:r>
        <w:rPr>
          <w:rFonts w:hint="eastAsia"/>
          <w:color w:val="000000"/>
        </w:rPr>
        <w:instrText xml:space="preserve"> </w:instrText>
      </w:r>
      <w:r>
        <w:rPr>
          <w:color w:val="000000"/>
        </w:rPr>
        <w:fldChar w:fldCharType="separate"/>
      </w:r>
      <w:r>
        <w:rPr>
          <w:color w:val="000000"/>
        </w:rPr>
        <w:t>9</w:t>
      </w:r>
      <w:r>
        <w:rPr>
          <w:rFonts w:hint="eastAsia"/>
          <w:color w:val="000000"/>
        </w:rPr>
        <w:fldChar w:fldCharType="end"/>
      </w:r>
      <w:r>
        <w:rPr>
          <w:rStyle w:val="10"/>
          <w:rFonts w:hint="eastAsia"/>
          <w:color w:val="000000"/>
        </w:rPr>
        <w:fldChar w:fldCharType="end"/>
      </w:r>
    </w:p>
    <w:p w14:paraId="64E4E409">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"_Toc229673026"</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（三）发展目标</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_Toc229673026 \h</w:instrText>
      </w:r>
      <w:r>
        <w:rPr>
          <w:rFonts w:hint="eastAsia"/>
          <w:color w:val="000000"/>
        </w:rPr>
        <w:instrText xml:space="preserve"> </w:instrText>
      </w:r>
      <w:r>
        <w:rPr>
          <w:color w:val="000000"/>
        </w:rPr>
        <w:fldChar w:fldCharType="separate"/>
      </w:r>
      <w:r>
        <w:rPr>
          <w:color w:val="000000"/>
        </w:rPr>
        <w:t>10</w:t>
      </w:r>
      <w:r>
        <w:rPr>
          <w:rFonts w:hint="eastAsia"/>
          <w:color w:val="000000"/>
        </w:rPr>
        <w:fldChar w:fldCharType="end"/>
      </w:r>
      <w:r>
        <w:rPr>
          <w:rStyle w:val="10"/>
          <w:rFonts w:hint="eastAsia"/>
          <w:color w:val="000000"/>
        </w:rPr>
        <w:fldChar w:fldCharType="end"/>
      </w:r>
    </w:p>
    <w:p w14:paraId="38B48F9F">
      <w:pPr>
        <w:pStyle w:val="6"/>
        <w:tabs>
          <w:tab w:val="right" w:leader="dot" w:pos="8296"/>
        </w:tabs>
        <w:spacing w:line="540" w:lineRule="exact"/>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"_Toc229673027"</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三、加快建设区域性国际消费中心城市</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_Toc229673027 \h</w:instrText>
      </w:r>
      <w:r>
        <w:rPr>
          <w:rFonts w:hint="eastAsia"/>
          <w:color w:val="000000"/>
        </w:rPr>
        <w:instrText xml:space="preserve"> </w:instrText>
      </w:r>
      <w:r>
        <w:rPr>
          <w:color w:val="000000"/>
        </w:rPr>
        <w:fldChar w:fldCharType="separate"/>
      </w:r>
      <w:r>
        <w:rPr>
          <w:color w:val="000000"/>
        </w:rPr>
        <w:t>13</w:t>
      </w:r>
      <w:r>
        <w:rPr>
          <w:rFonts w:hint="eastAsia"/>
          <w:color w:val="000000"/>
        </w:rPr>
        <w:fldChar w:fldCharType="end"/>
      </w:r>
      <w:r>
        <w:rPr>
          <w:rStyle w:val="10"/>
          <w:rFonts w:hint="eastAsia"/>
          <w:color w:val="000000"/>
        </w:rPr>
        <w:fldChar w:fldCharType="end"/>
      </w:r>
    </w:p>
    <w:p w14:paraId="23B9C478">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"_Toc229673028"</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（一）推动商业空间提质</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_Toc229673028 \h</w:instrText>
      </w:r>
      <w:r>
        <w:rPr>
          <w:rFonts w:hint="eastAsia"/>
          <w:color w:val="000000"/>
        </w:rPr>
        <w:instrText xml:space="preserve"> </w:instrText>
      </w:r>
      <w:r>
        <w:rPr>
          <w:color w:val="000000"/>
        </w:rPr>
        <w:fldChar w:fldCharType="separate"/>
      </w:r>
      <w:r>
        <w:rPr>
          <w:color w:val="000000"/>
        </w:rPr>
        <w:t>13</w:t>
      </w:r>
      <w:r>
        <w:rPr>
          <w:rFonts w:hint="eastAsia"/>
          <w:color w:val="000000"/>
        </w:rPr>
        <w:fldChar w:fldCharType="end"/>
      </w:r>
      <w:r>
        <w:rPr>
          <w:rStyle w:val="10"/>
          <w:rFonts w:hint="eastAsia"/>
          <w:color w:val="000000"/>
        </w:rPr>
        <w:fldChar w:fldCharType="end"/>
      </w:r>
    </w:p>
    <w:p w14:paraId="06F5E550">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"_Toc229673029"</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1、构建城市商业空间新体系</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_Toc229673029 \h</w:instrText>
      </w:r>
      <w:r>
        <w:rPr>
          <w:rFonts w:hint="eastAsia"/>
          <w:color w:val="000000"/>
        </w:rPr>
        <w:instrText xml:space="preserve"> </w:instrText>
      </w:r>
      <w:r>
        <w:rPr>
          <w:color w:val="000000"/>
        </w:rPr>
        <w:fldChar w:fldCharType="separate"/>
      </w:r>
      <w:r>
        <w:rPr>
          <w:color w:val="000000"/>
        </w:rPr>
        <w:t>13</w:t>
      </w:r>
      <w:r>
        <w:rPr>
          <w:rFonts w:hint="eastAsia"/>
          <w:color w:val="000000"/>
        </w:rPr>
        <w:fldChar w:fldCharType="end"/>
      </w:r>
      <w:r>
        <w:rPr>
          <w:rStyle w:val="10"/>
          <w:rFonts w:hint="eastAsia"/>
          <w:color w:val="000000"/>
        </w:rPr>
        <w:fldChar w:fldCharType="end"/>
      </w:r>
    </w:p>
    <w:p w14:paraId="6FD06C22">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"_Toc229673030"</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2、推动传统商圈品质提升</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_Toc229673030 \h</w:instrText>
      </w:r>
      <w:r>
        <w:rPr>
          <w:rFonts w:hint="eastAsia"/>
          <w:color w:val="000000"/>
        </w:rPr>
        <w:instrText xml:space="preserve"> </w:instrText>
      </w:r>
      <w:r>
        <w:rPr>
          <w:color w:val="000000"/>
        </w:rPr>
        <w:fldChar w:fldCharType="separate"/>
      </w:r>
      <w:r>
        <w:rPr>
          <w:color w:val="000000"/>
        </w:rPr>
        <w:t>14</w:t>
      </w:r>
      <w:r>
        <w:rPr>
          <w:rFonts w:hint="eastAsia"/>
          <w:color w:val="000000"/>
        </w:rPr>
        <w:fldChar w:fldCharType="end"/>
      </w:r>
      <w:r>
        <w:rPr>
          <w:rStyle w:val="10"/>
          <w:rFonts w:hint="eastAsia"/>
          <w:color w:val="000000"/>
        </w:rPr>
        <w:fldChar w:fldCharType="end"/>
      </w:r>
    </w:p>
    <w:p w14:paraId="6136704A">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"_Toc229673031"</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3、培育特色品牌商业街区</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_Toc229673031 \h</w:instrText>
      </w:r>
      <w:r>
        <w:rPr>
          <w:rFonts w:hint="eastAsia"/>
          <w:color w:val="000000"/>
        </w:rPr>
        <w:instrText xml:space="preserve"> </w:instrText>
      </w:r>
      <w:r>
        <w:rPr>
          <w:color w:val="000000"/>
        </w:rPr>
        <w:fldChar w:fldCharType="separate"/>
      </w:r>
      <w:r>
        <w:rPr>
          <w:color w:val="000000"/>
        </w:rPr>
        <w:t>15</w:t>
      </w:r>
      <w:r>
        <w:rPr>
          <w:rFonts w:hint="eastAsia"/>
          <w:color w:val="000000"/>
        </w:rPr>
        <w:fldChar w:fldCharType="end"/>
      </w:r>
      <w:r>
        <w:rPr>
          <w:rStyle w:val="10"/>
          <w:rFonts w:hint="eastAsia"/>
          <w:color w:val="000000"/>
        </w:rPr>
        <w:fldChar w:fldCharType="end"/>
      </w:r>
    </w:p>
    <w:p w14:paraId="6FEBF77B">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4、打造便民生活圈升级版</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_Toc229673032 \h</w:instrText>
      </w:r>
      <w:r>
        <w:rPr>
          <w:rFonts w:hint="eastAsia"/>
          <w:color w:val="000000"/>
        </w:rPr>
        <w:instrText xml:space="preserve"> </w:instrText>
      </w:r>
      <w:r>
        <w:rPr>
          <w:color w:val="000000"/>
        </w:rPr>
        <w:fldChar w:fldCharType="separate"/>
      </w:r>
      <w:r>
        <w:rPr>
          <w:color w:val="000000"/>
        </w:rPr>
        <w:t>16</w:t>
      </w:r>
      <w:r>
        <w:rPr>
          <w:rFonts w:hint="eastAsia"/>
          <w:color w:val="000000"/>
        </w:rPr>
        <w:fldChar w:fldCharType="end"/>
      </w:r>
      <w:r>
        <w:rPr>
          <w:rStyle w:val="10"/>
          <w:rFonts w:hint="eastAsia"/>
          <w:color w:val="000000"/>
        </w:rPr>
        <w:fldChar w:fldCharType="end"/>
      </w:r>
    </w:p>
    <w:p w14:paraId="659460B9">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"_Toc229673033"</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5、完善县域商业网络设施</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_Toc229673033 \h</w:instrText>
      </w:r>
      <w:r>
        <w:rPr>
          <w:rFonts w:hint="eastAsia"/>
          <w:color w:val="000000"/>
        </w:rPr>
        <w:instrText xml:space="preserve"> </w:instrText>
      </w:r>
      <w:r>
        <w:rPr>
          <w:color w:val="000000"/>
        </w:rPr>
        <w:fldChar w:fldCharType="separate"/>
      </w:r>
      <w:r>
        <w:rPr>
          <w:color w:val="000000"/>
        </w:rPr>
        <w:t>17</w:t>
      </w:r>
      <w:r>
        <w:rPr>
          <w:rFonts w:hint="eastAsia"/>
          <w:color w:val="000000"/>
        </w:rPr>
        <w:fldChar w:fldCharType="end"/>
      </w:r>
      <w:r>
        <w:rPr>
          <w:rStyle w:val="10"/>
          <w:rFonts w:hint="eastAsia"/>
          <w:color w:val="000000"/>
        </w:rPr>
        <w:fldChar w:fldCharType="end"/>
      </w:r>
    </w:p>
    <w:p w14:paraId="27AD479C">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"_Toc229673034"</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（二）提升消费体系能级</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_Toc229673034 \h</w:instrText>
      </w:r>
      <w:r>
        <w:rPr>
          <w:rFonts w:hint="eastAsia"/>
          <w:color w:val="000000"/>
        </w:rPr>
        <w:instrText xml:space="preserve"> </w:instrText>
      </w:r>
      <w:r>
        <w:rPr>
          <w:color w:val="000000"/>
        </w:rPr>
        <w:fldChar w:fldCharType="separate"/>
      </w:r>
      <w:r>
        <w:rPr>
          <w:color w:val="000000"/>
        </w:rPr>
        <w:t>18</w:t>
      </w:r>
      <w:r>
        <w:rPr>
          <w:rFonts w:hint="eastAsia"/>
          <w:color w:val="000000"/>
        </w:rPr>
        <w:fldChar w:fldCharType="end"/>
      </w:r>
      <w:r>
        <w:rPr>
          <w:rStyle w:val="10"/>
          <w:rFonts w:hint="eastAsia"/>
          <w:color w:val="000000"/>
        </w:rPr>
        <w:fldChar w:fldCharType="end"/>
      </w:r>
    </w:p>
    <w:p w14:paraId="5825C443">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"_Toc229673035"</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1、提档升级商品“爽购”消费</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_Toc229673035 \h</w:instrText>
      </w:r>
      <w:r>
        <w:rPr>
          <w:rFonts w:hint="eastAsia"/>
          <w:color w:val="000000"/>
        </w:rPr>
        <w:instrText xml:space="preserve"> </w:instrText>
      </w:r>
      <w:r>
        <w:rPr>
          <w:color w:val="000000"/>
        </w:rPr>
        <w:fldChar w:fldCharType="separate"/>
      </w:r>
      <w:r>
        <w:rPr>
          <w:color w:val="000000"/>
        </w:rPr>
        <w:t>18</w:t>
      </w:r>
      <w:r>
        <w:rPr>
          <w:rFonts w:hint="eastAsia"/>
          <w:color w:val="000000"/>
        </w:rPr>
        <w:fldChar w:fldCharType="end"/>
      </w:r>
      <w:r>
        <w:rPr>
          <w:rStyle w:val="10"/>
          <w:rFonts w:hint="eastAsia"/>
          <w:color w:val="000000"/>
        </w:rPr>
        <w:fldChar w:fldCharType="end"/>
      </w:r>
    </w:p>
    <w:p w14:paraId="7171C354">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"_Toc229673036"</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2、扩大精美餐饮“爽口”消费</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_Toc229673036 \h</w:instrText>
      </w:r>
      <w:r>
        <w:rPr>
          <w:rFonts w:hint="eastAsia"/>
          <w:color w:val="000000"/>
        </w:rPr>
        <w:instrText xml:space="preserve"> </w:instrText>
      </w:r>
      <w:r>
        <w:rPr>
          <w:color w:val="000000"/>
        </w:rPr>
        <w:fldChar w:fldCharType="separate"/>
      </w:r>
      <w:r>
        <w:rPr>
          <w:color w:val="000000"/>
        </w:rPr>
        <w:t>19</w:t>
      </w:r>
      <w:r>
        <w:rPr>
          <w:rFonts w:hint="eastAsia"/>
          <w:color w:val="000000"/>
        </w:rPr>
        <w:fldChar w:fldCharType="end"/>
      </w:r>
      <w:r>
        <w:rPr>
          <w:rStyle w:val="10"/>
          <w:rFonts w:hint="eastAsia"/>
          <w:color w:val="000000"/>
        </w:rPr>
        <w:fldChar w:fldCharType="end"/>
      </w:r>
    </w:p>
    <w:p w14:paraId="6FCF7068">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"_Toc229673037"</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3、打响贵阳家政服务品牌</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_Toc229673037 \h</w:instrText>
      </w:r>
      <w:r>
        <w:rPr>
          <w:rFonts w:hint="eastAsia"/>
          <w:color w:val="000000"/>
        </w:rPr>
        <w:instrText xml:space="preserve"> </w:instrText>
      </w:r>
      <w:r>
        <w:rPr>
          <w:color w:val="000000"/>
        </w:rPr>
        <w:fldChar w:fldCharType="separate"/>
      </w:r>
      <w:r>
        <w:rPr>
          <w:color w:val="000000"/>
        </w:rPr>
        <w:t>22</w:t>
      </w:r>
      <w:r>
        <w:rPr>
          <w:rFonts w:hint="eastAsia"/>
          <w:color w:val="000000"/>
        </w:rPr>
        <w:fldChar w:fldCharType="end"/>
      </w:r>
      <w:r>
        <w:rPr>
          <w:rStyle w:val="10"/>
          <w:rFonts w:hint="eastAsia"/>
          <w:color w:val="000000"/>
        </w:rPr>
        <w:fldChar w:fldCharType="end"/>
      </w:r>
    </w:p>
    <w:p w14:paraId="027B9D31">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"_Toc229673038"</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4、深化商旅文体健融合发展</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_Toc229673038 \h</w:instrText>
      </w:r>
      <w:r>
        <w:rPr>
          <w:rFonts w:hint="eastAsia"/>
          <w:color w:val="000000"/>
        </w:rPr>
        <w:instrText xml:space="preserve"> </w:instrText>
      </w:r>
      <w:r>
        <w:rPr>
          <w:color w:val="000000"/>
        </w:rPr>
        <w:fldChar w:fldCharType="separate"/>
      </w:r>
      <w:r>
        <w:rPr>
          <w:color w:val="000000"/>
        </w:rPr>
        <w:t>23</w:t>
      </w:r>
      <w:r>
        <w:rPr>
          <w:rFonts w:hint="eastAsia"/>
          <w:color w:val="000000"/>
        </w:rPr>
        <w:fldChar w:fldCharType="end"/>
      </w:r>
      <w:r>
        <w:rPr>
          <w:rStyle w:val="10"/>
          <w:rFonts w:hint="eastAsia"/>
          <w:color w:val="000000"/>
        </w:rPr>
        <w:fldChar w:fldCharType="end"/>
      </w:r>
    </w:p>
    <w:p w14:paraId="7A63A9ED">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"_Toc229673039"</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5、打造数字消费地标城市</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_Toc229673039 \h</w:instrText>
      </w:r>
      <w:r>
        <w:rPr>
          <w:rFonts w:hint="eastAsia"/>
          <w:color w:val="000000"/>
        </w:rPr>
        <w:instrText xml:space="preserve"> </w:instrText>
      </w:r>
      <w:r>
        <w:rPr>
          <w:color w:val="000000"/>
        </w:rPr>
        <w:fldChar w:fldCharType="separate"/>
      </w:r>
      <w:r>
        <w:rPr>
          <w:color w:val="000000"/>
        </w:rPr>
        <w:t>25</w:t>
      </w:r>
      <w:r>
        <w:rPr>
          <w:rFonts w:hint="eastAsia"/>
          <w:color w:val="000000"/>
        </w:rPr>
        <w:fldChar w:fldCharType="end"/>
      </w:r>
      <w:r>
        <w:rPr>
          <w:rStyle w:val="10"/>
          <w:rFonts w:hint="eastAsia"/>
          <w:color w:val="000000"/>
        </w:rPr>
        <w:fldChar w:fldCharType="end"/>
      </w:r>
    </w:p>
    <w:p w14:paraId="21104452">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"_Toc229673040"</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6、创新培育多元消费场景</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_Toc229673040 \h</w:instrText>
      </w:r>
      <w:r>
        <w:rPr>
          <w:rFonts w:hint="eastAsia"/>
          <w:color w:val="000000"/>
        </w:rPr>
        <w:instrText xml:space="preserve"> </w:instrText>
      </w:r>
      <w:r>
        <w:rPr>
          <w:color w:val="000000"/>
        </w:rPr>
        <w:fldChar w:fldCharType="separate"/>
      </w:r>
      <w:r>
        <w:rPr>
          <w:color w:val="000000"/>
        </w:rPr>
        <w:t>26</w:t>
      </w:r>
      <w:r>
        <w:rPr>
          <w:rFonts w:hint="eastAsia"/>
          <w:color w:val="000000"/>
        </w:rPr>
        <w:fldChar w:fldCharType="end"/>
      </w:r>
      <w:r>
        <w:rPr>
          <w:rStyle w:val="10"/>
          <w:rFonts w:hint="eastAsia"/>
          <w:color w:val="000000"/>
        </w:rPr>
        <w:fldChar w:fldCharType="end"/>
      </w:r>
    </w:p>
    <w:p w14:paraId="210F79E8">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"_Toc229673041"</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（三）汇聚优质商贸主体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_Toc229673041 \h</w:instrText>
      </w:r>
      <w:r>
        <w:rPr>
          <w:rFonts w:hint="eastAsia"/>
          <w:color w:val="000000"/>
        </w:rPr>
        <w:instrText xml:space="preserve"> </w:instrText>
      </w:r>
      <w:r>
        <w:rPr>
          <w:color w:val="000000"/>
        </w:rPr>
        <w:fldChar w:fldCharType="separate"/>
      </w:r>
      <w:r>
        <w:rPr>
          <w:color w:val="000000"/>
        </w:rPr>
        <w:t>28</w:t>
      </w:r>
      <w:r>
        <w:rPr>
          <w:rFonts w:hint="eastAsia"/>
          <w:color w:val="000000"/>
        </w:rPr>
        <w:fldChar w:fldCharType="end"/>
      </w:r>
      <w:r>
        <w:rPr>
          <w:rStyle w:val="10"/>
          <w:rFonts w:hint="eastAsia"/>
          <w:color w:val="000000"/>
        </w:rPr>
        <w:fldChar w:fldCharType="end"/>
      </w:r>
    </w:p>
    <w:p w14:paraId="613B6A7E">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1、集聚优质品牌首店首发</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_Toc229673042 \h</w:instrText>
      </w:r>
      <w:r>
        <w:rPr>
          <w:rFonts w:hint="eastAsia"/>
          <w:color w:val="000000"/>
        </w:rPr>
        <w:instrText xml:space="preserve"> </w:instrText>
      </w:r>
      <w:r>
        <w:rPr>
          <w:color w:val="000000"/>
        </w:rPr>
        <w:fldChar w:fldCharType="separate"/>
      </w:r>
      <w:r>
        <w:rPr>
          <w:color w:val="000000"/>
        </w:rPr>
        <w:t>28</w:t>
      </w:r>
      <w:r>
        <w:rPr>
          <w:rFonts w:hint="eastAsia"/>
          <w:color w:val="000000"/>
        </w:rPr>
        <w:fldChar w:fldCharType="end"/>
      </w:r>
      <w:r>
        <w:rPr>
          <w:rStyle w:val="10"/>
          <w:rFonts w:hint="eastAsia"/>
          <w:color w:val="000000"/>
        </w:rPr>
        <w:fldChar w:fldCharType="end"/>
      </w:r>
    </w:p>
    <w:p w14:paraId="15755AF1">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"_Toc229673043"</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2、推动老字号品牌传承创新</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_Toc229673043 \h</w:instrText>
      </w:r>
      <w:r>
        <w:rPr>
          <w:rFonts w:hint="eastAsia"/>
          <w:color w:val="000000"/>
        </w:rPr>
        <w:instrText xml:space="preserve"> </w:instrText>
      </w:r>
      <w:r>
        <w:rPr>
          <w:color w:val="000000"/>
        </w:rPr>
        <w:fldChar w:fldCharType="separate"/>
      </w:r>
      <w:r>
        <w:rPr>
          <w:color w:val="000000"/>
        </w:rPr>
        <w:t>29</w:t>
      </w:r>
      <w:r>
        <w:rPr>
          <w:rFonts w:hint="eastAsia"/>
          <w:color w:val="000000"/>
        </w:rPr>
        <w:fldChar w:fldCharType="end"/>
      </w:r>
      <w:r>
        <w:rPr>
          <w:rStyle w:val="10"/>
          <w:rFonts w:hint="eastAsia"/>
          <w:color w:val="000000"/>
        </w:rPr>
        <w:fldChar w:fldCharType="end"/>
      </w:r>
    </w:p>
    <w:p w14:paraId="68A117E4">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"_Toc229673044"</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3、促进商贸企业发展壮大</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_Toc229673044 \h</w:instrText>
      </w:r>
      <w:r>
        <w:rPr>
          <w:rFonts w:hint="eastAsia"/>
          <w:color w:val="000000"/>
        </w:rPr>
        <w:instrText xml:space="preserve"> </w:instrText>
      </w:r>
      <w:r>
        <w:rPr>
          <w:color w:val="000000"/>
        </w:rPr>
        <w:fldChar w:fldCharType="separate"/>
      </w:r>
      <w:r>
        <w:rPr>
          <w:color w:val="000000"/>
        </w:rPr>
        <w:t>29</w:t>
      </w:r>
      <w:r>
        <w:rPr>
          <w:rFonts w:hint="eastAsia"/>
          <w:color w:val="000000"/>
        </w:rPr>
        <w:fldChar w:fldCharType="end"/>
      </w:r>
      <w:r>
        <w:rPr>
          <w:rStyle w:val="10"/>
          <w:rFonts w:hint="eastAsia"/>
          <w:color w:val="000000"/>
        </w:rPr>
        <w:fldChar w:fldCharType="end"/>
      </w:r>
    </w:p>
    <w:p w14:paraId="75A886EA">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"_Toc229673045"</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（四）完善现代流通体系</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_Toc229673045 \h</w:instrText>
      </w:r>
      <w:r>
        <w:rPr>
          <w:rFonts w:hint="eastAsia"/>
          <w:color w:val="000000"/>
        </w:rPr>
        <w:instrText xml:space="preserve"> </w:instrText>
      </w:r>
      <w:r>
        <w:rPr>
          <w:color w:val="000000"/>
        </w:rPr>
        <w:fldChar w:fldCharType="separate"/>
      </w:r>
      <w:r>
        <w:rPr>
          <w:color w:val="000000"/>
        </w:rPr>
        <w:t>30</w:t>
      </w:r>
      <w:r>
        <w:rPr>
          <w:rFonts w:hint="eastAsia"/>
          <w:color w:val="000000"/>
        </w:rPr>
        <w:fldChar w:fldCharType="end"/>
      </w:r>
      <w:r>
        <w:rPr>
          <w:rStyle w:val="10"/>
          <w:rFonts w:hint="eastAsia"/>
          <w:color w:val="000000"/>
        </w:rPr>
        <w:fldChar w:fldCharType="end"/>
      </w:r>
    </w:p>
    <w:p w14:paraId="708CC898">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"_Toc229673046"</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1、推动商品市场转型升级</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_Toc229673046 \h</w:instrText>
      </w:r>
      <w:r>
        <w:rPr>
          <w:rFonts w:hint="eastAsia"/>
          <w:color w:val="000000"/>
        </w:rPr>
        <w:instrText xml:space="preserve"> </w:instrText>
      </w:r>
      <w:r>
        <w:rPr>
          <w:color w:val="000000"/>
        </w:rPr>
        <w:fldChar w:fldCharType="separate"/>
      </w:r>
      <w:r>
        <w:rPr>
          <w:color w:val="000000"/>
        </w:rPr>
        <w:t>30</w:t>
      </w:r>
      <w:r>
        <w:rPr>
          <w:rFonts w:hint="eastAsia"/>
          <w:color w:val="000000"/>
        </w:rPr>
        <w:fldChar w:fldCharType="end"/>
      </w:r>
      <w:r>
        <w:rPr>
          <w:rStyle w:val="10"/>
          <w:rFonts w:hint="eastAsia"/>
          <w:color w:val="000000"/>
        </w:rPr>
        <w:fldChar w:fldCharType="end"/>
      </w:r>
    </w:p>
    <w:p w14:paraId="2E7FAEFA">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"_Toc229673047"</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2、畅通农产品流通渠道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_Toc229673047 \h</w:instrText>
      </w:r>
      <w:r>
        <w:rPr>
          <w:rFonts w:hint="eastAsia"/>
          <w:color w:val="000000"/>
        </w:rPr>
        <w:instrText xml:space="preserve"> </w:instrText>
      </w:r>
      <w:r>
        <w:rPr>
          <w:color w:val="000000"/>
        </w:rPr>
        <w:fldChar w:fldCharType="separate"/>
      </w:r>
      <w:r>
        <w:rPr>
          <w:color w:val="000000"/>
        </w:rPr>
        <w:t>32</w:t>
      </w:r>
      <w:r>
        <w:rPr>
          <w:rFonts w:hint="eastAsia"/>
          <w:color w:val="000000"/>
        </w:rPr>
        <w:fldChar w:fldCharType="end"/>
      </w:r>
      <w:r>
        <w:rPr>
          <w:rStyle w:val="10"/>
          <w:rFonts w:hint="eastAsia"/>
          <w:color w:val="000000"/>
        </w:rPr>
        <w:fldChar w:fldCharType="end"/>
      </w:r>
    </w:p>
    <w:p w14:paraId="1E8767FA">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"_Toc229673048"</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3、促进汽车流通消费扩围</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_Toc229673048 \h</w:instrText>
      </w:r>
      <w:r>
        <w:rPr>
          <w:rFonts w:hint="eastAsia"/>
          <w:color w:val="000000"/>
        </w:rPr>
        <w:instrText xml:space="preserve"> </w:instrText>
      </w:r>
      <w:r>
        <w:rPr>
          <w:color w:val="000000"/>
        </w:rPr>
        <w:fldChar w:fldCharType="separate"/>
      </w:r>
      <w:r>
        <w:rPr>
          <w:color w:val="000000"/>
        </w:rPr>
        <w:t>33</w:t>
      </w:r>
      <w:r>
        <w:rPr>
          <w:rFonts w:hint="eastAsia"/>
          <w:color w:val="000000"/>
        </w:rPr>
        <w:fldChar w:fldCharType="end"/>
      </w:r>
      <w:r>
        <w:rPr>
          <w:rStyle w:val="10"/>
          <w:rFonts w:hint="eastAsia"/>
          <w:color w:val="000000"/>
        </w:rPr>
        <w:fldChar w:fldCharType="end"/>
      </w:r>
    </w:p>
    <w:p w14:paraId="03DA9299">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"_Toc229673049"</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4、加快发展现代商贸物流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_Toc229673049 \h</w:instrText>
      </w:r>
      <w:r>
        <w:rPr>
          <w:rFonts w:hint="eastAsia"/>
          <w:color w:val="000000"/>
        </w:rPr>
        <w:instrText xml:space="preserve"> </w:instrText>
      </w:r>
      <w:r>
        <w:rPr>
          <w:color w:val="000000"/>
        </w:rPr>
        <w:fldChar w:fldCharType="separate"/>
      </w:r>
      <w:r>
        <w:rPr>
          <w:color w:val="000000"/>
        </w:rPr>
        <w:t>35</w:t>
      </w:r>
      <w:r>
        <w:rPr>
          <w:rFonts w:hint="eastAsia"/>
          <w:color w:val="000000"/>
        </w:rPr>
        <w:fldChar w:fldCharType="end"/>
      </w:r>
      <w:r>
        <w:rPr>
          <w:rStyle w:val="10"/>
          <w:rFonts w:hint="eastAsia"/>
          <w:color w:val="000000"/>
        </w:rPr>
        <w:fldChar w:fldCharType="end"/>
      </w:r>
    </w:p>
    <w:p w14:paraId="508B4FE1">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"_Toc229673050"</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5、健全特种行业流通体系</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_Toc229673050 \h</w:instrText>
      </w:r>
      <w:r>
        <w:rPr>
          <w:rFonts w:hint="eastAsia"/>
          <w:color w:val="000000"/>
        </w:rPr>
        <w:instrText xml:space="preserve"> </w:instrText>
      </w:r>
      <w:r>
        <w:rPr>
          <w:color w:val="000000"/>
        </w:rPr>
        <w:fldChar w:fldCharType="separate"/>
      </w:r>
      <w:r>
        <w:rPr>
          <w:color w:val="000000"/>
        </w:rPr>
        <w:t>37</w:t>
      </w:r>
      <w:r>
        <w:rPr>
          <w:rFonts w:hint="eastAsia"/>
          <w:color w:val="000000"/>
        </w:rPr>
        <w:fldChar w:fldCharType="end"/>
      </w:r>
      <w:r>
        <w:rPr>
          <w:rStyle w:val="10"/>
          <w:rFonts w:hint="eastAsia"/>
          <w:color w:val="000000"/>
        </w:rPr>
        <w:fldChar w:fldCharType="end"/>
      </w:r>
    </w:p>
    <w:p w14:paraId="2BEACA0B">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"_Toc229673051"</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（五）加快商贸数绿转型</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_Toc229673051 \h</w:instrText>
      </w:r>
      <w:r>
        <w:rPr>
          <w:rFonts w:hint="eastAsia"/>
          <w:color w:val="000000"/>
        </w:rPr>
        <w:instrText xml:space="preserve"> </w:instrText>
      </w:r>
      <w:r>
        <w:rPr>
          <w:color w:val="000000"/>
        </w:rPr>
        <w:fldChar w:fldCharType="separate"/>
      </w:r>
      <w:r>
        <w:rPr>
          <w:color w:val="000000"/>
        </w:rPr>
        <w:t>38</w:t>
      </w:r>
      <w:r>
        <w:rPr>
          <w:rFonts w:hint="eastAsia"/>
          <w:color w:val="000000"/>
        </w:rPr>
        <w:fldChar w:fldCharType="end"/>
      </w:r>
      <w:r>
        <w:rPr>
          <w:rStyle w:val="10"/>
          <w:rFonts w:hint="eastAsia"/>
          <w:color w:val="000000"/>
        </w:rPr>
        <w:fldChar w:fldCharType="end"/>
      </w:r>
    </w:p>
    <w:p w14:paraId="349FAAD3">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1、深化数字赋能商贸转型</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_Toc229673052 \h</w:instrText>
      </w:r>
      <w:r>
        <w:rPr>
          <w:rFonts w:hint="eastAsia"/>
          <w:color w:val="000000"/>
        </w:rPr>
        <w:instrText xml:space="preserve"> </w:instrText>
      </w:r>
      <w:r>
        <w:rPr>
          <w:color w:val="000000"/>
        </w:rPr>
        <w:fldChar w:fldCharType="separate"/>
      </w:r>
      <w:r>
        <w:rPr>
          <w:color w:val="000000"/>
        </w:rPr>
        <w:t>38</w:t>
      </w:r>
      <w:r>
        <w:rPr>
          <w:rFonts w:hint="eastAsia"/>
          <w:color w:val="000000"/>
        </w:rPr>
        <w:fldChar w:fldCharType="end"/>
      </w:r>
      <w:r>
        <w:rPr>
          <w:rStyle w:val="10"/>
          <w:rFonts w:hint="eastAsia"/>
          <w:color w:val="000000"/>
        </w:rPr>
        <w:fldChar w:fldCharType="end"/>
      </w:r>
    </w:p>
    <w:p w14:paraId="6BD61CB6">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"_Toc229673053"</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2、推进商贸领域绿色发展</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_Toc229673053 \h</w:instrText>
      </w:r>
      <w:r>
        <w:rPr>
          <w:rFonts w:hint="eastAsia"/>
          <w:color w:val="000000"/>
        </w:rPr>
        <w:instrText xml:space="preserve"> </w:instrText>
      </w:r>
      <w:r>
        <w:rPr>
          <w:color w:val="000000"/>
        </w:rPr>
        <w:fldChar w:fldCharType="separate"/>
      </w:r>
      <w:r>
        <w:rPr>
          <w:color w:val="000000"/>
        </w:rPr>
        <w:t>39</w:t>
      </w:r>
      <w:r>
        <w:rPr>
          <w:rFonts w:hint="eastAsia"/>
          <w:color w:val="000000"/>
        </w:rPr>
        <w:fldChar w:fldCharType="end"/>
      </w:r>
      <w:r>
        <w:rPr>
          <w:rStyle w:val="10"/>
          <w:rFonts w:hint="eastAsia"/>
          <w:color w:val="000000"/>
        </w:rPr>
        <w:fldChar w:fldCharType="end"/>
      </w:r>
    </w:p>
    <w:p w14:paraId="4519F781">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"_Toc229673054"</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（六）激发楼宇经济活力</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_Toc229673054 \h</w:instrText>
      </w:r>
      <w:r>
        <w:rPr>
          <w:rFonts w:hint="eastAsia"/>
          <w:color w:val="000000"/>
        </w:rPr>
        <w:instrText xml:space="preserve"> </w:instrText>
      </w:r>
      <w:r>
        <w:rPr>
          <w:color w:val="000000"/>
        </w:rPr>
        <w:fldChar w:fldCharType="separate"/>
      </w:r>
      <w:r>
        <w:rPr>
          <w:color w:val="000000"/>
        </w:rPr>
        <w:t>41</w:t>
      </w:r>
      <w:r>
        <w:rPr>
          <w:rFonts w:hint="eastAsia"/>
          <w:color w:val="000000"/>
        </w:rPr>
        <w:fldChar w:fldCharType="end"/>
      </w:r>
      <w:r>
        <w:rPr>
          <w:rStyle w:val="10"/>
          <w:rFonts w:hint="eastAsia"/>
          <w:color w:val="000000"/>
        </w:rPr>
        <w:fldChar w:fldCharType="end"/>
      </w:r>
    </w:p>
    <w:p w14:paraId="577348C8">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"_Toc229673055"</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1、突出“一楼一业”</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_Toc229673055 \h</w:instrText>
      </w:r>
      <w:r>
        <w:rPr>
          <w:rFonts w:hint="eastAsia"/>
          <w:color w:val="000000"/>
        </w:rPr>
        <w:instrText xml:space="preserve"> </w:instrText>
      </w:r>
      <w:r>
        <w:rPr>
          <w:color w:val="000000"/>
        </w:rPr>
        <w:fldChar w:fldCharType="separate"/>
      </w:r>
      <w:r>
        <w:rPr>
          <w:color w:val="000000"/>
        </w:rPr>
        <w:t>41</w:t>
      </w:r>
      <w:r>
        <w:rPr>
          <w:rFonts w:hint="eastAsia"/>
          <w:color w:val="000000"/>
        </w:rPr>
        <w:fldChar w:fldCharType="end"/>
      </w:r>
      <w:r>
        <w:rPr>
          <w:rStyle w:val="10"/>
          <w:rFonts w:hint="eastAsia"/>
          <w:color w:val="000000"/>
        </w:rPr>
        <w:fldChar w:fldCharType="end"/>
      </w:r>
    </w:p>
    <w:p w14:paraId="528C7E53">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"_Toc229673056"</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2、突出“一楼一策”</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_Toc229673056 \h</w:instrText>
      </w:r>
      <w:r>
        <w:rPr>
          <w:rFonts w:hint="eastAsia"/>
          <w:color w:val="000000"/>
        </w:rPr>
        <w:instrText xml:space="preserve"> </w:instrText>
      </w:r>
      <w:r>
        <w:rPr>
          <w:color w:val="000000"/>
        </w:rPr>
        <w:fldChar w:fldCharType="separate"/>
      </w:r>
      <w:r>
        <w:rPr>
          <w:color w:val="000000"/>
        </w:rPr>
        <w:t>41</w:t>
      </w:r>
      <w:r>
        <w:rPr>
          <w:rFonts w:hint="eastAsia"/>
          <w:color w:val="000000"/>
        </w:rPr>
        <w:fldChar w:fldCharType="end"/>
      </w:r>
      <w:r>
        <w:rPr>
          <w:rStyle w:val="10"/>
          <w:rFonts w:hint="eastAsia"/>
          <w:color w:val="000000"/>
        </w:rPr>
        <w:fldChar w:fldCharType="end"/>
      </w:r>
    </w:p>
    <w:p w14:paraId="5FD8BB35">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"_Toc229673057"</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3、突出“一楼一班”</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_Toc229673057 \h</w:instrText>
      </w:r>
      <w:r>
        <w:rPr>
          <w:rFonts w:hint="eastAsia"/>
          <w:color w:val="000000"/>
        </w:rPr>
        <w:instrText xml:space="preserve"> </w:instrText>
      </w:r>
      <w:r>
        <w:rPr>
          <w:color w:val="000000"/>
        </w:rPr>
        <w:fldChar w:fldCharType="separate"/>
      </w:r>
      <w:r>
        <w:rPr>
          <w:color w:val="000000"/>
        </w:rPr>
        <w:t>42</w:t>
      </w:r>
      <w:r>
        <w:rPr>
          <w:rFonts w:hint="eastAsia"/>
          <w:color w:val="000000"/>
        </w:rPr>
        <w:fldChar w:fldCharType="end"/>
      </w:r>
      <w:r>
        <w:rPr>
          <w:rStyle w:val="10"/>
          <w:rFonts w:hint="eastAsia"/>
          <w:color w:val="000000"/>
        </w:rPr>
        <w:fldChar w:fldCharType="end"/>
      </w:r>
    </w:p>
    <w:p w14:paraId="113A497C">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"_Toc229673058"</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4、突出“一楼一企”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_Toc229673058 \h</w:instrText>
      </w:r>
      <w:r>
        <w:rPr>
          <w:rFonts w:hint="eastAsia"/>
          <w:color w:val="000000"/>
        </w:rPr>
        <w:instrText xml:space="preserve"> </w:instrText>
      </w:r>
      <w:r>
        <w:rPr>
          <w:color w:val="000000"/>
        </w:rPr>
        <w:fldChar w:fldCharType="separate"/>
      </w:r>
      <w:r>
        <w:rPr>
          <w:color w:val="000000"/>
        </w:rPr>
        <w:t>42</w:t>
      </w:r>
      <w:r>
        <w:rPr>
          <w:rFonts w:hint="eastAsia"/>
          <w:color w:val="000000"/>
        </w:rPr>
        <w:fldChar w:fldCharType="end"/>
      </w:r>
      <w:r>
        <w:rPr>
          <w:rStyle w:val="10"/>
          <w:rFonts w:hint="eastAsia"/>
          <w:color w:val="000000"/>
        </w:rPr>
        <w:fldChar w:fldCharType="end"/>
      </w:r>
    </w:p>
    <w:p w14:paraId="3B21CEDE">
      <w:pPr>
        <w:pStyle w:val="6"/>
        <w:tabs>
          <w:tab w:val="right" w:leader="dot" w:pos="8296"/>
        </w:tabs>
        <w:spacing w:line="540" w:lineRule="exact"/>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"_Toc229673059"</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四、加快建设内陆开放型经济新</w:t>
      </w:r>
      <w:bookmarkStart w:id="1" w:name="_Hlt229674842"/>
      <w:bookmarkStart w:id="2" w:name="_Hlt229674841"/>
      <w:r>
        <w:rPr>
          <w:rStyle w:val="10"/>
          <w:rFonts w:hint="eastAsia" w:cs="黑体"/>
          <w:color w:val="000000"/>
        </w:rPr>
        <w:t>高</w:t>
      </w:r>
      <w:bookmarkEnd w:id="1"/>
      <w:bookmarkEnd w:id="2"/>
      <w:r>
        <w:rPr>
          <w:rStyle w:val="10"/>
          <w:rFonts w:hint="eastAsia" w:cs="黑体"/>
          <w:color w:val="000000"/>
        </w:rPr>
        <w:t>地先行区</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_Toc229673059 \h</w:instrText>
      </w:r>
      <w:r>
        <w:rPr>
          <w:rFonts w:hint="eastAsia"/>
          <w:color w:val="000000"/>
        </w:rPr>
        <w:instrText xml:space="preserve"> </w:instrText>
      </w:r>
      <w:r>
        <w:rPr>
          <w:color w:val="000000"/>
        </w:rPr>
        <w:fldChar w:fldCharType="separate"/>
      </w:r>
      <w:r>
        <w:rPr>
          <w:color w:val="000000"/>
        </w:rPr>
        <w:t>43</w:t>
      </w:r>
      <w:r>
        <w:rPr>
          <w:rFonts w:hint="eastAsia"/>
          <w:color w:val="000000"/>
        </w:rPr>
        <w:fldChar w:fldCharType="end"/>
      </w:r>
      <w:r>
        <w:rPr>
          <w:rStyle w:val="10"/>
          <w:rFonts w:hint="eastAsia"/>
          <w:color w:val="000000"/>
        </w:rPr>
        <w:fldChar w:fldCharType="end"/>
      </w:r>
    </w:p>
    <w:p w14:paraId="5774A0DA">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"_Toc229673060"</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（一）构建开放格局</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_Toc229673060 \h</w:instrText>
      </w:r>
      <w:r>
        <w:rPr>
          <w:rFonts w:hint="eastAsia"/>
          <w:color w:val="000000"/>
        </w:rPr>
        <w:instrText xml:space="preserve"> </w:instrText>
      </w:r>
      <w:r>
        <w:rPr>
          <w:color w:val="000000"/>
        </w:rPr>
        <w:fldChar w:fldCharType="separate"/>
      </w:r>
      <w:r>
        <w:rPr>
          <w:color w:val="000000"/>
        </w:rPr>
        <w:t>43</w:t>
      </w:r>
      <w:r>
        <w:rPr>
          <w:rFonts w:hint="eastAsia"/>
          <w:color w:val="000000"/>
        </w:rPr>
        <w:fldChar w:fldCharType="end"/>
      </w:r>
      <w:r>
        <w:rPr>
          <w:rStyle w:val="10"/>
          <w:rFonts w:hint="eastAsia"/>
          <w:color w:val="000000"/>
        </w:rPr>
        <w:fldChar w:fldCharType="end"/>
      </w:r>
    </w:p>
    <w:p w14:paraId="08E83042">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"_Toc229673061"</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1、落实国家开放战略</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_Toc229673061 \h</w:instrText>
      </w:r>
      <w:r>
        <w:rPr>
          <w:rFonts w:hint="eastAsia"/>
          <w:color w:val="000000"/>
        </w:rPr>
        <w:instrText xml:space="preserve"> </w:instrText>
      </w:r>
      <w:r>
        <w:rPr>
          <w:color w:val="000000"/>
        </w:rPr>
        <w:fldChar w:fldCharType="separate"/>
      </w:r>
      <w:r>
        <w:rPr>
          <w:color w:val="000000"/>
        </w:rPr>
        <w:t>43</w:t>
      </w:r>
      <w:r>
        <w:rPr>
          <w:rFonts w:hint="eastAsia"/>
          <w:color w:val="000000"/>
        </w:rPr>
        <w:fldChar w:fldCharType="end"/>
      </w:r>
      <w:r>
        <w:rPr>
          <w:rStyle w:val="10"/>
          <w:rFonts w:hint="eastAsia"/>
          <w:color w:val="000000"/>
        </w:rPr>
        <w:fldChar w:fldCharType="end"/>
      </w:r>
    </w:p>
    <w:p w14:paraId="18045573">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2、融入区域开放格局</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_Toc229673062 \h</w:instrText>
      </w:r>
      <w:r>
        <w:rPr>
          <w:rFonts w:hint="eastAsia"/>
          <w:color w:val="000000"/>
        </w:rPr>
        <w:instrText xml:space="preserve"> </w:instrText>
      </w:r>
      <w:r>
        <w:rPr>
          <w:color w:val="000000"/>
        </w:rPr>
        <w:fldChar w:fldCharType="separate"/>
      </w:r>
      <w:r>
        <w:rPr>
          <w:color w:val="000000"/>
        </w:rPr>
        <w:t>44</w:t>
      </w:r>
      <w:r>
        <w:rPr>
          <w:rFonts w:hint="eastAsia"/>
          <w:color w:val="000000"/>
        </w:rPr>
        <w:fldChar w:fldCharType="end"/>
      </w:r>
      <w:r>
        <w:rPr>
          <w:rStyle w:val="10"/>
          <w:rFonts w:hint="eastAsia"/>
          <w:color w:val="000000"/>
        </w:rPr>
        <w:fldChar w:fldCharType="end"/>
      </w:r>
    </w:p>
    <w:p w14:paraId="16FA29D6">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"_Toc229673063"</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（二）拓宽开放通道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_Toc229673063 \h</w:instrText>
      </w:r>
      <w:r>
        <w:rPr>
          <w:rFonts w:hint="eastAsia"/>
          <w:color w:val="000000"/>
        </w:rPr>
        <w:instrText xml:space="preserve"> </w:instrText>
      </w:r>
      <w:r>
        <w:rPr>
          <w:color w:val="000000"/>
        </w:rPr>
        <w:fldChar w:fldCharType="separate"/>
      </w:r>
      <w:r>
        <w:rPr>
          <w:color w:val="000000"/>
        </w:rPr>
        <w:t>46</w:t>
      </w:r>
      <w:r>
        <w:rPr>
          <w:rFonts w:hint="eastAsia"/>
          <w:color w:val="000000"/>
        </w:rPr>
        <w:fldChar w:fldCharType="end"/>
      </w:r>
      <w:r>
        <w:rPr>
          <w:rStyle w:val="10"/>
          <w:rFonts w:hint="eastAsia"/>
          <w:color w:val="000000"/>
        </w:rPr>
        <w:fldChar w:fldCharType="end"/>
      </w:r>
    </w:p>
    <w:p w14:paraId="3BCC51E6">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"_Toc229673064"</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1、拓展航空通道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_Toc229673064 \h</w:instrText>
      </w:r>
      <w:r>
        <w:rPr>
          <w:rFonts w:hint="eastAsia"/>
          <w:color w:val="000000"/>
        </w:rPr>
        <w:instrText xml:space="preserve"> </w:instrText>
      </w:r>
      <w:r>
        <w:rPr>
          <w:color w:val="000000"/>
        </w:rPr>
        <w:fldChar w:fldCharType="separate"/>
      </w:r>
      <w:r>
        <w:rPr>
          <w:color w:val="000000"/>
        </w:rPr>
        <w:t>46</w:t>
      </w:r>
      <w:r>
        <w:rPr>
          <w:rFonts w:hint="eastAsia"/>
          <w:color w:val="000000"/>
        </w:rPr>
        <w:fldChar w:fldCharType="end"/>
      </w:r>
      <w:r>
        <w:rPr>
          <w:rStyle w:val="10"/>
          <w:rFonts w:hint="eastAsia"/>
          <w:color w:val="000000"/>
        </w:rPr>
        <w:fldChar w:fldCharType="end"/>
      </w:r>
    </w:p>
    <w:p w14:paraId="10B35A7B">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"_Toc229673065"</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2、拓展铁路通道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_Toc229673065 \h</w:instrText>
      </w:r>
      <w:r>
        <w:rPr>
          <w:rFonts w:hint="eastAsia"/>
          <w:color w:val="000000"/>
        </w:rPr>
        <w:instrText xml:space="preserve"> </w:instrText>
      </w:r>
      <w:r>
        <w:rPr>
          <w:color w:val="000000"/>
        </w:rPr>
        <w:fldChar w:fldCharType="separate"/>
      </w:r>
      <w:r>
        <w:rPr>
          <w:color w:val="000000"/>
        </w:rPr>
        <w:t>46</w:t>
      </w:r>
      <w:r>
        <w:rPr>
          <w:rFonts w:hint="eastAsia"/>
          <w:color w:val="000000"/>
        </w:rPr>
        <w:fldChar w:fldCharType="end"/>
      </w:r>
      <w:r>
        <w:rPr>
          <w:rStyle w:val="10"/>
          <w:rFonts w:hint="eastAsia"/>
          <w:color w:val="000000"/>
        </w:rPr>
        <w:fldChar w:fldCharType="end"/>
      </w:r>
    </w:p>
    <w:p w14:paraId="63041778">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"_Toc229673066"</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3、拓展公路通道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_Toc229673066 \h</w:instrText>
      </w:r>
      <w:r>
        <w:rPr>
          <w:rFonts w:hint="eastAsia"/>
          <w:color w:val="000000"/>
        </w:rPr>
        <w:instrText xml:space="preserve"> </w:instrText>
      </w:r>
      <w:r>
        <w:rPr>
          <w:color w:val="000000"/>
        </w:rPr>
        <w:fldChar w:fldCharType="separate"/>
      </w:r>
      <w:r>
        <w:rPr>
          <w:color w:val="000000"/>
        </w:rPr>
        <w:t>47</w:t>
      </w:r>
      <w:r>
        <w:rPr>
          <w:rFonts w:hint="eastAsia"/>
          <w:color w:val="000000"/>
        </w:rPr>
        <w:fldChar w:fldCharType="end"/>
      </w:r>
      <w:r>
        <w:rPr>
          <w:rStyle w:val="10"/>
          <w:rFonts w:hint="eastAsia"/>
          <w:color w:val="000000"/>
        </w:rPr>
        <w:fldChar w:fldCharType="end"/>
      </w:r>
    </w:p>
    <w:p w14:paraId="0FE551C7">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"_Toc229673067"</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4、建设前置仓体系</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_Toc229673067 \h</w:instrText>
      </w:r>
      <w:r>
        <w:rPr>
          <w:rFonts w:hint="eastAsia"/>
          <w:color w:val="000000"/>
        </w:rPr>
        <w:instrText xml:space="preserve"> </w:instrText>
      </w:r>
      <w:r>
        <w:rPr>
          <w:color w:val="000000"/>
        </w:rPr>
        <w:fldChar w:fldCharType="separate"/>
      </w:r>
      <w:r>
        <w:rPr>
          <w:color w:val="000000"/>
        </w:rPr>
        <w:t>47</w:t>
      </w:r>
      <w:r>
        <w:rPr>
          <w:rFonts w:hint="eastAsia"/>
          <w:color w:val="000000"/>
        </w:rPr>
        <w:fldChar w:fldCharType="end"/>
      </w:r>
      <w:r>
        <w:rPr>
          <w:rStyle w:val="10"/>
          <w:rFonts w:hint="eastAsia"/>
          <w:color w:val="000000"/>
        </w:rPr>
        <w:fldChar w:fldCharType="end"/>
      </w:r>
    </w:p>
    <w:p w14:paraId="5D555DCB">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"_Toc229673068"</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（三）建强开放平台</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_Toc229673068 \h</w:instrText>
      </w:r>
      <w:r>
        <w:rPr>
          <w:rFonts w:hint="eastAsia"/>
          <w:color w:val="000000"/>
        </w:rPr>
        <w:instrText xml:space="preserve"> </w:instrText>
      </w:r>
      <w:r>
        <w:rPr>
          <w:color w:val="000000"/>
        </w:rPr>
        <w:fldChar w:fldCharType="separate"/>
      </w:r>
      <w:r>
        <w:rPr>
          <w:color w:val="000000"/>
        </w:rPr>
        <w:t>48</w:t>
      </w:r>
      <w:r>
        <w:rPr>
          <w:rFonts w:hint="eastAsia"/>
          <w:color w:val="000000"/>
        </w:rPr>
        <w:fldChar w:fldCharType="end"/>
      </w:r>
      <w:r>
        <w:rPr>
          <w:rStyle w:val="10"/>
          <w:rFonts w:hint="eastAsia"/>
          <w:color w:val="000000"/>
        </w:rPr>
        <w:fldChar w:fldCharType="end"/>
      </w:r>
    </w:p>
    <w:p w14:paraId="63D14F9F">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"_Toc229673069"</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1、提升口岸建设和开放水平</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_Toc229673069 \h</w:instrText>
      </w:r>
      <w:r>
        <w:rPr>
          <w:rFonts w:hint="eastAsia"/>
          <w:color w:val="000000"/>
        </w:rPr>
        <w:instrText xml:space="preserve"> </w:instrText>
      </w:r>
      <w:r>
        <w:rPr>
          <w:color w:val="000000"/>
        </w:rPr>
        <w:fldChar w:fldCharType="separate"/>
      </w:r>
      <w:r>
        <w:rPr>
          <w:color w:val="000000"/>
        </w:rPr>
        <w:t>48</w:t>
      </w:r>
      <w:r>
        <w:rPr>
          <w:rFonts w:hint="eastAsia"/>
          <w:color w:val="000000"/>
        </w:rPr>
        <w:fldChar w:fldCharType="end"/>
      </w:r>
      <w:r>
        <w:rPr>
          <w:rStyle w:val="10"/>
          <w:rFonts w:hint="eastAsia"/>
          <w:color w:val="000000"/>
        </w:rPr>
        <w:fldChar w:fldCharType="end"/>
      </w:r>
    </w:p>
    <w:p w14:paraId="27145431">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"_Toc229673070"</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2、打造综保区开放主引擎</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_Toc229673070 \h</w:instrText>
      </w:r>
      <w:r>
        <w:rPr>
          <w:rFonts w:hint="eastAsia"/>
          <w:color w:val="000000"/>
        </w:rPr>
        <w:instrText xml:space="preserve"> </w:instrText>
      </w:r>
      <w:r>
        <w:rPr>
          <w:color w:val="000000"/>
        </w:rPr>
        <w:fldChar w:fldCharType="separate"/>
      </w:r>
      <w:r>
        <w:rPr>
          <w:color w:val="000000"/>
        </w:rPr>
        <w:t>49</w:t>
      </w:r>
      <w:r>
        <w:rPr>
          <w:rFonts w:hint="eastAsia"/>
          <w:color w:val="000000"/>
        </w:rPr>
        <w:fldChar w:fldCharType="end"/>
      </w:r>
      <w:r>
        <w:rPr>
          <w:rStyle w:val="10"/>
          <w:rFonts w:hint="eastAsia"/>
          <w:color w:val="000000"/>
        </w:rPr>
        <w:fldChar w:fldCharType="end"/>
      </w:r>
    </w:p>
    <w:p w14:paraId="4BF96A97">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"_Toc229673071"</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3、发挥开发区开放引领作用</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_Toc229673071 \h</w:instrText>
      </w:r>
      <w:r>
        <w:rPr>
          <w:rFonts w:hint="eastAsia"/>
          <w:color w:val="000000"/>
        </w:rPr>
        <w:instrText xml:space="preserve"> </w:instrText>
      </w:r>
      <w:r>
        <w:rPr>
          <w:color w:val="000000"/>
        </w:rPr>
        <w:fldChar w:fldCharType="separate"/>
      </w:r>
      <w:r>
        <w:rPr>
          <w:color w:val="000000"/>
        </w:rPr>
        <w:t>49</w:t>
      </w:r>
      <w:r>
        <w:rPr>
          <w:rFonts w:hint="eastAsia"/>
          <w:color w:val="000000"/>
        </w:rPr>
        <w:fldChar w:fldCharType="end"/>
      </w:r>
      <w:r>
        <w:rPr>
          <w:rStyle w:val="10"/>
          <w:rFonts w:hint="eastAsia"/>
          <w:color w:val="000000"/>
        </w:rPr>
        <w:fldChar w:fldCharType="end"/>
      </w:r>
    </w:p>
    <w:p w14:paraId="2CE879A1">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4、积极申建自由贸易试验区</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_Toc229673072 \h</w:instrText>
      </w:r>
      <w:r>
        <w:rPr>
          <w:rFonts w:hint="eastAsia"/>
          <w:color w:val="000000"/>
        </w:rPr>
        <w:instrText xml:space="preserve"> </w:instrText>
      </w:r>
      <w:r>
        <w:rPr>
          <w:color w:val="000000"/>
        </w:rPr>
        <w:fldChar w:fldCharType="separate"/>
      </w:r>
      <w:r>
        <w:rPr>
          <w:color w:val="000000"/>
        </w:rPr>
        <w:t>50</w:t>
      </w:r>
      <w:r>
        <w:rPr>
          <w:rFonts w:hint="eastAsia"/>
          <w:color w:val="000000"/>
        </w:rPr>
        <w:fldChar w:fldCharType="end"/>
      </w:r>
      <w:r>
        <w:rPr>
          <w:rStyle w:val="10"/>
          <w:rFonts w:hint="eastAsia"/>
          <w:color w:val="000000"/>
        </w:rPr>
        <w:fldChar w:fldCharType="end"/>
      </w:r>
    </w:p>
    <w:p w14:paraId="4E830C27">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"_Toc229673073"</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（四）壮大开放主体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_Toc229673073 \h</w:instrText>
      </w:r>
      <w:r>
        <w:rPr>
          <w:rFonts w:hint="eastAsia"/>
          <w:color w:val="000000"/>
        </w:rPr>
        <w:instrText xml:space="preserve"> </w:instrText>
      </w:r>
      <w:r>
        <w:rPr>
          <w:color w:val="000000"/>
        </w:rPr>
        <w:fldChar w:fldCharType="separate"/>
      </w:r>
      <w:r>
        <w:rPr>
          <w:color w:val="000000"/>
        </w:rPr>
        <w:t>51</w:t>
      </w:r>
      <w:r>
        <w:rPr>
          <w:rFonts w:hint="eastAsia"/>
          <w:color w:val="000000"/>
        </w:rPr>
        <w:fldChar w:fldCharType="end"/>
      </w:r>
      <w:r>
        <w:rPr>
          <w:rStyle w:val="10"/>
          <w:rFonts w:hint="eastAsia"/>
          <w:color w:val="000000"/>
        </w:rPr>
        <w:fldChar w:fldCharType="end"/>
      </w:r>
    </w:p>
    <w:p w14:paraId="167F9CE4">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"_Toc229673074"</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1、加快外贸主体增量提质</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_Toc229673074 \h</w:instrText>
      </w:r>
      <w:r>
        <w:rPr>
          <w:rFonts w:hint="eastAsia"/>
          <w:color w:val="000000"/>
        </w:rPr>
        <w:instrText xml:space="preserve"> </w:instrText>
      </w:r>
      <w:r>
        <w:rPr>
          <w:color w:val="000000"/>
        </w:rPr>
        <w:fldChar w:fldCharType="separate"/>
      </w:r>
      <w:r>
        <w:rPr>
          <w:color w:val="000000"/>
        </w:rPr>
        <w:t>51</w:t>
      </w:r>
      <w:r>
        <w:rPr>
          <w:rFonts w:hint="eastAsia"/>
          <w:color w:val="000000"/>
        </w:rPr>
        <w:fldChar w:fldCharType="end"/>
      </w:r>
      <w:r>
        <w:rPr>
          <w:rStyle w:val="10"/>
          <w:rFonts w:hint="eastAsia"/>
          <w:color w:val="000000"/>
        </w:rPr>
        <w:fldChar w:fldCharType="end"/>
      </w:r>
    </w:p>
    <w:p w14:paraId="17F32030">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"_Toc229673075"</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2、突出重点领域外资招引</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_Toc229673075 \h</w:instrText>
      </w:r>
      <w:r>
        <w:rPr>
          <w:rFonts w:hint="eastAsia"/>
          <w:color w:val="000000"/>
        </w:rPr>
        <w:instrText xml:space="preserve"> </w:instrText>
      </w:r>
      <w:r>
        <w:rPr>
          <w:color w:val="000000"/>
        </w:rPr>
        <w:fldChar w:fldCharType="separate"/>
      </w:r>
      <w:r>
        <w:rPr>
          <w:color w:val="000000"/>
        </w:rPr>
        <w:t>52</w:t>
      </w:r>
      <w:r>
        <w:rPr>
          <w:rFonts w:hint="eastAsia"/>
          <w:color w:val="000000"/>
        </w:rPr>
        <w:fldChar w:fldCharType="end"/>
      </w:r>
      <w:r>
        <w:rPr>
          <w:rStyle w:val="10"/>
          <w:rFonts w:hint="eastAsia"/>
          <w:color w:val="000000"/>
        </w:rPr>
        <w:fldChar w:fldCharType="end"/>
      </w:r>
    </w:p>
    <w:p w14:paraId="5F9AB68B">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"_Toc229673076"</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3、引导支持企业“走出去”</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_Toc229673076 \h</w:instrText>
      </w:r>
      <w:r>
        <w:rPr>
          <w:rFonts w:hint="eastAsia"/>
          <w:color w:val="000000"/>
        </w:rPr>
        <w:instrText xml:space="preserve"> </w:instrText>
      </w:r>
      <w:r>
        <w:rPr>
          <w:color w:val="000000"/>
        </w:rPr>
        <w:fldChar w:fldCharType="separate"/>
      </w:r>
      <w:r>
        <w:rPr>
          <w:color w:val="000000"/>
        </w:rPr>
        <w:t>53</w:t>
      </w:r>
      <w:r>
        <w:rPr>
          <w:rFonts w:hint="eastAsia"/>
          <w:color w:val="000000"/>
        </w:rPr>
        <w:fldChar w:fldCharType="end"/>
      </w:r>
      <w:r>
        <w:rPr>
          <w:rStyle w:val="10"/>
          <w:rFonts w:hint="eastAsia"/>
          <w:color w:val="000000"/>
        </w:rPr>
        <w:fldChar w:fldCharType="end"/>
      </w:r>
    </w:p>
    <w:p w14:paraId="06372816">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"_Toc229673077"</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4、培育内贸外一体化主体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_Toc229673077 \h</w:instrText>
      </w:r>
      <w:r>
        <w:rPr>
          <w:rFonts w:hint="eastAsia"/>
          <w:color w:val="000000"/>
        </w:rPr>
        <w:instrText xml:space="preserve"> </w:instrText>
      </w:r>
      <w:r>
        <w:rPr>
          <w:color w:val="000000"/>
        </w:rPr>
        <w:fldChar w:fldCharType="separate"/>
      </w:r>
      <w:r>
        <w:rPr>
          <w:color w:val="000000"/>
        </w:rPr>
        <w:t>53</w:t>
      </w:r>
      <w:r>
        <w:rPr>
          <w:rFonts w:hint="eastAsia"/>
          <w:color w:val="000000"/>
        </w:rPr>
        <w:fldChar w:fldCharType="end"/>
      </w:r>
      <w:r>
        <w:rPr>
          <w:rStyle w:val="10"/>
          <w:rFonts w:hint="eastAsia"/>
          <w:color w:val="000000"/>
        </w:rPr>
        <w:fldChar w:fldCharType="end"/>
      </w:r>
    </w:p>
    <w:p w14:paraId="1EACDE94">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"_Toc229673078"</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（五）培育开放业态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_Toc229673078 \h</w:instrText>
      </w:r>
      <w:r>
        <w:rPr>
          <w:rFonts w:hint="eastAsia"/>
          <w:color w:val="000000"/>
        </w:rPr>
        <w:instrText xml:space="preserve"> </w:instrText>
      </w:r>
      <w:r>
        <w:rPr>
          <w:color w:val="000000"/>
        </w:rPr>
        <w:fldChar w:fldCharType="separate"/>
      </w:r>
      <w:r>
        <w:rPr>
          <w:color w:val="000000"/>
        </w:rPr>
        <w:t>54</w:t>
      </w:r>
      <w:r>
        <w:rPr>
          <w:rFonts w:hint="eastAsia"/>
          <w:color w:val="000000"/>
        </w:rPr>
        <w:fldChar w:fldCharType="end"/>
      </w:r>
      <w:r>
        <w:rPr>
          <w:rStyle w:val="10"/>
          <w:rFonts w:hint="eastAsia"/>
          <w:color w:val="000000"/>
        </w:rPr>
        <w:fldChar w:fldCharType="end"/>
      </w:r>
    </w:p>
    <w:p w14:paraId="2C722426">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"_Toc229673079"</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1、优化升级货物贸易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_Toc229673079 \h</w:instrText>
      </w:r>
      <w:r>
        <w:rPr>
          <w:rFonts w:hint="eastAsia"/>
          <w:color w:val="000000"/>
        </w:rPr>
        <w:instrText xml:space="preserve"> </w:instrText>
      </w:r>
      <w:r>
        <w:rPr>
          <w:color w:val="000000"/>
        </w:rPr>
        <w:fldChar w:fldCharType="separate"/>
      </w:r>
      <w:r>
        <w:rPr>
          <w:color w:val="000000"/>
        </w:rPr>
        <w:t>54</w:t>
      </w:r>
      <w:r>
        <w:rPr>
          <w:rFonts w:hint="eastAsia"/>
          <w:color w:val="000000"/>
        </w:rPr>
        <w:fldChar w:fldCharType="end"/>
      </w:r>
      <w:r>
        <w:rPr>
          <w:rStyle w:val="10"/>
          <w:rFonts w:hint="eastAsia"/>
          <w:color w:val="000000"/>
        </w:rPr>
        <w:fldChar w:fldCharType="end"/>
      </w:r>
    </w:p>
    <w:p w14:paraId="678C2736">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"_Toc229673080"</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2、大力发展服务贸易</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_Toc229673080 \h</w:instrText>
      </w:r>
      <w:r>
        <w:rPr>
          <w:rFonts w:hint="eastAsia"/>
          <w:color w:val="000000"/>
        </w:rPr>
        <w:instrText xml:space="preserve"> </w:instrText>
      </w:r>
      <w:r>
        <w:rPr>
          <w:color w:val="000000"/>
        </w:rPr>
        <w:fldChar w:fldCharType="separate"/>
      </w:r>
      <w:r>
        <w:rPr>
          <w:color w:val="000000"/>
        </w:rPr>
        <w:t>56</w:t>
      </w:r>
      <w:r>
        <w:rPr>
          <w:rFonts w:hint="eastAsia"/>
          <w:color w:val="000000"/>
        </w:rPr>
        <w:fldChar w:fldCharType="end"/>
      </w:r>
      <w:r>
        <w:rPr>
          <w:rStyle w:val="10"/>
          <w:rFonts w:hint="eastAsia"/>
          <w:color w:val="000000"/>
        </w:rPr>
        <w:fldChar w:fldCharType="end"/>
      </w:r>
    </w:p>
    <w:p w14:paraId="2C82F52C">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"_Toc229673081"</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3、加快发展跨境电商</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_Toc229673081 \h</w:instrText>
      </w:r>
      <w:r>
        <w:rPr>
          <w:rFonts w:hint="eastAsia"/>
          <w:color w:val="000000"/>
        </w:rPr>
        <w:instrText xml:space="preserve"> </w:instrText>
      </w:r>
      <w:r>
        <w:rPr>
          <w:color w:val="000000"/>
        </w:rPr>
        <w:fldChar w:fldCharType="separate"/>
      </w:r>
      <w:r>
        <w:rPr>
          <w:color w:val="000000"/>
        </w:rPr>
        <w:t>58</w:t>
      </w:r>
      <w:r>
        <w:rPr>
          <w:rFonts w:hint="eastAsia"/>
          <w:color w:val="000000"/>
        </w:rPr>
        <w:fldChar w:fldCharType="end"/>
      </w:r>
      <w:r>
        <w:rPr>
          <w:rStyle w:val="10"/>
          <w:rFonts w:hint="eastAsia"/>
          <w:color w:val="000000"/>
        </w:rPr>
        <w:fldChar w:fldCharType="end"/>
      </w:r>
    </w:p>
    <w:p w14:paraId="18B5ABA0">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"_Toc229673082"</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4、集聚发展保税业态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_Toc229673082 \h</w:instrText>
      </w:r>
      <w:r>
        <w:rPr>
          <w:rFonts w:hint="eastAsia"/>
          <w:color w:val="000000"/>
        </w:rPr>
        <w:instrText xml:space="preserve"> </w:instrText>
      </w:r>
      <w:r>
        <w:rPr>
          <w:color w:val="000000"/>
        </w:rPr>
        <w:fldChar w:fldCharType="separate"/>
      </w:r>
      <w:r>
        <w:rPr>
          <w:color w:val="000000"/>
        </w:rPr>
        <w:t>59</w:t>
      </w:r>
      <w:r>
        <w:rPr>
          <w:rFonts w:hint="eastAsia"/>
          <w:color w:val="000000"/>
        </w:rPr>
        <w:fldChar w:fldCharType="end"/>
      </w:r>
      <w:r>
        <w:rPr>
          <w:rStyle w:val="10"/>
          <w:rFonts w:hint="eastAsia"/>
          <w:color w:val="000000"/>
        </w:rPr>
        <w:fldChar w:fldCharType="end"/>
      </w:r>
    </w:p>
    <w:p w14:paraId="70C62174">
      <w:pPr>
        <w:pStyle w:val="3"/>
        <w:tabs>
          <w:tab w:val="right" w:leader="dot" w:pos="8296"/>
        </w:tabs>
        <w:spacing w:line="540" w:lineRule="exact"/>
        <w:ind w:left="128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"_Toc229673083"</w:instrText>
      </w:r>
      <w:r>
        <w:rPr>
          <w:rStyle w:val="10"/>
          <w:rFonts w:hint="eastAsia"/>
          <w:color w:val="000000"/>
        </w:rPr>
        <w:instrText xml:space="preserve"> </w:instrText>
      </w:r>
      <w:r>
        <w:rPr>
          <w:rStyle w:val="10"/>
          <w:rFonts w:hint="eastAsia"/>
          <w:color w:val="000000"/>
        </w:rPr>
        <w:fldChar w:fldCharType="separate"/>
      </w:r>
      <w:r>
        <w:rPr>
          <w:rStyle w:val="10"/>
          <w:rFonts w:hint="eastAsia"/>
          <w:color w:val="000000"/>
        </w:rPr>
        <w:t>5、积极培育其他新业态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_Toc229673083 \h</w:instrText>
      </w:r>
      <w:r>
        <w:rPr>
          <w:rFonts w:hint="eastAsia"/>
          <w:color w:val="000000"/>
        </w:rPr>
        <w:instrText xml:space="preserve"> </w:instrText>
      </w:r>
      <w:r>
        <w:rPr>
          <w:color w:val="000000"/>
        </w:rPr>
        <w:fldChar w:fldCharType="separate"/>
      </w:r>
      <w:r>
        <w:rPr>
          <w:color w:val="000000"/>
        </w:rPr>
        <w:t>60</w:t>
      </w:r>
      <w:r>
        <w:rPr>
          <w:rFonts w:hint="eastAsia"/>
          <w:color w:val="000000"/>
        </w:rPr>
        <w:fldChar w:fldCharType="end"/>
      </w:r>
      <w:r>
        <w:rPr>
          <w:rStyle w:val="10"/>
          <w:rFonts w:hint="eastAsia"/>
          <w:color w:val="000000"/>
        </w:rPr>
        <w:fldChar w:fldCharType="end"/>
      </w:r>
    </w:p>
    <w:p w14:paraId="3701EABC">
      <w:pPr>
        <w:pStyle w:val="6"/>
        <w:tabs>
          <w:tab w:val="right" w:leader="dot" w:pos="8296"/>
        </w:tabs>
        <w:spacing w:line="540" w:lineRule="exact"/>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"_Toc229673084"</w:instrText>
      </w:r>
      <w:r>
        <w:rPr>
          <w:rStyle w:val="10"/>
          <w:rFonts w:hint="eastAsia"/>
          <w:color w:val="000000"/>
        </w:rPr>
        <w:instrText xml:space="preserve"> </w:instrText>
      </w:r>
      <w:r>
        <w:rPr>
          <w:rStyle w:val="10"/>
          <w:rFonts w:hint="eastAsia"/>
          <w:color w:val="000000"/>
        </w:rPr>
        <w:fldChar w:fldCharType="separate"/>
      </w:r>
      <w:r>
        <w:rPr>
          <w:rStyle w:val="10"/>
          <w:rFonts w:hint="eastAsia" w:cs="黑体"/>
          <w:color w:val="000000"/>
        </w:rPr>
        <w:t>五、保障措施</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_Toc229673084 \h</w:instrText>
      </w:r>
      <w:r>
        <w:rPr>
          <w:rFonts w:hint="eastAsia"/>
          <w:color w:val="000000"/>
        </w:rPr>
        <w:instrText xml:space="preserve"> </w:instrText>
      </w:r>
      <w:r>
        <w:rPr>
          <w:color w:val="000000"/>
        </w:rPr>
        <w:fldChar w:fldCharType="separate"/>
      </w:r>
      <w:r>
        <w:rPr>
          <w:color w:val="000000"/>
        </w:rPr>
        <w:t>62</w:t>
      </w:r>
      <w:r>
        <w:rPr>
          <w:rFonts w:hint="eastAsia"/>
          <w:color w:val="000000"/>
        </w:rPr>
        <w:fldChar w:fldCharType="end"/>
      </w:r>
      <w:r>
        <w:rPr>
          <w:rStyle w:val="10"/>
          <w:rFonts w:hint="eastAsia"/>
          <w:color w:val="000000"/>
        </w:rPr>
        <w:fldChar w:fldCharType="end"/>
      </w:r>
    </w:p>
    <w:p w14:paraId="638644A5">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"_Toc229673085"</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（一）强化组织实施</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_Toc229673085 \h</w:instrText>
      </w:r>
      <w:r>
        <w:rPr>
          <w:rFonts w:hint="eastAsia"/>
          <w:color w:val="000000"/>
        </w:rPr>
        <w:instrText xml:space="preserve"> </w:instrText>
      </w:r>
      <w:r>
        <w:rPr>
          <w:color w:val="000000"/>
        </w:rPr>
        <w:fldChar w:fldCharType="separate"/>
      </w:r>
      <w:r>
        <w:rPr>
          <w:color w:val="000000"/>
        </w:rPr>
        <w:t>62</w:t>
      </w:r>
      <w:r>
        <w:rPr>
          <w:rFonts w:hint="eastAsia"/>
          <w:color w:val="000000"/>
        </w:rPr>
        <w:fldChar w:fldCharType="end"/>
      </w:r>
      <w:r>
        <w:rPr>
          <w:rStyle w:val="10"/>
          <w:rFonts w:hint="eastAsia"/>
          <w:color w:val="000000"/>
        </w:rPr>
        <w:fldChar w:fldCharType="end"/>
      </w:r>
    </w:p>
    <w:p w14:paraId="05541D5F">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"_Toc229673086"</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（二）加大资金支持</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_Toc229673086 \h</w:instrText>
      </w:r>
      <w:r>
        <w:rPr>
          <w:rFonts w:hint="eastAsia"/>
          <w:color w:val="000000"/>
        </w:rPr>
        <w:instrText xml:space="preserve"> </w:instrText>
      </w:r>
      <w:r>
        <w:rPr>
          <w:color w:val="000000"/>
        </w:rPr>
        <w:fldChar w:fldCharType="separate"/>
      </w:r>
      <w:r>
        <w:rPr>
          <w:color w:val="000000"/>
        </w:rPr>
        <w:t>62</w:t>
      </w:r>
      <w:r>
        <w:rPr>
          <w:rFonts w:hint="eastAsia"/>
          <w:color w:val="000000"/>
        </w:rPr>
        <w:fldChar w:fldCharType="end"/>
      </w:r>
      <w:r>
        <w:rPr>
          <w:rStyle w:val="10"/>
          <w:rFonts w:hint="eastAsia"/>
          <w:color w:val="000000"/>
        </w:rPr>
        <w:fldChar w:fldCharType="end"/>
      </w:r>
    </w:p>
    <w:p w14:paraId="15B119B6">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"_Toc229673087"</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（三）加快人才建设</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_Toc229673087 \h</w:instrText>
      </w:r>
      <w:r>
        <w:rPr>
          <w:rFonts w:hint="eastAsia"/>
          <w:color w:val="000000"/>
        </w:rPr>
        <w:instrText xml:space="preserve"> </w:instrText>
      </w:r>
      <w:r>
        <w:rPr>
          <w:color w:val="000000"/>
        </w:rPr>
        <w:fldChar w:fldCharType="separate"/>
      </w:r>
      <w:r>
        <w:rPr>
          <w:color w:val="000000"/>
        </w:rPr>
        <w:t>63</w:t>
      </w:r>
      <w:r>
        <w:rPr>
          <w:rFonts w:hint="eastAsia"/>
          <w:color w:val="000000"/>
        </w:rPr>
        <w:fldChar w:fldCharType="end"/>
      </w:r>
      <w:r>
        <w:rPr>
          <w:rStyle w:val="10"/>
          <w:rFonts w:hint="eastAsia"/>
          <w:color w:val="000000"/>
        </w:rPr>
        <w:fldChar w:fldCharType="end"/>
      </w:r>
    </w:p>
    <w:p w14:paraId="313017AC">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"_Toc229673088"</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（四）完善用地保障</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_Toc229673088 \h</w:instrText>
      </w:r>
      <w:r>
        <w:rPr>
          <w:rFonts w:hint="eastAsia"/>
          <w:color w:val="000000"/>
        </w:rPr>
        <w:instrText xml:space="preserve"> </w:instrText>
      </w:r>
      <w:r>
        <w:rPr>
          <w:color w:val="000000"/>
        </w:rPr>
        <w:fldChar w:fldCharType="separate"/>
      </w:r>
      <w:r>
        <w:rPr>
          <w:color w:val="000000"/>
        </w:rPr>
        <w:t>63</w:t>
      </w:r>
      <w:r>
        <w:rPr>
          <w:rFonts w:hint="eastAsia"/>
          <w:color w:val="000000"/>
        </w:rPr>
        <w:fldChar w:fldCharType="end"/>
      </w:r>
      <w:r>
        <w:rPr>
          <w:rStyle w:val="10"/>
          <w:rFonts w:hint="eastAsia"/>
          <w:color w:val="000000"/>
        </w:rPr>
        <w:fldChar w:fldCharType="end"/>
      </w:r>
    </w:p>
    <w:p w14:paraId="680C5AA4">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"_Toc229673089"</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（五）优化发展环境</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_Toc229673089 \h</w:instrText>
      </w:r>
      <w:r>
        <w:rPr>
          <w:rFonts w:hint="eastAsia"/>
          <w:color w:val="000000"/>
        </w:rPr>
        <w:instrText xml:space="preserve"> </w:instrText>
      </w:r>
      <w:r>
        <w:rPr>
          <w:color w:val="000000"/>
        </w:rPr>
        <w:fldChar w:fldCharType="separate"/>
      </w:r>
      <w:r>
        <w:rPr>
          <w:color w:val="000000"/>
        </w:rPr>
        <w:t>64</w:t>
      </w:r>
      <w:r>
        <w:rPr>
          <w:rFonts w:hint="eastAsia"/>
          <w:color w:val="000000"/>
        </w:rPr>
        <w:fldChar w:fldCharType="end"/>
      </w:r>
      <w:r>
        <w:rPr>
          <w:rStyle w:val="10"/>
          <w:rFonts w:hint="eastAsia"/>
          <w:color w:val="000000"/>
        </w:rPr>
        <w:fldChar w:fldCharType="end"/>
      </w:r>
    </w:p>
    <w:p w14:paraId="2EFBA01B">
      <w:pPr>
        <w:pStyle w:val="7"/>
        <w:tabs>
          <w:tab w:val="right" w:leader="dot" w:pos="8296"/>
        </w:tabs>
        <w:spacing w:line="540" w:lineRule="exact"/>
        <w:ind w:left="640"/>
        <w:rPr>
          <w:rFonts w:hint="eastAsia" w:ascii="等线" w:hAnsi="等线" w:eastAsia="等线"/>
          <w:color w:val="000000"/>
          <w:sz w:val="22"/>
          <w:szCs w:val="24"/>
        </w:rPr>
      </w:pPr>
      <w:r>
        <w:rPr>
          <w:rStyle w:val="10"/>
          <w:rFonts w:hint="eastAsia"/>
          <w:color w:val="000000"/>
        </w:rPr>
        <w:fldChar w:fldCharType="begin"/>
      </w:r>
      <w:r>
        <w:rPr>
          <w:rStyle w:val="10"/>
          <w:rFonts w:hint="eastAsia"/>
          <w:color w:val="000000"/>
        </w:rPr>
        <w:instrText xml:space="preserve"> </w:instrText>
      </w:r>
      <w:r>
        <w:rPr>
          <w:rFonts w:hint="eastAsia"/>
          <w:color w:val="000000"/>
        </w:rPr>
        <w:instrText xml:space="preserve">HYPERLINK \l "_Toc229673090"</w:instrText>
      </w:r>
      <w:r>
        <w:rPr>
          <w:rStyle w:val="10"/>
          <w:rFonts w:hint="eastAsia"/>
          <w:color w:val="000000"/>
        </w:rPr>
        <w:instrText xml:space="preserve"> </w:instrText>
      </w:r>
      <w:r>
        <w:rPr>
          <w:rStyle w:val="10"/>
          <w:rFonts w:hint="eastAsia"/>
          <w:color w:val="000000"/>
        </w:rPr>
        <w:fldChar w:fldCharType="separate"/>
      </w:r>
      <w:r>
        <w:rPr>
          <w:rStyle w:val="10"/>
          <w:rFonts w:hint="eastAsia" w:cs="楷体"/>
          <w:color w:val="000000"/>
        </w:rPr>
        <w:t>（六）筑牢安全屏障</w:t>
      </w:r>
      <w:r>
        <w:rPr>
          <w:rFonts w:hint="eastAsia"/>
          <w:color w:val="000000"/>
        </w:rPr>
        <w:tab/>
      </w:r>
      <w:r>
        <w:rPr>
          <w:rFonts w:hint="eastAsia"/>
          <w:color w:val="000000"/>
        </w:rPr>
        <w:fldChar w:fldCharType="begin"/>
      </w:r>
      <w:r>
        <w:rPr>
          <w:rFonts w:hint="eastAsia"/>
          <w:color w:val="000000"/>
        </w:rPr>
        <w:instrText xml:space="preserve"> </w:instrText>
      </w:r>
      <w:r>
        <w:rPr>
          <w:color w:val="000000"/>
        </w:rPr>
        <w:instrText xml:space="preserve">PAGEREF _Toc229673090 \h</w:instrText>
      </w:r>
      <w:r>
        <w:rPr>
          <w:rFonts w:hint="eastAsia"/>
          <w:color w:val="000000"/>
        </w:rPr>
        <w:instrText xml:space="preserve"> </w:instrText>
      </w:r>
      <w:r>
        <w:rPr>
          <w:color w:val="000000"/>
        </w:rPr>
        <w:fldChar w:fldCharType="separate"/>
      </w:r>
      <w:r>
        <w:rPr>
          <w:color w:val="000000"/>
        </w:rPr>
        <w:t>64</w:t>
      </w:r>
      <w:r>
        <w:rPr>
          <w:rFonts w:hint="eastAsia"/>
          <w:color w:val="000000"/>
        </w:rPr>
        <w:fldChar w:fldCharType="end"/>
      </w:r>
      <w:r>
        <w:rPr>
          <w:rStyle w:val="10"/>
          <w:rFonts w:hint="eastAsia"/>
          <w:color w:val="000000"/>
        </w:rPr>
        <w:fldChar w:fldCharType="end"/>
      </w:r>
    </w:p>
    <w:p w14:paraId="5AA891A6">
      <w:pPr>
        <w:spacing w:before="260" w:after="260" w:line="540" w:lineRule="exact"/>
        <w:ind w:firstLine="0" w:firstLineChars="0"/>
        <w:jc w:val="center"/>
        <w:outlineLvl w:val="0"/>
        <w:rPr>
          <w:rFonts w:eastAsia="黑体"/>
          <w:color w:val="000000"/>
          <w:szCs w:val="32"/>
        </w:rPr>
        <w:sectPr>
          <w:footerReference r:id="rId11" w:type="default"/>
          <w:pgSz w:w="11906" w:h="16838"/>
          <w:pgMar w:top="1440" w:right="1800" w:bottom="1440" w:left="1800" w:header="851" w:footer="992" w:gutter="0"/>
          <w:pgNumType w:fmt="upperRoman" w:start="1"/>
          <w:cols w:space="425" w:num="1"/>
          <w:docGrid w:type="lines" w:linePitch="435" w:charSpace="0"/>
        </w:sectPr>
      </w:pPr>
      <w:r>
        <w:rPr>
          <w:rFonts w:eastAsia="黑体"/>
          <w:color w:val="000000"/>
          <w:szCs w:val="32"/>
        </w:rPr>
        <w:fldChar w:fldCharType="end"/>
      </w:r>
      <w:bookmarkStart w:id="3" w:name="_Toc229673019"/>
    </w:p>
    <w:p w14:paraId="0B15CEAA">
      <w:pPr>
        <w:spacing w:before="260" w:after="260" w:line="240" w:lineRule="exact"/>
        <w:ind w:firstLine="0" w:firstLineChars="0"/>
        <w:jc w:val="center"/>
        <w:outlineLvl w:val="0"/>
        <w:rPr>
          <w:rFonts w:eastAsia="黑体" w:cs="黑体"/>
          <w:color w:val="000000"/>
          <w:szCs w:val="32"/>
        </w:rPr>
      </w:pPr>
      <w:r>
        <w:rPr>
          <w:rFonts w:hint="eastAsia" w:eastAsia="黑体" w:cs="黑体"/>
          <w:color w:val="000000"/>
          <w:szCs w:val="32"/>
        </w:rPr>
        <w:t>前  言</w:t>
      </w:r>
      <w:bookmarkEnd w:id="3"/>
    </w:p>
    <w:p w14:paraId="5FC1F7AD">
      <w:pPr>
        <w:pStyle w:val="2"/>
        <w:ind w:firstLine="640"/>
        <w:rPr>
          <w:rFonts w:hint="eastAsia"/>
          <w:color w:val="000000"/>
        </w:rPr>
      </w:pPr>
      <w:r>
        <w:rPr>
          <w:rFonts w:hint="eastAsia"/>
          <w:color w:val="000000"/>
        </w:rPr>
        <w:t>“十五五”时期是基本实现社会主义现代化夯实基础、全面发力的关键时期，在基本实现社会主义现代化进程中具有承前启后的重要地位。当今世界百年未有之大变局全方位加速演进，世界之变、时代之变、历史之变的特征更加明显，贵阳市商务发展环境和形势发生着重大变化。新一轮科技革命和产业变革深入发展，特别是人工智能等前沿技术快速发展，深刻影响商务领域发展模式。我国加快构建新发展格局，坚定实施扩大内需战略，为商务发展注入强大动力。习近平总书记视察贵州时提出，“贵州要认真落实党中央关于西部大开发和长江经济带发展的战略部署，要用好西部陆海新通道建设机遇，积极对接粤港澳大湾区、成渝地区双城经济圈建设，主动融入陆海内外联动、东西双向互济的全面开放格局”，为全省商务发展指明前进方向。省委、省政府对贵阳发展作出部署、给予支持、寄予厚望，有利于贵阳激发潜力、凝聚合力、提升实力，更好引领支撑全省商务高质量发展。</w:t>
      </w:r>
    </w:p>
    <w:p w14:paraId="423F759A">
      <w:pPr>
        <w:pStyle w:val="2"/>
        <w:ind w:firstLine="640"/>
        <w:rPr>
          <w:color w:val="000000"/>
        </w:rPr>
      </w:pPr>
      <w:r>
        <w:rPr>
          <w:rFonts w:hint="eastAsia"/>
          <w:color w:val="000000"/>
        </w:rPr>
        <w:t>本规划根据《中华人民共和国国民经济和社会发展第十五个五年规划纲要》《贵州省国民经济和社会发展第十五个五年规划纲要》《贵州省“十五五”商务发展规划》《贵阳市国民经济和社会发展第十五个五年规划纲要》等编制，明确贵阳市“十五五”期间商务发展目标、主要任务、保障措施等，指导贵阳市商务高质量发展。规划期限为2026-2030年。</w:t>
      </w:r>
    </w:p>
    <w:p w14:paraId="66360EB9">
      <w:pPr>
        <w:pStyle w:val="2"/>
        <w:ind w:firstLine="640"/>
        <w:rPr>
          <w:rFonts w:hint="eastAsia"/>
          <w:color w:val="000000"/>
        </w:rPr>
      </w:pPr>
    </w:p>
    <w:p w14:paraId="0DD3E95A">
      <w:pPr>
        <w:spacing w:before="260" w:after="260"/>
        <w:ind w:firstLine="640"/>
        <w:outlineLvl w:val="0"/>
        <w:rPr>
          <w:rFonts w:eastAsia="黑体" w:cs="黑体"/>
          <w:color w:val="000000"/>
          <w:szCs w:val="32"/>
        </w:rPr>
        <w:sectPr>
          <w:footerReference r:id="rId12" w:type="default"/>
          <w:pgSz w:w="11906" w:h="16838"/>
          <w:pgMar w:top="1440" w:right="1800" w:bottom="1440" w:left="1800" w:header="851" w:footer="992" w:gutter="0"/>
          <w:pgNumType w:start="1"/>
          <w:cols w:space="425" w:num="1"/>
          <w:docGrid w:type="lines" w:linePitch="435" w:charSpace="0"/>
        </w:sectPr>
      </w:pPr>
    </w:p>
    <w:p w14:paraId="4DB97A0D">
      <w:pPr>
        <w:spacing w:before="260" w:after="260"/>
        <w:ind w:firstLine="640"/>
        <w:outlineLvl w:val="0"/>
        <w:rPr>
          <w:rFonts w:eastAsia="黑体" w:cs="黑体"/>
          <w:color w:val="000000"/>
          <w:szCs w:val="32"/>
        </w:rPr>
      </w:pPr>
      <w:bookmarkStart w:id="4" w:name="_Toc229673020"/>
      <w:r>
        <w:rPr>
          <w:rFonts w:hint="eastAsia" w:eastAsia="黑体" w:cs="黑体"/>
          <w:color w:val="000000"/>
          <w:szCs w:val="32"/>
        </w:rPr>
        <w:t>一、发展基础与环境</w:t>
      </w:r>
      <w:bookmarkEnd w:id="4"/>
    </w:p>
    <w:p w14:paraId="314D341D">
      <w:pPr>
        <w:spacing w:before="260" w:after="260"/>
        <w:ind w:firstLine="640"/>
        <w:outlineLvl w:val="1"/>
        <w:rPr>
          <w:rFonts w:eastAsia="楷体" w:cs="楷体"/>
          <w:color w:val="000000"/>
          <w:szCs w:val="32"/>
        </w:rPr>
      </w:pPr>
      <w:bookmarkStart w:id="5" w:name="_Toc229673021"/>
      <w:r>
        <w:rPr>
          <w:rFonts w:hint="eastAsia" w:eastAsia="楷体" w:cs="楷体"/>
          <w:color w:val="000000"/>
          <w:szCs w:val="32"/>
        </w:rPr>
        <w:t>（一）发展基础</w:t>
      </w:r>
      <w:bookmarkEnd w:id="5"/>
    </w:p>
    <w:p w14:paraId="273D19F4">
      <w:pPr>
        <w:pStyle w:val="2"/>
        <w:ind w:firstLine="640"/>
        <w:rPr>
          <w:color w:val="000000"/>
        </w:rPr>
      </w:pPr>
      <w:r>
        <w:rPr>
          <w:rFonts w:hint="eastAsia"/>
          <w:color w:val="000000"/>
        </w:rPr>
        <w:t>“十四五”期间，贵阳市</w:t>
      </w:r>
      <w:r>
        <w:rPr>
          <w:rFonts w:hint="eastAsia" w:cs="仿宋_GB2312"/>
          <w:bCs/>
          <w:color w:val="000000"/>
          <w:szCs w:val="32"/>
          <w:shd w:val="clear" w:color="auto" w:fill="FFFFFF"/>
        </w:rPr>
        <w:t>聚焦</w:t>
      </w:r>
      <w:r>
        <w:rPr>
          <w:rFonts w:hint="eastAsia"/>
          <w:bCs/>
          <w:color w:val="000000"/>
          <w:szCs w:val="32"/>
        </w:rPr>
        <w:t>区域性国际消费中心城市及内陆开放型经济新高地先行区战略定位</w:t>
      </w:r>
      <w:r>
        <w:rPr>
          <w:rFonts w:hint="eastAsia" w:cs="仿宋_GB2312"/>
          <w:bCs/>
          <w:color w:val="000000"/>
          <w:szCs w:val="32"/>
          <w:shd w:val="clear" w:color="auto" w:fill="FFFFFF"/>
        </w:rPr>
        <w:t>，抢抓国发2号文机遇，深化商贸流通转型升级，大力推动开放型经济发展，加快融入国内国际双循环，</w:t>
      </w:r>
      <w:r>
        <w:rPr>
          <w:rFonts w:hint="eastAsia"/>
          <w:color w:val="000000"/>
        </w:rPr>
        <w:t>商务领域各项工作取得新成就，对全市经济社会发展作出新贡献。</w:t>
      </w:r>
    </w:p>
    <w:p w14:paraId="28AE276E">
      <w:pPr>
        <w:pStyle w:val="2"/>
        <w:ind w:firstLine="643"/>
        <w:rPr>
          <w:b/>
          <w:bCs/>
          <w:color w:val="000000"/>
        </w:rPr>
      </w:pPr>
      <w:r>
        <w:rPr>
          <w:rFonts w:hint="eastAsia"/>
          <w:b/>
          <w:bCs/>
          <w:color w:val="000000"/>
        </w:rPr>
        <w:t>1、内贸流通实现新提升</w:t>
      </w:r>
    </w:p>
    <w:p w14:paraId="53681DC7">
      <w:pPr>
        <w:pStyle w:val="2"/>
        <w:ind w:firstLine="643"/>
        <w:rPr>
          <w:rFonts w:hint="eastAsia"/>
          <w:b/>
          <w:bCs/>
          <w:color w:val="000000"/>
        </w:rPr>
      </w:pPr>
      <w:r>
        <w:rPr>
          <w:rFonts w:hint="eastAsia"/>
          <w:b/>
          <w:bCs/>
          <w:color w:val="000000"/>
        </w:rPr>
        <w:t>一是消费规模不断扩大。</w:t>
      </w:r>
      <w:r>
        <w:rPr>
          <w:rFonts w:hint="eastAsia"/>
          <w:color w:val="000000"/>
        </w:rPr>
        <w:t>2021-2025年，贵阳市社会消费品零售总额分别同比增长12.9%、-5.7%、5.2%、2.4%、3.4%，年均增长3.5%。除2022年因疫情影响，社会消费品零售总额出现下降以外，其余年份均保持增长。2025年，贵阳市社会消费品零售总额达到2576.34亿元，较“十三五”末增长14.2%。</w:t>
      </w:r>
      <w:bookmarkStart w:id="6" w:name="_Hlk217899423"/>
      <w:r>
        <w:rPr>
          <w:rFonts w:hint="eastAsia"/>
          <w:color w:val="000000"/>
        </w:rPr>
        <w:t>实施消费品以旧换新、“三酒”联动促销，开展焕新消费季、避暑消费季、金秋购物季等系列促销活动。</w:t>
      </w:r>
      <w:r>
        <w:rPr>
          <w:rFonts w:hint="eastAsia" w:cs="楷体"/>
          <w:color w:val="000000"/>
        </w:rPr>
        <w:t>先后获批全国零售业创新提升试点城市、现代商贸流通体系建设试点城市、</w:t>
      </w:r>
      <w:r>
        <w:rPr>
          <w:rFonts w:cs="楷体"/>
          <w:color w:val="000000"/>
        </w:rPr>
        <w:t>消费新业态新模式新场景试点城市</w:t>
      </w:r>
      <w:r>
        <w:rPr>
          <w:rFonts w:hint="eastAsia" w:cs="楷体"/>
          <w:color w:val="000000"/>
        </w:rPr>
        <w:t>。</w:t>
      </w:r>
      <w:bookmarkEnd w:id="6"/>
    </w:p>
    <w:p w14:paraId="7531824F">
      <w:pPr>
        <w:pStyle w:val="2"/>
        <w:ind w:firstLine="643"/>
        <w:rPr>
          <w:color w:val="000000"/>
        </w:rPr>
      </w:pPr>
      <w:r>
        <w:rPr>
          <w:rFonts w:hint="eastAsia"/>
          <w:b/>
          <w:bCs/>
          <w:color w:val="000000"/>
        </w:rPr>
        <w:t>二是商业布局持续优化。</w:t>
      </w:r>
      <w:r>
        <w:rPr>
          <w:rFonts w:hint="eastAsia"/>
          <w:color w:val="000000"/>
        </w:rPr>
        <w:t>全市以“百场千店万铺”和“一圈两场三改”建设为抓手，推动核心商圈、商业街区、一刻钟便民生活圈建设，重点培育5大商圈，建成运营中高端商业综合体57个，培育建设步行街13条、夜间特色街区19条，建设一刻钟便民生活圈140个，</w:t>
      </w:r>
      <w:r>
        <w:rPr>
          <w:color w:val="000000"/>
        </w:rPr>
        <w:t>新建和改造农贸市场185个，</w:t>
      </w:r>
      <w:r>
        <w:rPr>
          <w:rFonts w:hint="eastAsia"/>
          <w:color w:val="000000"/>
        </w:rPr>
        <w:t>消费集聚度进一步提高。</w:t>
      </w:r>
    </w:p>
    <w:p w14:paraId="58ADB18F">
      <w:pPr>
        <w:pStyle w:val="2"/>
        <w:ind w:firstLine="643"/>
        <w:rPr>
          <w:rFonts w:hint="eastAsia"/>
          <w:color w:val="000000"/>
        </w:rPr>
      </w:pPr>
      <w:r>
        <w:rPr>
          <w:rFonts w:hint="eastAsia"/>
          <w:b/>
          <w:bCs/>
          <w:color w:val="000000"/>
        </w:rPr>
        <w:t>三是商品和服务供给日益丰富。</w:t>
      </w:r>
      <w:r>
        <w:rPr>
          <w:rFonts w:hint="eastAsia"/>
          <w:color w:val="000000"/>
        </w:rPr>
        <w:t>“十四五”期间，全市累计引进品牌首店778家，培育“中华老字号”5个、“贵州老字号”45个、“贵阳老字号”17个。餐饮业培育国家钻级酒家74</w:t>
      </w:r>
      <w:r>
        <w:rPr>
          <w:color w:val="000000"/>
        </w:rPr>
        <w:t>家</w:t>
      </w:r>
      <w:r>
        <w:rPr>
          <w:rFonts w:hint="eastAsia"/>
          <w:color w:val="000000"/>
        </w:rPr>
        <w:t>、</w:t>
      </w:r>
      <w:r>
        <w:rPr>
          <w:color w:val="000000"/>
        </w:rPr>
        <w:t>生态黔菜示范店</w:t>
      </w:r>
      <w:r>
        <w:rPr>
          <w:rFonts w:hint="eastAsia"/>
          <w:color w:val="000000"/>
        </w:rPr>
        <w:t>41</w:t>
      </w:r>
      <w:r>
        <w:rPr>
          <w:color w:val="000000"/>
        </w:rPr>
        <w:t>家</w:t>
      </w:r>
      <w:r>
        <w:rPr>
          <w:rFonts w:hint="eastAsia"/>
          <w:color w:val="000000"/>
        </w:rPr>
        <w:t>，</w:t>
      </w:r>
      <w:bookmarkStart w:id="7" w:name="_Hlk217899267"/>
      <w:r>
        <w:rPr>
          <w:rFonts w:hint="eastAsia"/>
          <w:color w:val="000000"/>
        </w:rPr>
        <w:t>打造了青云路、民生路、阿云朵仓等8条市级特色美食街区。“精品咖啡”火爆出圈，全市咖啡品类店达3000余家。“精酿啤酒”引发热潮，全市精酿酒吧达1200余家。家政业培育“省级家政示范企业”9家、“省级家政品牌企业”5家。</w:t>
      </w:r>
    </w:p>
    <w:bookmarkEnd w:id="7"/>
    <w:p w14:paraId="4A4A4972">
      <w:pPr>
        <w:pStyle w:val="2"/>
        <w:ind w:firstLine="643"/>
        <w:rPr>
          <w:color w:val="000000"/>
        </w:rPr>
      </w:pPr>
      <w:r>
        <w:rPr>
          <w:rFonts w:hint="eastAsia"/>
          <w:b/>
          <w:bCs/>
          <w:color w:val="000000"/>
        </w:rPr>
        <w:t>四是文商旅融合</w:t>
      </w:r>
      <w:r>
        <w:rPr>
          <w:rFonts w:hint="eastAsia"/>
          <w:b/>
          <w:bCs/>
          <w:color w:val="000000"/>
          <w:lang w:val="en-US" w:eastAsia="zh-CN"/>
        </w:rPr>
        <w:t>发展</w:t>
      </w:r>
      <w:r>
        <w:rPr>
          <w:rFonts w:hint="eastAsia"/>
          <w:b/>
          <w:bCs/>
          <w:color w:val="000000"/>
        </w:rPr>
        <w:t>不断深入。</w:t>
      </w:r>
      <w:r>
        <w:rPr>
          <w:rFonts w:hint="eastAsia"/>
          <w:color w:val="000000"/>
        </w:rPr>
        <w:t>创新培育消费新业态、新场景，加快建设流光溢彩“夜贵阳”，推动“卖酒”向“卖生活方式”转变，成功打造青岩古镇南北明清街、青云路、十字街、曹状元街、新印1950等一批网红街区。全市国家级夜间文化和旅游消费集聚区2个、</w:t>
      </w:r>
      <w:r>
        <w:rPr>
          <w:color w:val="000000"/>
        </w:rPr>
        <w:t>省级夜间</w:t>
      </w:r>
      <w:r>
        <w:rPr>
          <w:rFonts w:hint="eastAsia"/>
          <w:color w:val="000000"/>
          <w:lang w:eastAsia="zh-CN"/>
        </w:rPr>
        <w:t>消费集聚区</w:t>
      </w:r>
      <w:r>
        <w:rPr>
          <w:rFonts w:hint="eastAsia"/>
          <w:color w:val="000000"/>
        </w:rPr>
        <w:t>10个、省级夜间美食街区4个。</w:t>
      </w:r>
    </w:p>
    <w:p w14:paraId="2A0573D1">
      <w:pPr>
        <w:pStyle w:val="2"/>
        <w:ind w:firstLine="643"/>
        <w:rPr>
          <w:color w:val="000000"/>
        </w:rPr>
      </w:pPr>
      <w:r>
        <w:rPr>
          <w:rFonts w:hint="eastAsia"/>
          <w:b/>
          <w:bCs/>
          <w:color w:val="000000"/>
        </w:rPr>
        <w:t>五是</w:t>
      </w:r>
      <w:r>
        <w:rPr>
          <w:rFonts w:hint="eastAsia"/>
          <w:b/>
          <w:bCs/>
          <w:color w:val="000000"/>
          <w:lang w:val="en-US" w:eastAsia="zh-CN"/>
        </w:rPr>
        <w:t>商贸</w:t>
      </w:r>
      <w:r>
        <w:rPr>
          <w:rFonts w:hint="eastAsia"/>
          <w:b/>
          <w:bCs/>
          <w:color w:val="000000"/>
        </w:rPr>
        <w:t>流通体系更加完善。</w:t>
      </w:r>
      <w:r>
        <w:rPr>
          <w:rFonts w:hint="eastAsia"/>
          <w:color w:val="000000"/>
        </w:rPr>
        <w:t>全市现有专业市场79个，农贸市场177个，加油站383个，入选商务部商品市场优化升级试点城市。全市形成社会化再生资源回收点约1300个，建设“两网融合”废旧物资回收间约1500个。建成运营县级综合商贸中心18个、乡镇商贸中心78个、村级便民服务店2530个，县级物流配送中心8个，电商快递覆盖率达100%，三级物流共同配送率超过30%。</w:t>
      </w:r>
    </w:p>
    <w:p w14:paraId="03A298C2">
      <w:pPr>
        <w:pStyle w:val="2"/>
        <w:ind w:firstLine="643"/>
        <w:rPr>
          <w:rFonts w:hint="eastAsia"/>
          <w:b/>
          <w:bCs/>
          <w:color w:val="000000"/>
        </w:rPr>
      </w:pPr>
      <w:r>
        <w:rPr>
          <w:rFonts w:hint="eastAsia"/>
          <w:b/>
          <w:bCs/>
          <w:color w:val="000000"/>
        </w:rPr>
        <w:t>2、开放发展取得新成效</w:t>
      </w:r>
    </w:p>
    <w:p w14:paraId="700AD4A2">
      <w:pPr>
        <w:pStyle w:val="2"/>
        <w:ind w:firstLine="643"/>
        <w:rPr>
          <w:color w:val="000000"/>
        </w:rPr>
      </w:pPr>
      <w:bookmarkStart w:id="8" w:name="_Hlk217899473"/>
      <w:r>
        <w:rPr>
          <w:rFonts w:hint="eastAsia"/>
          <w:b/>
          <w:bCs/>
          <w:color w:val="000000"/>
        </w:rPr>
        <w:t>一是</w:t>
      </w:r>
      <w:r>
        <w:rPr>
          <w:b/>
          <w:bCs/>
          <w:color w:val="000000"/>
        </w:rPr>
        <w:t>开放格局持续拓宽。</w:t>
      </w:r>
      <w:r>
        <w:rPr>
          <w:color w:val="000000"/>
        </w:rPr>
        <w:t>贵阳贵安</w:t>
      </w:r>
      <w:r>
        <w:rPr>
          <w:rFonts w:hint="eastAsia"/>
          <w:color w:val="000000"/>
        </w:rPr>
        <w:t>海外市场持续拓展，</w:t>
      </w:r>
      <w:r>
        <w:rPr>
          <w:color w:val="000000"/>
        </w:rPr>
        <w:t>经贸伙伴遍布全球</w:t>
      </w:r>
      <w:r>
        <w:rPr>
          <w:rFonts w:hint="eastAsia"/>
          <w:color w:val="000000"/>
        </w:rPr>
        <w:t>211</w:t>
      </w:r>
      <w:r>
        <w:rPr>
          <w:color w:val="000000"/>
        </w:rPr>
        <w:t>个国家</w:t>
      </w:r>
      <w:r>
        <w:rPr>
          <w:rFonts w:hint="eastAsia"/>
          <w:color w:val="000000"/>
        </w:rPr>
        <w:t>和地区，2021-2025年，与“一带一路”、RCEP成员国家贸易额分别年均增长37.4%、20.2%。</w:t>
      </w:r>
      <w:r>
        <w:rPr>
          <w:color w:val="000000"/>
        </w:rPr>
        <w:t>202</w:t>
      </w:r>
      <w:r>
        <w:rPr>
          <w:rFonts w:hint="eastAsia"/>
          <w:color w:val="000000"/>
        </w:rPr>
        <w:t>5</w:t>
      </w:r>
      <w:r>
        <w:rPr>
          <w:color w:val="000000"/>
        </w:rPr>
        <w:t>年</w:t>
      </w:r>
      <w:r>
        <w:rPr>
          <w:rFonts w:hint="eastAsia"/>
          <w:color w:val="000000"/>
        </w:rPr>
        <w:t>，</w:t>
      </w:r>
      <w:r>
        <w:rPr>
          <w:color w:val="000000"/>
        </w:rPr>
        <w:t>贵阳贵安外贸进出口总额</w:t>
      </w:r>
      <w:r>
        <w:rPr>
          <w:rFonts w:hint="eastAsia"/>
          <w:color w:val="000000"/>
        </w:rPr>
        <w:t>663亿元，占全省78.1%；实际使用外资完成9218万美元。组织企业参加广交会、泰国工业展、巴黎博览会、波兰汽配展、链博会、兰洽会、巴塞罗那大数据展览会博览会、2025World IT show 11洽谈会等境内外重点展会，2025年“外贸新三样”出口增速达190%。</w:t>
      </w:r>
    </w:p>
    <w:p w14:paraId="38A037A1">
      <w:pPr>
        <w:pStyle w:val="2"/>
        <w:ind w:firstLine="643"/>
        <w:rPr>
          <w:rFonts w:hint="eastAsia"/>
          <w:color w:val="000000"/>
        </w:rPr>
      </w:pPr>
      <w:r>
        <w:rPr>
          <w:rFonts w:hint="eastAsia"/>
          <w:b/>
          <w:bCs/>
          <w:color w:val="000000"/>
        </w:rPr>
        <w:t>二是</w:t>
      </w:r>
      <w:r>
        <w:rPr>
          <w:b/>
          <w:bCs/>
          <w:color w:val="000000"/>
        </w:rPr>
        <w:t>开放通道持续畅通。</w:t>
      </w:r>
      <w:r>
        <w:rPr>
          <w:rFonts w:hint="eastAsia"/>
          <w:color w:val="000000"/>
        </w:rPr>
        <w:t>全市积极拓展</w:t>
      </w:r>
      <w:r>
        <w:rPr>
          <w:color w:val="000000"/>
        </w:rPr>
        <w:t>航空、铁路、公路</w:t>
      </w:r>
      <w:r>
        <w:rPr>
          <w:rFonts w:hint="eastAsia"/>
          <w:color w:val="000000"/>
        </w:rPr>
        <w:t>国际</w:t>
      </w:r>
      <w:r>
        <w:rPr>
          <w:color w:val="000000"/>
        </w:rPr>
        <w:t>通道</w:t>
      </w:r>
      <w:r>
        <w:rPr>
          <w:rFonts w:hint="eastAsia"/>
          <w:color w:val="000000"/>
        </w:rPr>
        <w:t>，</w:t>
      </w:r>
      <w:r>
        <w:rPr>
          <w:color w:val="000000"/>
        </w:rPr>
        <w:t>已开通</w:t>
      </w:r>
      <w:bookmarkStart w:id="9" w:name="_Hlk215559456"/>
      <w:r>
        <w:rPr>
          <w:rFonts w:hint="eastAsia"/>
          <w:color w:val="000000"/>
        </w:rPr>
        <w:t>德里、达卡、卡拉奇</w:t>
      </w:r>
      <w:bookmarkEnd w:id="9"/>
      <w:r>
        <w:rPr>
          <w:rFonts w:hint="eastAsia"/>
          <w:color w:val="000000"/>
        </w:rPr>
        <w:t>等</w:t>
      </w:r>
      <w:r>
        <w:rPr>
          <w:color w:val="000000"/>
        </w:rPr>
        <w:t>国际货运航线</w:t>
      </w:r>
      <w:r>
        <w:rPr>
          <w:rFonts w:hint="eastAsia"/>
          <w:color w:val="000000"/>
        </w:rPr>
        <w:t>7</w:t>
      </w:r>
      <w:r>
        <w:rPr>
          <w:color w:val="000000"/>
        </w:rPr>
        <w:t>条，开通</w:t>
      </w:r>
      <w:bookmarkStart w:id="10" w:name="_Hlk215559449"/>
      <w:r>
        <w:rPr>
          <w:color w:val="000000"/>
        </w:rPr>
        <w:t>中欧（中亚）、黔粤、西部陆海新通道及中老</w:t>
      </w:r>
      <w:bookmarkEnd w:id="10"/>
      <w:r>
        <w:rPr>
          <w:rFonts w:hint="eastAsia"/>
          <w:color w:val="000000"/>
        </w:rPr>
        <w:t>四向</w:t>
      </w:r>
      <w:r>
        <w:rPr>
          <w:color w:val="000000"/>
        </w:rPr>
        <w:t>班列，</w:t>
      </w:r>
      <w:r>
        <w:rPr>
          <w:rFonts w:hint="eastAsia"/>
          <w:color w:val="000000"/>
        </w:rPr>
        <w:t>开行“贵港直通车”和贵阳-越南、贵阳-老挝跨境公路卡班，</w:t>
      </w:r>
      <w:r>
        <w:rPr>
          <w:color w:val="000000"/>
        </w:rPr>
        <w:t>成功开行动力</w:t>
      </w:r>
      <w:r>
        <w:rPr>
          <w:rFonts w:hint="eastAsia"/>
          <w:color w:val="000000"/>
        </w:rPr>
        <w:t>型</w:t>
      </w:r>
      <w:r>
        <w:rPr>
          <w:color w:val="000000"/>
        </w:rPr>
        <w:t>锂</w:t>
      </w:r>
      <w:r>
        <w:rPr>
          <w:rFonts w:hint="eastAsia"/>
          <w:color w:val="000000"/>
        </w:rPr>
        <w:t>离子</w:t>
      </w:r>
      <w:r>
        <w:rPr>
          <w:color w:val="000000"/>
        </w:rPr>
        <w:t>电池</w:t>
      </w:r>
      <w:r>
        <w:rPr>
          <w:rFonts w:hint="eastAsia"/>
          <w:color w:val="000000"/>
        </w:rPr>
        <w:t>全国</w:t>
      </w:r>
      <w:r>
        <w:rPr>
          <w:color w:val="000000"/>
        </w:rPr>
        <w:t>铁路试运</w:t>
      </w:r>
      <w:r>
        <w:rPr>
          <w:rFonts w:hint="eastAsia"/>
          <w:color w:val="000000"/>
        </w:rPr>
        <w:t>。创新贵广铁海联运快速通关模式，</w:t>
      </w:r>
      <w:r>
        <w:rPr>
          <w:color w:val="000000"/>
        </w:rPr>
        <w:t>获批</w:t>
      </w:r>
      <w:r>
        <w:rPr>
          <w:rFonts w:hint="eastAsia"/>
          <w:color w:val="000000"/>
        </w:rPr>
        <w:t>2025年</w:t>
      </w:r>
      <w:r>
        <w:rPr>
          <w:color w:val="000000"/>
        </w:rPr>
        <w:t>跨境贸易便利化专项行动实施城市</w:t>
      </w:r>
      <w:r>
        <w:rPr>
          <w:rFonts w:hint="eastAsia"/>
          <w:color w:val="000000"/>
        </w:rPr>
        <w:t>。</w:t>
      </w:r>
    </w:p>
    <w:p w14:paraId="151683F9">
      <w:pPr>
        <w:pStyle w:val="2"/>
        <w:ind w:firstLine="643"/>
        <w:rPr>
          <w:b/>
          <w:bCs/>
          <w:color w:val="000000"/>
        </w:rPr>
      </w:pPr>
      <w:r>
        <w:rPr>
          <w:b/>
          <w:bCs/>
          <w:color w:val="000000"/>
        </w:rPr>
        <w:t>三</w:t>
      </w:r>
      <w:r>
        <w:rPr>
          <w:rFonts w:hint="eastAsia"/>
          <w:b/>
          <w:bCs/>
          <w:color w:val="000000"/>
        </w:rPr>
        <w:t>是</w:t>
      </w:r>
      <w:r>
        <w:rPr>
          <w:b/>
          <w:bCs/>
          <w:color w:val="000000"/>
        </w:rPr>
        <w:t>开放平台持续强化。</w:t>
      </w:r>
      <w:r>
        <w:rPr>
          <w:color w:val="000000"/>
        </w:rPr>
        <w:t>先后获批国家进口贸易促进创新示范区、国家加工贸易梯度转移重点承接地、国家外贸转型升级基地</w:t>
      </w:r>
      <w:r>
        <w:rPr>
          <w:rFonts w:hint="eastAsia"/>
          <w:color w:val="000000"/>
        </w:rPr>
        <w:t>等，双龙航空口岸、4个综合指定监管场地和“一局四中心”建成投用，形成“1+4+5”立体化口岸体系。贵阳综保区建成全国首个综</w:t>
      </w:r>
      <w:r>
        <w:rPr>
          <w:color w:val="000000"/>
        </w:rPr>
        <w:t>保型国际陆港、全省首个国际集货集拼中心，二手车出口实现</w:t>
      </w:r>
      <w:r>
        <w:rPr>
          <w:rFonts w:hint="eastAsia"/>
          <w:color w:val="000000"/>
        </w:rPr>
        <w:t>突破</w:t>
      </w:r>
      <w:r>
        <w:rPr>
          <w:color w:val="000000"/>
        </w:rPr>
        <w:t>。5个开发区纳入全省外贸提升区、4个开发区纳入全省外资示范区</w:t>
      </w:r>
      <w:r>
        <w:rPr>
          <w:rFonts w:hint="eastAsia"/>
          <w:color w:val="000000"/>
        </w:rPr>
        <w:t>，“1+5”国家级开放创新平台外贸进出口总额占比由2021年的43.4%提升到2025年64.6%。</w:t>
      </w:r>
    </w:p>
    <w:p w14:paraId="256908C3">
      <w:pPr>
        <w:pStyle w:val="2"/>
        <w:ind w:firstLine="643"/>
        <w:rPr>
          <w:color w:val="000000"/>
        </w:rPr>
      </w:pPr>
      <w:r>
        <w:rPr>
          <w:b/>
          <w:bCs/>
          <w:color w:val="000000"/>
        </w:rPr>
        <w:t>四</w:t>
      </w:r>
      <w:r>
        <w:rPr>
          <w:rFonts w:hint="eastAsia"/>
          <w:b/>
          <w:bCs/>
          <w:color w:val="000000"/>
        </w:rPr>
        <w:t>是</w:t>
      </w:r>
      <w:r>
        <w:rPr>
          <w:b/>
          <w:bCs/>
          <w:color w:val="000000"/>
        </w:rPr>
        <w:t>开放主体持续引育。</w:t>
      </w:r>
      <w:r>
        <w:rPr>
          <w:rFonts w:hint="eastAsia" w:ascii="仿宋_GB2312"/>
          <w:color w:val="000000"/>
        </w:rPr>
        <w:t>开展“外贸+新材料新能源”“外贸+生态食品”“外贸+汽车及汽摩配件”三大专项行动，培育“内转外”企业，</w:t>
      </w:r>
      <w:r>
        <w:rPr>
          <w:rFonts w:hint="eastAsia"/>
          <w:color w:val="000000"/>
        </w:rPr>
        <w:t>全市有</w:t>
      </w:r>
      <w:r>
        <w:rPr>
          <w:color w:val="000000"/>
        </w:rPr>
        <w:t>外贸实绩企业</w:t>
      </w:r>
      <w:r>
        <w:rPr>
          <w:rFonts w:hint="eastAsia"/>
          <w:color w:val="000000"/>
        </w:rPr>
        <w:t>802</w:t>
      </w:r>
      <w:r>
        <w:rPr>
          <w:color w:val="000000"/>
        </w:rPr>
        <w:t>家</w:t>
      </w:r>
      <w:r>
        <w:rPr>
          <w:rFonts w:hint="eastAsia"/>
          <w:color w:val="000000"/>
        </w:rPr>
        <w:t>，累计培育新增服务贸易（服务外包）企业110家</w:t>
      </w:r>
      <w:r>
        <w:rPr>
          <w:color w:val="000000"/>
        </w:rPr>
        <w:t>。</w:t>
      </w:r>
      <w:r>
        <w:rPr>
          <w:rFonts w:hint="eastAsia"/>
          <w:color w:val="000000"/>
        </w:rPr>
        <w:t>开展外企服务管家走访服务，赴北京、深圳、广州等地推动外资招商，</w:t>
      </w:r>
      <w:r>
        <w:rPr>
          <w:color w:val="000000"/>
        </w:rPr>
        <w:t>累计设立</w:t>
      </w:r>
      <w:r>
        <w:rPr>
          <w:rFonts w:hint="eastAsia"/>
          <w:color w:val="000000"/>
        </w:rPr>
        <w:t>外商投资企业1397</w:t>
      </w:r>
      <w:r>
        <w:rPr>
          <w:color w:val="000000"/>
        </w:rPr>
        <w:t>家</w:t>
      </w:r>
      <w:r>
        <w:rPr>
          <w:rFonts w:hint="eastAsia"/>
          <w:color w:val="000000"/>
        </w:rPr>
        <w:t>。支持20余家企业沿着“一带一路”“走出去”，聚焦建筑工程、制造业、批发和零售业、采矿业等领域参与国际投资合作。</w:t>
      </w:r>
    </w:p>
    <w:p w14:paraId="5DA9A69A">
      <w:pPr>
        <w:pStyle w:val="2"/>
        <w:ind w:firstLine="643"/>
        <w:rPr>
          <w:rFonts w:hint="eastAsia"/>
          <w:color w:val="000000"/>
        </w:rPr>
      </w:pPr>
      <w:r>
        <w:rPr>
          <w:rFonts w:hint="eastAsia"/>
          <w:b/>
          <w:bCs/>
          <w:color w:val="000000"/>
        </w:rPr>
        <w:t>五是开放业态持续丰富。</w:t>
      </w:r>
      <w:r>
        <w:rPr>
          <w:rFonts w:hint="eastAsia"/>
          <w:color w:val="000000"/>
        </w:rPr>
        <w:t>获批中国（贵阳）跨境电子商务综合试验区，建成综保、双龙2个跨境电商产业园，中国（贵阳）跨境电商公共服务平台建成投用，在全省率先开通1210、9610、9710、9810全模式，2025年跨境电商交易额实现26.5亿元、同比增长3.6%，建成海外仓达23个。以集隽光电产业园、贵阳二手车出口基地等为重点的“保税+”业态加快发展。建成市级外综服公共平台，入驻101家企业。承接沿海地区加工贸易产业转移，2025年加工贸易完成118.7亿元，同比增长30%。数字技术、文化、游戏、动漫、工业设计等领域服务贸易快速发展，获批国家服务贸易创新发展试点、中国服务外包示范城市，数字苗绣平台获2025年全球数字贸易创新大赛银奖。</w:t>
      </w:r>
    </w:p>
    <w:bookmarkEnd w:id="8"/>
    <w:p w14:paraId="17C426A7">
      <w:pPr>
        <w:spacing w:before="260" w:after="260"/>
        <w:ind w:firstLine="640"/>
        <w:outlineLvl w:val="1"/>
        <w:rPr>
          <w:rFonts w:eastAsia="楷体" w:cs="楷体"/>
          <w:color w:val="000000"/>
          <w:szCs w:val="32"/>
        </w:rPr>
      </w:pPr>
      <w:bookmarkStart w:id="11" w:name="_Toc229673022"/>
      <w:r>
        <w:rPr>
          <w:rFonts w:hint="eastAsia" w:eastAsia="楷体" w:cs="楷体"/>
          <w:color w:val="000000"/>
          <w:szCs w:val="32"/>
        </w:rPr>
        <w:t>（二）面临形势</w:t>
      </w:r>
      <w:bookmarkEnd w:id="11"/>
    </w:p>
    <w:p w14:paraId="2BDD8CB4">
      <w:pPr>
        <w:pStyle w:val="2"/>
        <w:ind w:firstLine="643"/>
        <w:rPr>
          <w:rFonts w:hint="eastAsia"/>
          <w:b/>
          <w:bCs/>
          <w:color w:val="000000"/>
        </w:rPr>
      </w:pPr>
      <w:bookmarkStart w:id="12" w:name="_Hlk217926322"/>
      <w:r>
        <w:rPr>
          <w:rFonts w:hint="eastAsia"/>
          <w:b/>
          <w:bCs/>
          <w:color w:val="000000"/>
        </w:rPr>
        <w:t>从国际看，</w:t>
      </w:r>
      <w:r>
        <w:rPr>
          <w:rFonts w:hint="eastAsia"/>
          <w:color w:val="000000"/>
        </w:rPr>
        <w:t>世界百年变局加速演进，世界变乱交织、动荡加剧，地缘冲突易发多发，单边主义、保护主义抬头，霸权主义和强权政治威胁上升，国际经济贸易秩序遇到严峻挑战，世界经济增长动能不足，贵阳市商务发展面临的不确定难预料因素增加。同时，新一轮科技革命和产业变革深入发展，特别是人工智能等前沿技术加快重塑生产生活范式，</w:t>
      </w:r>
      <w:bookmarkEnd w:id="12"/>
      <w:r>
        <w:rPr>
          <w:rFonts w:hint="eastAsia"/>
          <w:color w:val="000000"/>
        </w:rPr>
        <w:t>新零售、跨境电商、平台经济、数字贸易、绿色贸易等新业态新模式蓬勃发展，数字化、智能化、绿色化发展趋势加快，</w:t>
      </w:r>
      <w:bookmarkStart w:id="13" w:name="_Hlk217926331"/>
      <w:r>
        <w:rPr>
          <w:rFonts w:hint="eastAsia"/>
          <w:color w:val="000000"/>
        </w:rPr>
        <w:t>有助于贵阳市推动内贸流通和开放型经济产品、服务及模式创新。随着区域全面经济伙伴关系协定（RCEP）实施、“一带一路”建设等深入推进，国际合作空间不断拓展，有助于贵阳市深化与</w:t>
      </w:r>
      <w:r>
        <w:rPr>
          <w:color w:val="000000"/>
        </w:rPr>
        <w:t>RCEP</w:t>
      </w:r>
      <w:r>
        <w:rPr>
          <w:rFonts w:hint="eastAsia"/>
          <w:color w:val="000000"/>
        </w:rPr>
        <w:t>国家、“一带一路”沿线国家合作。</w:t>
      </w:r>
    </w:p>
    <w:bookmarkEnd w:id="13"/>
    <w:p w14:paraId="2D859E7A">
      <w:pPr>
        <w:pStyle w:val="2"/>
        <w:ind w:firstLine="643"/>
        <w:rPr>
          <w:rFonts w:hint="eastAsia"/>
          <w:color w:val="000000"/>
        </w:rPr>
      </w:pPr>
      <w:bookmarkStart w:id="14" w:name="_Hlk217926368"/>
      <w:r>
        <w:rPr>
          <w:rFonts w:hint="eastAsia"/>
          <w:b/>
          <w:bCs/>
          <w:color w:val="000000"/>
        </w:rPr>
        <w:t>从国内看，</w:t>
      </w:r>
      <w:bookmarkEnd w:id="14"/>
      <w:r>
        <w:rPr>
          <w:rFonts w:hint="eastAsia"/>
          <w:color w:val="000000"/>
        </w:rPr>
        <w:t>我国经济面临有效需求不足、供强需弱矛盾突出、社会预期偏弱，</w:t>
      </w:r>
      <w:r>
        <w:rPr>
          <w:color w:val="000000"/>
        </w:rPr>
        <w:t>居民消费和企业投资意愿有待提振</w:t>
      </w:r>
      <w:r>
        <w:rPr>
          <w:rFonts w:hint="eastAsia"/>
          <w:color w:val="000000"/>
        </w:rPr>
        <w:t>，贵阳市在扩大消费、招商引资等方面遇到挑战。同时，商务发展迎来多重机遇。国家坚定实施扩大内需战略，出台《提振消费专项行动方案》，以更大力度促进消费、全方位扩大国内需求。国家持续完善对外开放战略布局，为国际贸易和投资搭建新平台，将在更大范围、更广领域、更多层次推动开放发展。</w:t>
      </w:r>
      <w:bookmarkStart w:id="15" w:name="_Hlk217926373"/>
      <w:r>
        <w:rPr>
          <w:rFonts w:hint="eastAsia"/>
          <w:color w:val="000000"/>
        </w:rPr>
        <w:t>我国加快构建新发展格局，积极构建</w:t>
      </w:r>
      <w:r>
        <w:rPr>
          <w:rFonts w:hint="eastAsia" w:ascii="仿宋_GB2312" w:hAnsi="微软雅黑" w:cs="微软雅黑"/>
          <w:color w:val="000000"/>
        </w:rPr>
        <w:t>全国统一大市场，</w:t>
      </w:r>
      <w:r>
        <w:rPr>
          <w:rFonts w:hint="eastAsia"/>
          <w:color w:val="000000"/>
        </w:rPr>
        <w:t>为贵阳市商务发展提供坚实的政策支撑。</w:t>
      </w:r>
      <w:bookmarkEnd w:id="15"/>
      <w:r>
        <w:rPr>
          <w:rFonts w:hint="eastAsia"/>
          <w:color w:val="000000"/>
        </w:rPr>
        <w:t>我国居民收入增长、数字技术发展和社会文化变迁，导致居民消费观念及行为显著变化，居民消费需求从生存型消费向发展型消费转变，从商品消费向服务消费转变，从单一消费向多元消费融合转变，消费群体向α世代、银发族两端延伸。</w:t>
      </w:r>
      <w:bookmarkStart w:id="16" w:name="_Hlk217926383"/>
      <w:r>
        <w:rPr>
          <w:rFonts w:hint="eastAsia"/>
          <w:color w:val="000000"/>
        </w:rPr>
        <w:t>居民</w:t>
      </w:r>
      <w:r>
        <w:rPr>
          <w:color w:val="000000"/>
        </w:rPr>
        <w:t>消费升级</w:t>
      </w:r>
      <w:r>
        <w:rPr>
          <w:rFonts w:hint="eastAsia"/>
          <w:color w:val="000000"/>
        </w:rPr>
        <w:t>变迁释放</w:t>
      </w:r>
      <w:r>
        <w:rPr>
          <w:color w:val="000000"/>
        </w:rPr>
        <w:t>新需求</w:t>
      </w:r>
      <w:r>
        <w:rPr>
          <w:rFonts w:hint="eastAsia"/>
          <w:color w:val="000000"/>
        </w:rPr>
        <w:t>，为贵阳市创新消费模式和业态提供市场空间。</w:t>
      </w:r>
    </w:p>
    <w:bookmarkEnd w:id="16"/>
    <w:p w14:paraId="2BD32D18">
      <w:pPr>
        <w:pStyle w:val="2"/>
        <w:ind w:firstLine="643"/>
        <w:rPr>
          <w:color w:val="000000"/>
        </w:rPr>
      </w:pPr>
      <w:bookmarkStart w:id="17" w:name="_Hlk217926391"/>
      <w:r>
        <w:rPr>
          <w:rFonts w:hint="eastAsia"/>
          <w:b/>
          <w:bCs/>
          <w:color w:val="000000"/>
        </w:rPr>
        <w:t>从区域看，</w:t>
      </w:r>
      <w:bookmarkEnd w:id="17"/>
      <w:r>
        <w:rPr>
          <w:rFonts w:hint="eastAsia"/>
          <w:color w:val="000000"/>
        </w:rPr>
        <w:t>省外重庆市、成都市等城市对贵阳市高端消费、国际市场开拓具有“虹吸效应”，省内遵义市、毕节市等城市商贸业和开放型经济发展成效明显，削弱了贵阳市对全省的辐射能力，贵阳市商务发展面临的区域竞争更加激烈。</w:t>
      </w:r>
      <w:r>
        <w:rPr>
          <w:snapToGrid w:val="0"/>
          <w:color w:val="000000"/>
          <w:kern w:val="0"/>
          <w:szCs w:val="32"/>
        </w:rPr>
        <w:t>面对困难挑战，习近平总书记对贵州工作作出重要讲话重要指示，为</w:t>
      </w:r>
      <w:r>
        <w:rPr>
          <w:rFonts w:hint="eastAsia"/>
          <w:snapToGrid w:val="0"/>
          <w:color w:val="000000"/>
          <w:kern w:val="0"/>
          <w:szCs w:val="32"/>
        </w:rPr>
        <w:t>贵阳市</w:t>
      </w:r>
      <w:r>
        <w:rPr>
          <w:snapToGrid w:val="0"/>
          <w:color w:val="000000"/>
          <w:kern w:val="0"/>
          <w:szCs w:val="32"/>
        </w:rPr>
        <w:t>指明了前进方向</w:t>
      </w:r>
      <w:r>
        <w:rPr>
          <w:rFonts w:hint="eastAsia"/>
          <w:snapToGrid w:val="0"/>
          <w:color w:val="000000"/>
          <w:kern w:val="0"/>
          <w:szCs w:val="32"/>
          <w:lang w:eastAsia="zh-CN"/>
        </w:rPr>
        <w:t>，</w:t>
      </w:r>
      <w:r>
        <w:rPr>
          <w:rFonts w:hint="eastAsia"/>
          <w:snapToGrid w:val="0"/>
          <w:color w:val="000000"/>
          <w:kern w:val="0"/>
          <w:szCs w:val="32"/>
          <w:lang w:val="en-US" w:eastAsia="zh-CN"/>
        </w:rPr>
        <w:t>建好用好</w:t>
      </w:r>
      <w:r>
        <w:rPr>
          <w:rFonts w:hint="eastAsia"/>
          <w:color w:val="000000"/>
        </w:rPr>
        <w:t>西部陆海新通道，</w:t>
      </w:r>
      <w:bookmarkStart w:id="18" w:name="_Hlk217926609"/>
      <w:r>
        <w:rPr>
          <w:rFonts w:hint="eastAsia"/>
          <w:color w:val="000000"/>
        </w:rPr>
        <w:t>有助于贵阳市强化交通枢纽功能，提升区域协同发展和对外开放水平。积极融入成渝地区双城经济圈、粤港澳大湾区建设等，有助于贵阳市加强与先进地区互联互通和资源共享，广泛聚集优质的市场主体、商品和服务，扩大商务领域辐射力和影响力。</w:t>
      </w:r>
    </w:p>
    <w:p w14:paraId="38C89081">
      <w:pPr>
        <w:pStyle w:val="2"/>
        <w:ind w:firstLine="643"/>
        <w:rPr>
          <w:rFonts w:hint="eastAsia"/>
          <w:color w:val="000000"/>
        </w:rPr>
      </w:pPr>
      <w:r>
        <w:rPr>
          <w:rFonts w:hint="eastAsia"/>
          <w:b/>
          <w:bCs/>
          <w:color w:val="000000"/>
        </w:rPr>
        <w:t>从全市看，</w:t>
      </w:r>
      <w:r>
        <w:rPr>
          <w:rFonts w:hint="eastAsia"/>
          <w:color w:val="000000"/>
        </w:rPr>
        <w:t>贵阳市商务发展面临多重短板，内贸流通存在</w:t>
      </w:r>
      <w:r>
        <w:rPr>
          <w:color w:val="000000"/>
        </w:rPr>
        <w:t>商业布局尚不均衡</w:t>
      </w:r>
      <w:r>
        <w:rPr>
          <w:rFonts w:hint="eastAsia"/>
          <w:color w:val="000000"/>
        </w:rPr>
        <w:t>、</w:t>
      </w:r>
      <w:r>
        <w:rPr>
          <w:color w:val="000000"/>
        </w:rPr>
        <w:t>消费供给结构不优</w:t>
      </w:r>
      <w:r>
        <w:rPr>
          <w:rFonts w:hint="eastAsia"/>
          <w:color w:val="000000"/>
        </w:rPr>
        <w:t>、</w:t>
      </w:r>
      <w:r>
        <w:rPr>
          <w:color w:val="000000"/>
        </w:rPr>
        <w:t>流通体系效率偏低</w:t>
      </w:r>
      <w:r>
        <w:rPr>
          <w:rFonts w:hint="eastAsia"/>
          <w:color w:val="000000"/>
        </w:rPr>
        <w:t>等问题，开放型经济存在口岸功能不完善、开放平台能级不高、外资招引难度较大等问题。同时，贵阳市资源优势日益彰显、基础设施日趋完善、产业发展积厚成势，为商务高质量发展奠定了坚实基础。近年来，贵阳市城市功能不断完善，城市品质不断提升，人口人才加速集聚，本地居民美好生活需求持续升级。贵阳市气候凉爽宜人，自然和旅游资源富集，多元文化融合，文旅火爆出圈，全市商业、文化、旅游、体育、避暑、康养融合不断深入，有助于外来消费扩张，激发消费新潜力。贵阳市经济发展稳中有进，工业发展向扩量提质迈进，开放型产业基础不断夯实，为商务发展提供新动能。</w:t>
      </w:r>
    </w:p>
    <w:bookmarkEnd w:id="18"/>
    <w:p w14:paraId="249B6D82">
      <w:pPr>
        <w:spacing w:before="260" w:after="260"/>
        <w:ind w:firstLine="640"/>
        <w:outlineLvl w:val="0"/>
        <w:rPr>
          <w:rFonts w:eastAsia="黑体" w:cs="黑体"/>
          <w:color w:val="000000"/>
          <w:szCs w:val="32"/>
        </w:rPr>
        <w:sectPr>
          <w:pgSz w:w="11906" w:h="16838"/>
          <w:pgMar w:top="1440" w:right="1800" w:bottom="1440" w:left="1800" w:header="851" w:footer="992" w:gutter="0"/>
          <w:cols w:space="425" w:num="1"/>
          <w:docGrid w:type="lines" w:linePitch="435" w:charSpace="0"/>
        </w:sectPr>
      </w:pPr>
    </w:p>
    <w:p w14:paraId="306C292B">
      <w:pPr>
        <w:spacing w:before="260" w:after="260"/>
        <w:ind w:firstLine="640"/>
        <w:outlineLvl w:val="0"/>
        <w:rPr>
          <w:rFonts w:eastAsia="黑体" w:cs="黑体"/>
          <w:color w:val="000000"/>
          <w:szCs w:val="32"/>
        </w:rPr>
      </w:pPr>
      <w:bookmarkStart w:id="19" w:name="_Toc229673023"/>
      <w:r>
        <w:rPr>
          <w:rFonts w:hint="eastAsia" w:eastAsia="黑体" w:cs="黑体"/>
          <w:color w:val="000000"/>
          <w:szCs w:val="32"/>
        </w:rPr>
        <w:t>二、总体要求</w:t>
      </w:r>
      <w:bookmarkEnd w:id="19"/>
    </w:p>
    <w:p w14:paraId="4D5FFDBB">
      <w:pPr>
        <w:spacing w:before="260" w:after="260"/>
        <w:ind w:firstLine="640"/>
        <w:outlineLvl w:val="1"/>
        <w:rPr>
          <w:rFonts w:eastAsia="楷体" w:cs="楷体"/>
          <w:color w:val="000000"/>
          <w:szCs w:val="32"/>
        </w:rPr>
      </w:pPr>
      <w:bookmarkStart w:id="20" w:name="_Toc229673024"/>
      <w:r>
        <w:rPr>
          <w:rFonts w:hint="eastAsia" w:eastAsia="楷体" w:cs="楷体"/>
          <w:color w:val="000000"/>
          <w:szCs w:val="32"/>
        </w:rPr>
        <w:t>（一）指导思想</w:t>
      </w:r>
      <w:bookmarkEnd w:id="20"/>
    </w:p>
    <w:p w14:paraId="722F04E7">
      <w:pPr>
        <w:pStyle w:val="2"/>
        <w:ind w:firstLine="640"/>
        <w:rPr>
          <w:color w:val="000000"/>
        </w:rPr>
      </w:pPr>
      <w:r>
        <w:rPr>
          <w:rFonts w:hint="eastAsia"/>
          <w:color w:val="000000"/>
        </w:rPr>
        <w:t>以习近平新时代中国特色社会主义思想为指导，深入贯彻党的二十大和二十届历次全会精神，认真贯彻习近平总书记关于贵州、贵阳贵安工作重要讲话重要指示精神，，完整准确全面贯彻新发展理念，服务和融入新发展格局，以推动高质量发展为主题，以改革创新为根本动力，以满足人民日益增长的美好生活需要为根本目的，围绕“四新”主攻“四化”，深入实施强化比较优势战略，坚持“四主四市”“四主四区”战略，围绕建设“区域性国际消费中心城市”和“内陆开放型经济新高地先行区”目标，优化商业布局、提升消费能级、汇聚商贸主体、完善流通体系、推动数绿转型、激发楼宇活力，建设现代化、多元化、国际化的商贸产业体系，构建开放格局、拓宽开放通道、建强开放平台、壮大开放主体、培育开放业态，推动开放型经济发展质量与效益大幅提升。以高质量的商务发展，奋力在展现贵州新风采中作出贵阳新贡献体现商务新作为。</w:t>
      </w:r>
    </w:p>
    <w:p w14:paraId="0E77FFC9">
      <w:pPr>
        <w:spacing w:before="260" w:after="260"/>
        <w:ind w:firstLine="640"/>
        <w:outlineLvl w:val="1"/>
        <w:rPr>
          <w:rFonts w:eastAsia="楷体" w:cs="楷体"/>
          <w:color w:val="000000"/>
          <w:szCs w:val="32"/>
        </w:rPr>
      </w:pPr>
      <w:bookmarkStart w:id="21" w:name="_Toc229673025"/>
      <w:r>
        <w:rPr>
          <w:rFonts w:hint="eastAsia" w:eastAsia="楷体" w:cs="楷体"/>
          <w:color w:val="000000"/>
          <w:szCs w:val="32"/>
        </w:rPr>
        <w:t>（二）基本原则</w:t>
      </w:r>
      <w:bookmarkEnd w:id="21"/>
    </w:p>
    <w:p w14:paraId="7DBC1DD5">
      <w:pPr>
        <w:pStyle w:val="2"/>
        <w:ind w:firstLine="643"/>
        <w:rPr>
          <w:rFonts w:hint="eastAsia"/>
          <w:color w:val="000000"/>
        </w:rPr>
      </w:pPr>
      <w:r>
        <w:rPr>
          <w:rFonts w:hint="eastAsia"/>
          <w:b/>
          <w:bCs/>
          <w:color w:val="000000"/>
        </w:rPr>
        <w:t>坚持党的全面领导。</w:t>
      </w:r>
      <w:r>
        <w:rPr>
          <w:rFonts w:hint="eastAsia"/>
          <w:color w:val="000000"/>
        </w:rPr>
        <w:t>坚持以党的政治建设为统领，坚决落实党中央、国务院和</w:t>
      </w:r>
      <w:r>
        <w:rPr>
          <w:rFonts w:hint="eastAsia"/>
          <w:color w:val="000000"/>
          <w:lang w:eastAsia="zh-CN"/>
        </w:rPr>
        <w:t>省委、省政府</w:t>
      </w:r>
      <w:r>
        <w:rPr>
          <w:rFonts w:hint="eastAsia"/>
          <w:color w:val="000000"/>
        </w:rPr>
        <w:t>、</w:t>
      </w:r>
      <w:r>
        <w:rPr>
          <w:rFonts w:hint="eastAsia"/>
          <w:color w:val="000000"/>
          <w:lang w:eastAsia="zh-CN"/>
        </w:rPr>
        <w:t>市委、市政府</w:t>
      </w:r>
      <w:r>
        <w:rPr>
          <w:rFonts w:hint="eastAsia"/>
          <w:color w:val="000000"/>
        </w:rPr>
        <w:t>决策部署，积极融入和服务国家战略、服务全省全市经济社会发展大局，把党的领导落实到全市商务工作各领域各方面各环节。</w:t>
      </w:r>
    </w:p>
    <w:p w14:paraId="5D491CCF">
      <w:pPr>
        <w:pStyle w:val="2"/>
        <w:ind w:firstLine="643"/>
        <w:rPr>
          <w:rFonts w:hint="eastAsia"/>
          <w:color w:val="000000"/>
        </w:rPr>
      </w:pPr>
      <w:r>
        <w:rPr>
          <w:rFonts w:hint="eastAsia"/>
          <w:b/>
          <w:bCs/>
          <w:color w:val="000000"/>
        </w:rPr>
        <w:t>坚持聚焦民生、服务为主。</w:t>
      </w:r>
      <w:r>
        <w:rPr>
          <w:rFonts w:hint="eastAsia"/>
          <w:color w:val="000000"/>
        </w:rPr>
        <w:t>把满足人民日益增长的美好生活需要作为商务发展的根本遵循，不断增强商务服务民生能力，始终做到商务发展为了人民、商务发展依靠人民、商务发展成果由人民共享，让人民在商务发展中有更多获得感、幸福感、安全感。</w:t>
      </w:r>
    </w:p>
    <w:p w14:paraId="54709E19">
      <w:pPr>
        <w:pStyle w:val="2"/>
        <w:ind w:firstLine="643"/>
        <w:rPr>
          <w:rFonts w:hint="eastAsia"/>
          <w:color w:val="000000"/>
        </w:rPr>
      </w:pPr>
      <w:r>
        <w:rPr>
          <w:rFonts w:hint="eastAsia"/>
          <w:b/>
          <w:bCs/>
          <w:color w:val="000000"/>
        </w:rPr>
        <w:t>坚持创新引领、融合发展。</w:t>
      </w:r>
      <w:r>
        <w:rPr>
          <w:rFonts w:hint="eastAsia"/>
          <w:color w:val="000000"/>
        </w:rPr>
        <w:t>顺应市场需求变化，引导企业通过技术创新、产品创新、业态创新和模式创新，在创新中提升供给质量、满足需求、引导消费。加快推动消费场景融合发展、内外贸融合发展，强化贸易与产业融合互促，形成商务服务与相关产业深度融合发展的新局面。</w:t>
      </w:r>
    </w:p>
    <w:p w14:paraId="7C181685">
      <w:pPr>
        <w:pStyle w:val="2"/>
        <w:ind w:firstLine="643"/>
        <w:rPr>
          <w:rFonts w:hint="eastAsia"/>
          <w:b/>
          <w:bCs/>
          <w:color w:val="000000"/>
        </w:rPr>
      </w:pPr>
      <w:r>
        <w:rPr>
          <w:rFonts w:hint="eastAsia"/>
          <w:b/>
          <w:bCs/>
          <w:color w:val="000000"/>
        </w:rPr>
        <w:t>坚持深化改革、扩大开放。</w:t>
      </w:r>
      <w:r>
        <w:rPr>
          <w:rFonts w:hint="eastAsia"/>
          <w:color w:val="000000"/>
        </w:rPr>
        <w:t>聚焦制约商务高质量发展的体制机制障碍，推进深层次改革。</w:t>
      </w:r>
      <w:r>
        <w:rPr>
          <w:color w:val="000000"/>
        </w:rPr>
        <w:t>树立大商务观念，协同推进对内和对外开放，</w:t>
      </w:r>
      <w:r>
        <w:rPr>
          <w:rFonts w:hint="eastAsia"/>
          <w:color w:val="000000"/>
        </w:rPr>
        <w:t>主动融入国家开放发展大格局，全力参与新时代西部大开发建设，积极融入粤港澳大湾区、成渝地区双城经济圈、长江经济带建设，以开放促改革促发展。</w:t>
      </w:r>
    </w:p>
    <w:p w14:paraId="7B9576B5">
      <w:pPr>
        <w:pStyle w:val="2"/>
        <w:ind w:firstLine="643"/>
        <w:rPr>
          <w:color w:val="000000"/>
        </w:rPr>
      </w:pPr>
      <w:r>
        <w:rPr>
          <w:rFonts w:hint="eastAsia"/>
          <w:b/>
          <w:bCs/>
          <w:color w:val="000000"/>
        </w:rPr>
        <w:t>坚持系统观念、安全发展。</w:t>
      </w:r>
      <w:r>
        <w:rPr>
          <w:snapToGrid w:val="0"/>
          <w:color w:val="000000"/>
        </w:rPr>
        <w:t>把商务工作放在全</w:t>
      </w:r>
      <w:r>
        <w:rPr>
          <w:rFonts w:hint="eastAsia"/>
          <w:snapToGrid w:val="0"/>
          <w:color w:val="000000"/>
        </w:rPr>
        <w:t>市</w:t>
      </w:r>
      <w:r>
        <w:rPr>
          <w:snapToGrid w:val="0"/>
          <w:color w:val="000000"/>
        </w:rPr>
        <w:t>经济社会发展大局中谋划，</w:t>
      </w:r>
      <w:r>
        <w:rPr>
          <w:rFonts w:hint="eastAsia"/>
          <w:color w:val="000000"/>
        </w:rPr>
        <w:t>强化部门横向协作与市区纵向联动，促进行业优势互补与良性互动，增强商务发展的协调性、联动性、融合性。强化底线思维，有效防范商务领域各类风险，构建内保民生、外护产业的平安商务保障体系。</w:t>
      </w:r>
    </w:p>
    <w:p w14:paraId="07AB3B86">
      <w:pPr>
        <w:spacing w:before="260" w:after="260"/>
        <w:ind w:firstLine="640"/>
        <w:outlineLvl w:val="1"/>
        <w:rPr>
          <w:rFonts w:eastAsia="楷体" w:cs="楷体"/>
          <w:color w:val="000000"/>
          <w:szCs w:val="32"/>
        </w:rPr>
      </w:pPr>
      <w:bookmarkStart w:id="22" w:name="_Toc229673026"/>
      <w:r>
        <w:rPr>
          <w:rFonts w:hint="eastAsia" w:eastAsia="楷体" w:cs="楷体"/>
          <w:color w:val="000000"/>
          <w:szCs w:val="32"/>
        </w:rPr>
        <w:t>（三）发展目标</w:t>
      </w:r>
      <w:bookmarkEnd w:id="22"/>
    </w:p>
    <w:p w14:paraId="5DE795A4">
      <w:pPr>
        <w:pStyle w:val="2"/>
        <w:ind w:firstLine="643"/>
        <w:rPr>
          <w:color w:val="000000"/>
        </w:rPr>
      </w:pPr>
      <w:r>
        <w:rPr>
          <w:rFonts w:hint="eastAsia"/>
          <w:b/>
          <w:bCs/>
          <w:color w:val="000000"/>
        </w:rPr>
        <w:t>——加快建设区域性国际消费中心城市。</w:t>
      </w:r>
      <w:r>
        <w:rPr>
          <w:rFonts w:hint="eastAsia"/>
          <w:color w:val="000000"/>
        </w:rPr>
        <w:t>到2030年，贵阳市社会消费品零售总额力争达到3200亿元，年均增长5%左右；批发业销售额达到8000亿元，年均增长4%左右；零售业销售额达到3400亿元，年均增长6%左右；餐饮业营业额达到370亿元，年均增长6%左右。消费规模稳步扩大，流通体系日益完善，市场主体提质扩容，数字赋能成效显著，城市消费能级全面提升，区域</w:t>
      </w:r>
      <w:r>
        <w:rPr>
          <w:color w:val="000000"/>
        </w:rPr>
        <w:t>辐射能力</w:t>
      </w:r>
      <w:r>
        <w:rPr>
          <w:rFonts w:hint="eastAsia"/>
          <w:color w:val="000000"/>
        </w:rPr>
        <w:t>明显增强</w:t>
      </w:r>
      <w:r>
        <w:rPr>
          <w:color w:val="000000"/>
        </w:rPr>
        <w:t>，</w:t>
      </w:r>
      <w:r>
        <w:rPr>
          <w:rFonts w:hint="eastAsia"/>
          <w:color w:val="000000"/>
        </w:rPr>
        <w:t>商贸业</w:t>
      </w:r>
      <w:r>
        <w:rPr>
          <w:color w:val="000000"/>
        </w:rPr>
        <w:t>对</w:t>
      </w:r>
      <w:r>
        <w:rPr>
          <w:rFonts w:hint="eastAsia"/>
          <w:color w:val="000000"/>
        </w:rPr>
        <w:t>地区</w:t>
      </w:r>
      <w:r>
        <w:rPr>
          <w:color w:val="000000"/>
        </w:rPr>
        <w:t>经济社会发展和人民幸福感提升的带动作用更加突出</w:t>
      </w:r>
      <w:r>
        <w:rPr>
          <w:rFonts w:hint="eastAsia"/>
          <w:color w:val="000000"/>
        </w:rPr>
        <w:t>。</w:t>
      </w:r>
    </w:p>
    <w:p w14:paraId="14A2490F">
      <w:pPr>
        <w:pStyle w:val="2"/>
        <w:ind w:firstLine="643"/>
        <w:rPr>
          <w:color w:val="000000"/>
        </w:rPr>
      </w:pPr>
      <w:r>
        <w:rPr>
          <w:rFonts w:hint="eastAsia"/>
          <w:b/>
          <w:bCs/>
          <w:color w:val="000000"/>
        </w:rPr>
        <w:t>——加快建设内陆开放型经济新高地先行区。</w:t>
      </w:r>
      <w:r>
        <w:rPr>
          <w:rFonts w:hint="eastAsia"/>
          <w:color w:val="000000"/>
        </w:rPr>
        <w:t>到2030年，力争货物进出口总额达到1000亿元、年均增长8%左右；服务进出口总额达22亿美元、年均增长5%左右；服务外包合同执行额达40亿美元、年均增长8%左右；实际利用外资累计达到5亿美元、年均增长5%左右；对外经济技术合作完成额年均增长5%以上。外贸规模稳定增长，贸易结构持续优化，利用外资稳量提质，外经合作深入拓展，开放格局持续拓宽，开放通道效能提升，</w:t>
      </w:r>
      <w:r>
        <w:rPr>
          <w:color w:val="000000"/>
        </w:rPr>
        <w:t>开放平台引领作用</w:t>
      </w:r>
      <w:r>
        <w:rPr>
          <w:rFonts w:hint="eastAsia"/>
          <w:color w:val="000000"/>
        </w:rPr>
        <w:t>凸显，开放主体培优做强，开放业态蓬勃发展，对外开放水平不断提高，在积极融入陆海内外联动、东西双向互济的全面开放格局中展现新担当、新作为。</w:t>
      </w:r>
    </w:p>
    <w:p w14:paraId="1DF9FD3F">
      <w:pPr>
        <w:pStyle w:val="2"/>
        <w:ind w:firstLine="562"/>
        <w:rPr>
          <w:rFonts w:hint="eastAsia"/>
          <w:b/>
          <w:bCs/>
          <w:color w:val="000000"/>
          <w:sz w:val="28"/>
          <w:szCs w:val="28"/>
        </w:rPr>
        <w:sectPr>
          <w:pgSz w:w="11906" w:h="16838"/>
          <w:pgMar w:top="1440" w:right="1800" w:bottom="1440" w:left="1800" w:header="851" w:footer="992" w:gutter="0"/>
          <w:cols w:space="425" w:num="1"/>
          <w:docGrid w:type="lines" w:linePitch="435" w:charSpace="0"/>
        </w:sectPr>
      </w:pPr>
    </w:p>
    <w:p w14:paraId="681ED22E">
      <w:pPr>
        <w:pStyle w:val="2"/>
        <w:ind w:firstLine="0" w:firstLineChars="0"/>
        <w:jc w:val="center"/>
        <w:rPr>
          <w:b/>
          <w:bCs/>
          <w:color w:val="000000"/>
          <w:sz w:val="28"/>
          <w:szCs w:val="28"/>
        </w:rPr>
      </w:pPr>
      <w:r>
        <w:rPr>
          <w:rFonts w:hint="eastAsia"/>
          <w:b/>
          <w:bCs/>
          <w:color w:val="000000"/>
          <w:sz w:val="28"/>
          <w:szCs w:val="28"/>
        </w:rPr>
        <w:t>表2-1：贵阳市“十五五”商务发展指标体系</w:t>
      </w:r>
    </w:p>
    <w:tbl>
      <w:tblPr>
        <w:tblStyle w:val="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851"/>
        <w:gridCol w:w="1984"/>
        <w:gridCol w:w="1417"/>
        <w:gridCol w:w="1135"/>
      </w:tblGrid>
      <w:tr w14:paraId="4F5C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shd w:val="clear" w:color="auto" w:fill="auto"/>
            <w:noWrap w:val="0"/>
            <w:vAlign w:val="top"/>
          </w:tcPr>
          <w:p w14:paraId="603A4CF2">
            <w:pPr>
              <w:pStyle w:val="2"/>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类别</w:t>
            </w:r>
          </w:p>
        </w:tc>
        <w:tc>
          <w:tcPr>
            <w:tcW w:w="1628" w:type="pct"/>
            <w:shd w:val="clear" w:color="auto" w:fill="auto"/>
            <w:noWrap w:val="0"/>
            <w:vAlign w:val="top"/>
          </w:tcPr>
          <w:p w14:paraId="643C26D2">
            <w:pPr>
              <w:pStyle w:val="2"/>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指标名称</w:t>
            </w:r>
          </w:p>
        </w:tc>
        <w:tc>
          <w:tcPr>
            <w:tcW w:w="1133" w:type="pct"/>
            <w:shd w:val="clear" w:color="auto" w:fill="auto"/>
            <w:noWrap w:val="0"/>
            <w:vAlign w:val="top"/>
          </w:tcPr>
          <w:p w14:paraId="50F5BADA">
            <w:pPr>
              <w:pStyle w:val="2"/>
              <w:spacing w:line="440" w:lineRule="exact"/>
              <w:ind w:firstLine="0" w:firstLineChars="0"/>
              <w:jc w:val="center"/>
              <w:rPr>
                <w:rFonts w:hint="eastAsia" w:ascii="黑体" w:hAnsi="黑体" w:eastAsia="黑体"/>
                <w:color w:val="000000"/>
                <w:sz w:val="28"/>
                <w:szCs w:val="28"/>
              </w:rPr>
            </w:pPr>
            <w:r>
              <w:rPr>
                <w:rFonts w:hint="eastAsia" w:ascii="黑体" w:hAnsi="黑体" w:eastAsia="黑体"/>
                <w:color w:val="000000"/>
                <w:sz w:val="28"/>
                <w:szCs w:val="28"/>
              </w:rPr>
              <w:t>2030年目标值</w:t>
            </w:r>
          </w:p>
        </w:tc>
        <w:tc>
          <w:tcPr>
            <w:tcW w:w="809" w:type="pct"/>
            <w:shd w:val="clear" w:color="auto" w:fill="auto"/>
            <w:noWrap w:val="0"/>
            <w:vAlign w:val="top"/>
          </w:tcPr>
          <w:p w14:paraId="5F54ACFE">
            <w:pPr>
              <w:pStyle w:val="2"/>
              <w:spacing w:line="440" w:lineRule="exact"/>
              <w:ind w:firstLine="0" w:firstLineChars="0"/>
              <w:jc w:val="center"/>
              <w:rPr>
                <w:rFonts w:hint="eastAsia" w:ascii="黑体" w:hAnsi="黑体" w:eastAsia="黑体"/>
                <w:color w:val="000000"/>
                <w:sz w:val="28"/>
                <w:szCs w:val="28"/>
              </w:rPr>
            </w:pPr>
            <w:r>
              <w:rPr>
                <w:rFonts w:hint="eastAsia" w:ascii="黑体" w:hAnsi="黑体" w:eastAsia="黑体"/>
                <w:color w:val="000000"/>
                <w:sz w:val="28"/>
                <w:szCs w:val="28"/>
              </w:rPr>
              <w:t>年均增速</w:t>
            </w:r>
          </w:p>
        </w:tc>
        <w:tc>
          <w:tcPr>
            <w:tcW w:w="648" w:type="pct"/>
            <w:shd w:val="clear" w:color="auto" w:fill="auto"/>
            <w:noWrap w:val="0"/>
            <w:vAlign w:val="top"/>
          </w:tcPr>
          <w:p w14:paraId="636D0C6A">
            <w:pPr>
              <w:pStyle w:val="2"/>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属性</w:t>
            </w:r>
          </w:p>
        </w:tc>
      </w:tr>
      <w:tr w14:paraId="4CE4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shd w:val="clear" w:color="auto" w:fill="auto"/>
            <w:noWrap w:val="0"/>
            <w:vAlign w:val="center"/>
          </w:tcPr>
          <w:p w14:paraId="15037108">
            <w:pPr>
              <w:pStyle w:val="2"/>
              <w:spacing w:line="440" w:lineRule="exact"/>
              <w:ind w:firstLine="0" w:firstLineChars="0"/>
              <w:rPr>
                <w:color w:val="000000"/>
                <w:sz w:val="28"/>
                <w:szCs w:val="28"/>
              </w:rPr>
            </w:pPr>
            <w:r>
              <w:rPr>
                <w:rFonts w:hint="eastAsia"/>
                <w:color w:val="000000"/>
                <w:sz w:val="28"/>
                <w:szCs w:val="28"/>
              </w:rPr>
              <w:t>内贸流通</w:t>
            </w:r>
          </w:p>
        </w:tc>
        <w:tc>
          <w:tcPr>
            <w:tcW w:w="1628" w:type="pct"/>
            <w:shd w:val="clear" w:color="auto" w:fill="auto"/>
            <w:noWrap w:val="0"/>
            <w:vAlign w:val="top"/>
          </w:tcPr>
          <w:p w14:paraId="6A0B94C1">
            <w:pPr>
              <w:pStyle w:val="2"/>
              <w:spacing w:line="440" w:lineRule="exact"/>
              <w:ind w:firstLine="0" w:firstLineChars="0"/>
              <w:rPr>
                <w:color w:val="000000"/>
                <w:sz w:val="28"/>
                <w:szCs w:val="28"/>
              </w:rPr>
            </w:pPr>
            <w:r>
              <w:rPr>
                <w:rFonts w:hint="eastAsia"/>
                <w:color w:val="000000"/>
                <w:sz w:val="28"/>
                <w:szCs w:val="28"/>
              </w:rPr>
              <w:t>社会消费品零售总额（亿元）</w:t>
            </w:r>
          </w:p>
        </w:tc>
        <w:tc>
          <w:tcPr>
            <w:tcW w:w="1133" w:type="pct"/>
            <w:shd w:val="clear" w:color="auto" w:fill="auto"/>
            <w:noWrap w:val="0"/>
            <w:vAlign w:val="center"/>
          </w:tcPr>
          <w:p w14:paraId="3222DBDD">
            <w:pPr>
              <w:pStyle w:val="2"/>
              <w:spacing w:line="440" w:lineRule="exact"/>
              <w:ind w:firstLine="0" w:firstLineChars="0"/>
              <w:jc w:val="center"/>
              <w:rPr>
                <w:rFonts w:hint="eastAsia"/>
                <w:color w:val="000000"/>
                <w:sz w:val="28"/>
                <w:szCs w:val="28"/>
              </w:rPr>
            </w:pPr>
            <w:r>
              <w:rPr>
                <w:rFonts w:hint="eastAsia"/>
                <w:color w:val="000000"/>
                <w:sz w:val="28"/>
                <w:szCs w:val="28"/>
              </w:rPr>
              <w:t>3200</w:t>
            </w:r>
          </w:p>
        </w:tc>
        <w:tc>
          <w:tcPr>
            <w:tcW w:w="809" w:type="pct"/>
            <w:shd w:val="clear" w:color="auto" w:fill="auto"/>
            <w:noWrap w:val="0"/>
            <w:vAlign w:val="center"/>
          </w:tcPr>
          <w:p w14:paraId="4407A634">
            <w:pPr>
              <w:pStyle w:val="2"/>
              <w:spacing w:line="440" w:lineRule="exact"/>
              <w:ind w:firstLine="0" w:firstLineChars="0"/>
              <w:jc w:val="center"/>
              <w:rPr>
                <w:rFonts w:hint="eastAsia"/>
                <w:color w:val="000000"/>
                <w:sz w:val="28"/>
                <w:szCs w:val="28"/>
              </w:rPr>
            </w:pPr>
            <w:r>
              <w:rPr>
                <w:rFonts w:hint="eastAsia"/>
                <w:color w:val="000000"/>
                <w:sz w:val="28"/>
                <w:szCs w:val="28"/>
              </w:rPr>
              <w:t>5%</w:t>
            </w:r>
          </w:p>
        </w:tc>
        <w:tc>
          <w:tcPr>
            <w:tcW w:w="648" w:type="pct"/>
            <w:shd w:val="clear" w:color="auto" w:fill="auto"/>
            <w:noWrap w:val="0"/>
            <w:vAlign w:val="center"/>
          </w:tcPr>
          <w:p w14:paraId="052C9C94">
            <w:pPr>
              <w:pStyle w:val="2"/>
              <w:spacing w:line="440" w:lineRule="exact"/>
              <w:ind w:firstLine="0" w:firstLineChars="0"/>
              <w:jc w:val="center"/>
              <w:rPr>
                <w:color w:val="000000"/>
                <w:sz w:val="28"/>
                <w:szCs w:val="28"/>
              </w:rPr>
            </w:pPr>
            <w:r>
              <w:rPr>
                <w:rFonts w:hint="eastAsia"/>
                <w:color w:val="000000"/>
                <w:sz w:val="28"/>
                <w:szCs w:val="28"/>
              </w:rPr>
              <w:t>预期性</w:t>
            </w:r>
          </w:p>
        </w:tc>
      </w:tr>
      <w:tr w14:paraId="29E6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center"/>
          </w:tcPr>
          <w:p w14:paraId="790B509E">
            <w:pPr>
              <w:pStyle w:val="2"/>
              <w:spacing w:line="440" w:lineRule="exact"/>
              <w:ind w:firstLine="0" w:firstLineChars="0"/>
              <w:rPr>
                <w:color w:val="000000"/>
                <w:sz w:val="28"/>
                <w:szCs w:val="28"/>
              </w:rPr>
            </w:pPr>
          </w:p>
        </w:tc>
        <w:tc>
          <w:tcPr>
            <w:tcW w:w="1628" w:type="pct"/>
            <w:shd w:val="clear" w:color="auto" w:fill="auto"/>
            <w:noWrap w:val="0"/>
            <w:vAlign w:val="top"/>
          </w:tcPr>
          <w:p w14:paraId="5F84849A">
            <w:pPr>
              <w:pStyle w:val="2"/>
              <w:spacing w:line="440" w:lineRule="exact"/>
              <w:ind w:firstLine="0" w:firstLineChars="0"/>
              <w:rPr>
                <w:color w:val="000000"/>
                <w:sz w:val="28"/>
                <w:szCs w:val="28"/>
              </w:rPr>
            </w:pPr>
            <w:r>
              <w:rPr>
                <w:rFonts w:hint="eastAsia"/>
                <w:color w:val="000000"/>
                <w:sz w:val="28"/>
                <w:szCs w:val="28"/>
              </w:rPr>
              <w:t>批发业销售额（亿元）</w:t>
            </w:r>
          </w:p>
        </w:tc>
        <w:tc>
          <w:tcPr>
            <w:tcW w:w="1133" w:type="pct"/>
            <w:shd w:val="clear" w:color="auto" w:fill="auto"/>
            <w:noWrap w:val="0"/>
            <w:vAlign w:val="center"/>
          </w:tcPr>
          <w:p w14:paraId="44F2978E">
            <w:pPr>
              <w:pStyle w:val="2"/>
              <w:spacing w:line="440" w:lineRule="exact"/>
              <w:ind w:firstLine="0" w:firstLineChars="0"/>
              <w:jc w:val="center"/>
              <w:rPr>
                <w:rFonts w:hint="eastAsia"/>
                <w:color w:val="000000"/>
                <w:sz w:val="28"/>
                <w:szCs w:val="28"/>
              </w:rPr>
            </w:pPr>
            <w:r>
              <w:rPr>
                <w:rFonts w:hint="eastAsia"/>
                <w:color w:val="000000"/>
                <w:sz w:val="28"/>
                <w:szCs w:val="28"/>
              </w:rPr>
              <w:t>8000</w:t>
            </w:r>
          </w:p>
        </w:tc>
        <w:tc>
          <w:tcPr>
            <w:tcW w:w="809" w:type="pct"/>
            <w:shd w:val="clear" w:color="auto" w:fill="auto"/>
            <w:noWrap w:val="0"/>
            <w:vAlign w:val="center"/>
          </w:tcPr>
          <w:p w14:paraId="51A1B58B">
            <w:pPr>
              <w:pStyle w:val="2"/>
              <w:spacing w:line="440" w:lineRule="exact"/>
              <w:ind w:firstLine="0" w:firstLineChars="0"/>
              <w:jc w:val="center"/>
              <w:rPr>
                <w:rFonts w:hint="eastAsia"/>
                <w:color w:val="000000"/>
                <w:sz w:val="28"/>
                <w:szCs w:val="28"/>
              </w:rPr>
            </w:pPr>
            <w:r>
              <w:rPr>
                <w:rFonts w:hint="eastAsia"/>
                <w:color w:val="000000"/>
                <w:sz w:val="28"/>
                <w:szCs w:val="28"/>
              </w:rPr>
              <w:t>4%</w:t>
            </w:r>
          </w:p>
        </w:tc>
        <w:tc>
          <w:tcPr>
            <w:tcW w:w="648" w:type="pct"/>
            <w:shd w:val="clear" w:color="auto" w:fill="auto"/>
            <w:noWrap w:val="0"/>
            <w:vAlign w:val="center"/>
          </w:tcPr>
          <w:p w14:paraId="5F971035">
            <w:pPr>
              <w:pStyle w:val="2"/>
              <w:spacing w:line="440" w:lineRule="exact"/>
              <w:ind w:firstLine="0" w:firstLineChars="0"/>
              <w:jc w:val="center"/>
              <w:rPr>
                <w:color w:val="000000"/>
                <w:sz w:val="28"/>
                <w:szCs w:val="28"/>
              </w:rPr>
            </w:pPr>
            <w:r>
              <w:rPr>
                <w:rFonts w:hint="eastAsia"/>
                <w:color w:val="000000"/>
                <w:sz w:val="28"/>
                <w:szCs w:val="28"/>
              </w:rPr>
              <w:t>预期性</w:t>
            </w:r>
          </w:p>
        </w:tc>
      </w:tr>
      <w:tr w14:paraId="758C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center"/>
          </w:tcPr>
          <w:p w14:paraId="43C955F0">
            <w:pPr>
              <w:pStyle w:val="2"/>
              <w:spacing w:line="440" w:lineRule="exact"/>
              <w:ind w:firstLine="0" w:firstLineChars="0"/>
              <w:rPr>
                <w:color w:val="000000"/>
                <w:sz w:val="28"/>
                <w:szCs w:val="28"/>
              </w:rPr>
            </w:pPr>
          </w:p>
        </w:tc>
        <w:tc>
          <w:tcPr>
            <w:tcW w:w="1628" w:type="pct"/>
            <w:shd w:val="clear" w:color="auto" w:fill="auto"/>
            <w:noWrap w:val="0"/>
            <w:vAlign w:val="top"/>
          </w:tcPr>
          <w:p w14:paraId="02DCCDF6">
            <w:pPr>
              <w:pStyle w:val="2"/>
              <w:spacing w:line="440" w:lineRule="exact"/>
              <w:ind w:firstLine="0" w:firstLineChars="0"/>
              <w:rPr>
                <w:color w:val="000000"/>
                <w:sz w:val="28"/>
                <w:szCs w:val="28"/>
              </w:rPr>
            </w:pPr>
            <w:r>
              <w:rPr>
                <w:rFonts w:hint="eastAsia"/>
                <w:color w:val="000000"/>
                <w:sz w:val="28"/>
                <w:szCs w:val="28"/>
              </w:rPr>
              <w:t>零售业销售额（亿元）</w:t>
            </w:r>
          </w:p>
        </w:tc>
        <w:tc>
          <w:tcPr>
            <w:tcW w:w="1133" w:type="pct"/>
            <w:shd w:val="clear" w:color="auto" w:fill="auto"/>
            <w:noWrap w:val="0"/>
            <w:vAlign w:val="center"/>
          </w:tcPr>
          <w:p w14:paraId="4B3BA00C">
            <w:pPr>
              <w:pStyle w:val="2"/>
              <w:spacing w:line="440" w:lineRule="exact"/>
              <w:ind w:firstLine="0" w:firstLineChars="0"/>
              <w:jc w:val="center"/>
              <w:rPr>
                <w:rFonts w:hint="eastAsia"/>
                <w:color w:val="000000"/>
                <w:sz w:val="28"/>
                <w:szCs w:val="28"/>
              </w:rPr>
            </w:pPr>
            <w:r>
              <w:rPr>
                <w:rFonts w:hint="eastAsia"/>
                <w:color w:val="000000"/>
                <w:sz w:val="28"/>
                <w:szCs w:val="28"/>
              </w:rPr>
              <w:t>3400</w:t>
            </w:r>
          </w:p>
        </w:tc>
        <w:tc>
          <w:tcPr>
            <w:tcW w:w="809" w:type="pct"/>
            <w:shd w:val="clear" w:color="auto" w:fill="auto"/>
            <w:noWrap w:val="0"/>
            <w:vAlign w:val="center"/>
          </w:tcPr>
          <w:p w14:paraId="024567AC">
            <w:pPr>
              <w:pStyle w:val="2"/>
              <w:spacing w:line="440" w:lineRule="exact"/>
              <w:ind w:firstLine="0" w:firstLineChars="0"/>
              <w:jc w:val="center"/>
              <w:rPr>
                <w:rFonts w:hint="eastAsia"/>
                <w:color w:val="000000"/>
                <w:sz w:val="28"/>
                <w:szCs w:val="28"/>
              </w:rPr>
            </w:pPr>
            <w:r>
              <w:rPr>
                <w:rFonts w:hint="eastAsia"/>
                <w:color w:val="000000"/>
                <w:sz w:val="28"/>
                <w:szCs w:val="28"/>
              </w:rPr>
              <w:t>6%</w:t>
            </w:r>
          </w:p>
        </w:tc>
        <w:tc>
          <w:tcPr>
            <w:tcW w:w="648" w:type="pct"/>
            <w:shd w:val="clear" w:color="auto" w:fill="auto"/>
            <w:noWrap w:val="0"/>
            <w:vAlign w:val="center"/>
          </w:tcPr>
          <w:p w14:paraId="15AC2E41">
            <w:pPr>
              <w:pStyle w:val="2"/>
              <w:spacing w:line="440" w:lineRule="exact"/>
              <w:ind w:firstLine="0" w:firstLineChars="0"/>
              <w:jc w:val="center"/>
              <w:rPr>
                <w:color w:val="000000"/>
                <w:sz w:val="28"/>
                <w:szCs w:val="28"/>
              </w:rPr>
            </w:pPr>
            <w:r>
              <w:rPr>
                <w:rFonts w:hint="eastAsia"/>
                <w:color w:val="000000"/>
                <w:sz w:val="28"/>
                <w:szCs w:val="28"/>
              </w:rPr>
              <w:t>预期性</w:t>
            </w:r>
          </w:p>
        </w:tc>
      </w:tr>
      <w:tr w14:paraId="7060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center"/>
          </w:tcPr>
          <w:p w14:paraId="360E69E5">
            <w:pPr>
              <w:pStyle w:val="2"/>
              <w:spacing w:line="440" w:lineRule="exact"/>
              <w:ind w:firstLine="0" w:firstLineChars="0"/>
              <w:rPr>
                <w:color w:val="000000"/>
                <w:sz w:val="28"/>
                <w:szCs w:val="28"/>
              </w:rPr>
            </w:pPr>
          </w:p>
        </w:tc>
        <w:tc>
          <w:tcPr>
            <w:tcW w:w="1628" w:type="pct"/>
            <w:shd w:val="clear" w:color="auto" w:fill="auto"/>
            <w:noWrap w:val="0"/>
            <w:vAlign w:val="top"/>
          </w:tcPr>
          <w:p w14:paraId="1FA85644">
            <w:pPr>
              <w:pStyle w:val="2"/>
              <w:spacing w:line="440" w:lineRule="exact"/>
              <w:ind w:firstLine="0" w:firstLineChars="0"/>
              <w:rPr>
                <w:color w:val="000000"/>
                <w:sz w:val="28"/>
                <w:szCs w:val="28"/>
              </w:rPr>
            </w:pPr>
            <w:r>
              <w:rPr>
                <w:rFonts w:hint="eastAsia"/>
                <w:color w:val="000000"/>
                <w:sz w:val="28"/>
                <w:szCs w:val="28"/>
              </w:rPr>
              <w:t>餐饮业营业额（亿元）</w:t>
            </w:r>
          </w:p>
        </w:tc>
        <w:tc>
          <w:tcPr>
            <w:tcW w:w="1133" w:type="pct"/>
            <w:shd w:val="clear" w:color="auto" w:fill="auto"/>
            <w:noWrap w:val="0"/>
            <w:vAlign w:val="center"/>
          </w:tcPr>
          <w:p w14:paraId="3930A0A6">
            <w:pPr>
              <w:pStyle w:val="2"/>
              <w:spacing w:line="440" w:lineRule="exact"/>
              <w:ind w:firstLine="0" w:firstLineChars="0"/>
              <w:jc w:val="center"/>
              <w:rPr>
                <w:rFonts w:hint="eastAsia"/>
                <w:color w:val="000000"/>
                <w:sz w:val="28"/>
                <w:szCs w:val="28"/>
              </w:rPr>
            </w:pPr>
            <w:r>
              <w:rPr>
                <w:rFonts w:hint="eastAsia"/>
                <w:color w:val="000000"/>
                <w:sz w:val="28"/>
                <w:szCs w:val="28"/>
              </w:rPr>
              <w:t>370</w:t>
            </w:r>
          </w:p>
        </w:tc>
        <w:tc>
          <w:tcPr>
            <w:tcW w:w="809" w:type="pct"/>
            <w:shd w:val="clear" w:color="auto" w:fill="auto"/>
            <w:noWrap w:val="0"/>
            <w:vAlign w:val="center"/>
          </w:tcPr>
          <w:p w14:paraId="204186E0">
            <w:pPr>
              <w:pStyle w:val="2"/>
              <w:spacing w:line="440" w:lineRule="exact"/>
              <w:ind w:firstLine="0" w:firstLineChars="0"/>
              <w:jc w:val="center"/>
              <w:rPr>
                <w:rFonts w:hint="eastAsia"/>
                <w:color w:val="000000"/>
                <w:sz w:val="28"/>
                <w:szCs w:val="28"/>
              </w:rPr>
            </w:pPr>
            <w:r>
              <w:rPr>
                <w:rFonts w:hint="eastAsia"/>
                <w:color w:val="000000"/>
                <w:sz w:val="28"/>
                <w:szCs w:val="28"/>
              </w:rPr>
              <w:t>6%</w:t>
            </w:r>
          </w:p>
        </w:tc>
        <w:tc>
          <w:tcPr>
            <w:tcW w:w="648" w:type="pct"/>
            <w:shd w:val="clear" w:color="auto" w:fill="auto"/>
            <w:noWrap w:val="0"/>
            <w:vAlign w:val="center"/>
          </w:tcPr>
          <w:p w14:paraId="659AEDCC">
            <w:pPr>
              <w:pStyle w:val="2"/>
              <w:spacing w:line="440" w:lineRule="exact"/>
              <w:ind w:firstLine="0" w:firstLineChars="0"/>
              <w:jc w:val="center"/>
              <w:rPr>
                <w:color w:val="000000"/>
                <w:sz w:val="28"/>
                <w:szCs w:val="28"/>
              </w:rPr>
            </w:pPr>
            <w:r>
              <w:rPr>
                <w:rFonts w:hint="eastAsia"/>
                <w:color w:val="000000"/>
                <w:sz w:val="28"/>
                <w:szCs w:val="28"/>
              </w:rPr>
              <w:t>预期性</w:t>
            </w:r>
          </w:p>
        </w:tc>
      </w:tr>
      <w:tr w14:paraId="6B2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shd w:val="clear" w:color="auto" w:fill="auto"/>
            <w:noWrap w:val="0"/>
            <w:vAlign w:val="center"/>
          </w:tcPr>
          <w:p w14:paraId="4C4AC757">
            <w:pPr>
              <w:pStyle w:val="2"/>
              <w:spacing w:line="440" w:lineRule="exact"/>
              <w:ind w:firstLine="0" w:firstLineChars="0"/>
              <w:rPr>
                <w:color w:val="000000"/>
                <w:sz w:val="28"/>
                <w:szCs w:val="28"/>
              </w:rPr>
            </w:pPr>
            <w:r>
              <w:rPr>
                <w:rFonts w:hint="eastAsia"/>
                <w:color w:val="000000"/>
                <w:sz w:val="28"/>
                <w:szCs w:val="28"/>
              </w:rPr>
              <w:t>开放型经济</w:t>
            </w:r>
          </w:p>
        </w:tc>
        <w:tc>
          <w:tcPr>
            <w:tcW w:w="1628" w:type="pct"/>
            <w:shd w:val="clear" w:color="auto" w:fill="auto"/>
            <w:noWrap w:val="0"/>
            <w:vAlign w:val="top"/>
          </w:tcPr>
          <w:p w14:paraId="01F7C14C">
            <w:pPr>
              <w:pStyle w:val="2"/>
              <w:spacing w:line="440" w:lineRule="exact"/>
              <w:ind w:firstLine="0" w:firstLineChars="0"/>
              <w:rPr>
                <w:color w:val="000000"/>
                <w:sz w:val="28"/>
                <w:szCs w:val="28"/>
              </w:rPr>
            </w:pPr>
            <w:r>
              <w:rPr>
                <w:rFonts w:hint="eastAsia"/>
                <w:color w:val="000000"/>
                <w:sz w:val="28"/>
                <w:szCs w:val="28"/>
              </w:rPr>
              <w:t>货物进出口总额（亿元）</w:t>
            </w:r>
          </w:p>
        </w:tc>
        <w:tc>
          <w:tcPr>
            <w:tcW w:w="1133" w:type="pct"/>
            <w:shd w:val="clear" w:color="auto" w:fill="auto"/>
            <w:noWrap w:val="0"/>
            <w:vAlign w:val="center"/>
          </w:tcPr>
          <w:p w14:paraId="5E50CCFF">
            <w:pPr>
              <w:pStyle w:val="2"/>
              <w:spacing w:line="440" w:lineRule="exact"/>
              <w:ind w:firstLine="0" w:firstLineChars="0"/>
              <w:jc w:val="center"/>
              <w:rPr>
                <w:color w:val="000000"/>
                <w:sz w:val="28"/>
                <w:szCs w:val="28"/>
              </w:rPr>
            </w:pPr>
            <w:r>
              <w:rPr>
                <w:rFonts w:hint="eastAsia"/>
                <w:color w:val="000000"/>
                <w:sz w:val="28"/>
                <w:szCs w:val="28"/>
              </w:rPr>
              <w:t>1000</w:t>
            </w:r>
          </w:p>
        </w:tc>
        <w:tc>
          <w:tcPr>
            <w:tcW w:w="809" w:type="pct"/>
            <w:shd w:val="clear" w:color="auto" w:fill="auto"/>
            <w:noWrap w:val="0"/>
            <w:vAlign w:val="center"/>
          </w:tcPr>
          <w:p w14:paraId="606631C9">
            <w:pPr>
              <w:pStyle w:val="2"/>
              <w:spacing w:line="440" w:lineRule="exact"/>
              <w:ind w:firstLine="0" w:firstLineChars="0"/>
              <w:jc w:val="center"/>
              <w:rPr>
                <w:color w:val="000000"/>
                <w:sz w:val="28"/>
                <w:szCs w:val="28"/>
              </w:rPr>
            </w:pPr>
            <w:r>
              <w:rPr>
                <w:rFonts w:hint="eastAsia"/>
                <w:color w:val="000000"/>
                <w:sz w:val="28"/>
                <w:szCs w:val="28"/>
              </w:rPr>
              <w:t>8%</w:t>
            </w:r>
          </w:p>
        </w:tc>
        <w:tc>
          <w:tcPr>
            <w:tcW w:w="648" w:type="pct"/>
            <w:shd w:val="clear" w:color="auto" w:fill="auto"/>
            <w:noWrap w:val="0"/>
            <w:vAlign w:val="center"/>
          </w:tcPr>
          <w:p w14:paraId="6665AA64">
            <w:pPr>
              <w:pStyle w:val="2"/>
              <w:spacing w:line="440" w:lineRule="exact"/>
              <w:ind w:firstLine="0" w:firstLineChars="0"/>
              <w:jc w:val="center"/>
              <w:rPr>
                <w:color w:val="000000"/>
                <w:sz w:val="28"/>
                <w:szCs w:val="28"/>
              </w:rPr>
            </w:pPr>
            <w:r>
              <w:rPr>
                <w:rFonts w:hint="eastAsia"/>
                <w:color w:val="000000"/>
                <w:sz w:val="28"/>
                <w:szCs w:val="28"/>
              </w:rPr>
              <w:t>预期性</w:t>
            </w:r>
          </w:p>
        </w:tc>
      </w:tr>
      <w:tr w14:paraId="592F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top"/>
          </w:tcPr>
          <w:p w14:paraId="594F1277">
            <w:pPr>
              <w:pStyle w:val="2"/>
              <w:spacing w:line="440" w:lineRule="exact"/>
              <w:ind w:firstLine="0" w:firstLineChars="0"/>
              <w:rPr>
                <w:color w:val="000000"/>
                <w:sz w:val="28"/>
                <w:szCs w:val="28"/>
              </w:rPr>
            </w:pPr>
          </w:p>
        </w:tc>
        <w:tc>
          <w:tcPr>
            <w:tcW w:w="1628" w:type="pct"/>
            <w:shd w:val="clear" w:color="auto" w:fill="auto"/>
            <w:noWrap w:val="0"/>
            <w:vAlign w:val="top"/>
          </w:tcPr>
          <w:p w14:paraId="1A3DDE6C">
            <w:pPr>
              <w:pStyle w:val="2"/>
              <w:spacing w:line="440" w:lineRule="exact"/>
              <w:ind w:firstLine="0" w:firstLineChars="0"/>
              <w:rPr>
                <w:color w:val="000000"/>
                <w:sz w:val="28"/>
                <w:szCs w:val="28"/>
              </w:rPr>
            </w:pPr>
            <w:r>
              <w:rPr>
                <w:rFonts w:hint="eastAsia"/>
                <w:color w:val="000000"/>
                <w:sz w:val="28"/>
                <w:szCs w:val="28"/>
              </w:rPr>
              <w:t>服务进出口总额（亿美元）</w:t>
            </w:r>
          </w:p>
        </w:tc>
        <w:tc>
          <w:tcPr>
            <w:tcW w:w="1133" w:type="pct"/>
            <w:shd w:val="clear" w:color="auto" w:fill="auto"/>
            <w:noWrap w:val="0"/>
            <w:vAlign w:val="center"/>
          </w:tcPr>
          <w:p w14:paraId="10132462">
            <w:pPr>
              <w:pStyle w:val="2"/>
              <w:spacing w:line="440" w:lineRule="exact"/>
              <w:ind w:firstLine="0" w:firstLineChars="0"/>
              <w:jc w:val="center"/>
              <w:rPr>
                <w:rFonts w:hint="eastAsia"/>
                <w:color w:val="000000"/>
                <w:sz w:val="28"/>
                <w:szCs w:val="28"/>
              </w:rPr>
            </w:pPr>
            <w:r>
              <w:rPr>
                <w:rFonts w:hint="eastAsia"/>
                <w:color w:val="000000"/>
                <w:sz w:val="28"/>
                <w:szCs w:val="28"/>
              </w:rPr>
              <w:t>22</w:t>
            </w:r>
          </w:p>
        </w:tc>
        <w:tc>
          <w:tcPr>
            <w:tcW w:w="809" w:type="pct"/>
            <w:shd w:val="clear" w:color="auto" w:fill="auto"/>
            <w:noWrap w:val="0"/>
            <w:vAlign w:val="center"/>
          </w:tcPr>
          <w:p w14:paraId="6670E147">
            <w:pPr>
              <w:pStyle w:val="2"/>
              <w:spacing w:line="440" w:lineRule="exact"/>
              <w:ind w:firstLine="0" w:firstLineChars="0"/>
              <w:jc w:val="center"/>
              <w:rPr>
                <w:rFonts w:hint="eastAsia"/>
                <w:color w:val="000000"/>
                <w:sz w:val="28"/>
                <w:szCs w:val="28"/>
              </w:rPr>
            </w:pPr>
            <w:r>
              <w:rPr>
                <w:rFonts w:hint="eastAsia"/>
                <w:color w:val="000000"/>
                <w:sz w:val="28"/>
                <w:szCs w:val="28"/>
              </w:rPr>
              <w:t>5%</w:t>
            </w:r>
          </w:p>
        </w:tc>
        <w:tc>
          <w:tcPr>
            <w:tcW w:w="648" w:type="pct"/>
            <w:shd w:val="clear" w:color="auto" w:fill="auto"/>
            <w:noWrap w:val="0"/>
            <w:vAlign w:val="center"/>
          </w:tcPr>
          <w:p w14:paraId="10E61529">
            <w:pPr>
              <w:pStyle w:val="2"/>
              <w:spacing w:line="440" w:lineRule="exact"/>
              <w:ind w:firstLine="0" w:firstLineChars="0"/>
              <w:jc w:val="center"/>
              <w:rPr>
                <w:color w:val="000000"/>
                <w:sz w:val="28"/>
                <w:szCs w:val="28"/>
              </w:rPr>
            </w:pPr>
            <w:r>
              <w:rPr>
                <w:rFonts w:hint="eastAsia"/>
                <w:color w:val="000000"/>
                <w:sz w:val="28"/>
                <w:szCs w:val="28"/>
              </w:rPr>
              <w:t>预期性</w:t>
            </w:r>
          </w:p>
        </w:tc>
      </w:tr>
      <w:tr w14:paraId="5B9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top"/>
          </w:tcPr>
          <w:p w14:paraId="3B0BD56F">
            <w:pPr>
              <w:pStyle w:val="2"/>
              <w:spacing w:line="440" w:lineRule="exact"/>
              <w:ind w:firstLine="0" w:firstLineChars="0"/>
              <w:rPr>
                <w:color w:val="000000"/>
                <w:sz w:val="28"/>
                <w:szCs w:val="28"/>
              </w:rPr>
            </w:pPr>
          </w:p>
        </w:tc>
        <w:tc>
          <w:tcPr>
            <w:tcW w:w="1628" w:type="pct"/>
            <w:shd w:val="clear" w:color="auto" w:fill="auto"/>
            <w:noWrap w:val="0"/>
            <w:vAlign w:val="top"/>
          </w:tcPr>
          <w:p w14:paraId="1F428DC5">
            <w:pPr>
              <w:pStyle w:val="2"/>
              <w:spacing w:line="440" w:lineRule="exact"/>
              <w:ind w:firstLine="0" w:firstLineChars="0"/>
              <w:rPr>
                <w:rFonts w:hint="eastAsia"/>
                <w:color w:val="000000"/>
                <w:sz w:val="28"/>
                <w:szCs w:val="28"/>
              </w:rPr>
            </w:pPr>
            <w:r>
              <w:rPr>
                <w:rFonts w:hint="eastAsia"/>
                <w:color w:val="000000"/>
                <w:sz w:val="28"/>
                <w:szCs w:val="28"/>
              </w:rPr>
              <w:t>服务外包合同执行额（亿美元）</w:t>
            </w:r>
          </w:p>
        </w:tc>
        <w:tc>
          <w:tcPr>
            <w:tcW w:w="1133" w:type="pct"/>
            <w:shd w:val="clear" w:color="auto" w:fill="auto"/>
            <w:noWrap w:val="0"/>
            <w:vAlign w:val="center"/>
          </w:tcPr>
          <w:p w14:paraId="6850622D">
            <w:pPr>
              <w:pStyle w:val="2"/>
              <w:spacing w:line="440" w:lineRule="exact"/>
              <w:ind w:firstLine="0" w:firstLineChars="0"/>
              <w:jc w:val="center"/>
              <w:rPr>
                <w:rFonts w:hint="eastAsia"/>
                <w:color w:val="000000"/>
                <w:sz w:val="28"/>
                <w:szCs w:val="28"/>
              </w:rPr>
            </w:pPr>
            <w:r>
              <w:rPr>
                <w:rFonts w:hint="eastAsia"/>
                <w:color w:val="000000"/>
                <w:sz w:val="28"/>
                <w:szCs w:val="28"/>
              </w:rPr>
              <w:t>40</w:t>
            </w:r>
          </w:p>
        </w:tc>
        <w:tc>
          <w:tcPr>
            <w:tcW w:w="809" w:type="pct"/>
            <w:shd w:val="clear" w:color="auto" w:fill="auto"/>
            <w:noWrap w:val="0"/>
            <w:vAlign w:val="center"/>
          </w:tcPr>
          <w:p w14:paraId="572204FB">
            <w:pPr>
              <w:pStyle w:val="2"/>
              <w:spacing w:line="440" w:lineRule="exact"/>
              <w:ind w:firstLine="0" w:firstLineChars="0"/>
              <w:jc w:val="center"/>
              <w:rPr>
                <w:rFonts w:hint="eastAsia"/>
                <w:color w:val="000000"/>
                <w:sz w:val="28"/>
                <w:szCs w:val="28"/>
              </w:rPr>
            </w:pPr>
            <w:r>
              <w:rPr>
                <w:rFonts w:hint="eastAsia"/>
                <w:color w:val="000000"/>
                <w:sz w:val="28"/>
                <w:szCs w:val="28"/>
              </w:rPr>
              <w:t>8%</w:t>
            </w:r>
          </w:p>
        </w:tc>
        <w:tc>
          <w:tcPr>
            <w:tcW w:w="648" w:type="pct"/>
            <w:shd w:val="clear" w:color="auto" w:fill="auto"/>
            <w:noWrap w:val="0"/>
            <w:vAlign w:val="center"/>
          </w:tcPr>
          <w:p w14:paraId="652080E4">
            <w:pPr>
              <w:pStyle w:val="2"/>
              <w:spacing w:line="440" w:lineRule="exact"/>
              <w:ind w:firstLine="0" w:firstLineChars="0"/>
              <w:jc w:val="center"/>
              <w:rPr>
                <w:rFonts w:hint="eastAsia"/>
                <w:color w:val="000000"/>
                <w:sz w:val="28"/>
                <w:szCs w:val="28"/>
              </w:rPr>
            </w:pPr>
            <w:r>
              <w:rPr>
                <w:rFonts w:hint="eastAsia"/>
                <w:color w:val="000000"/>
                <w:sz w:val="28"/>
                <w:szCs w:val="28"/>
              </w:rPr>
              <w:t>预期性</w:t>
            </w:r>
          </w:p>
        </w:tc>
      </w:tr>
      <w:tr w14:paraId="25E3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top"/>
          </w:tcPr>
          <w:p w14:paraId="7797657E">
            <w:pPr>
              <w:pStyle w:val="2"/>
              <w:spacing w:line="440" w:lineRule="exact"/>
              <w:ind w:firstLine="0" w:firstLineChars="0"/>
              <w:rPr>
                <w:color w:val="000000"/>
                <w:sz w:val="28"/>
                <w:szCs w:val="28"/>
              </w:rPr>
            </w:pPr>
          </w:p>
        </w:tc>
        <w:tc>
          <w:tcPr>
            <w:tcW w:w="1628" w:type="pct"/>
            <w:shd w:val="clear" w:color="auto" w:fill="auto"/>
            <w:noWrap w:val="0"/>
            <w:vAlign w:val="top"/>
          </w:tcPr>
          <w:p w14:paraId="4D77FF2D">
            <w:pPr>
              <w:pStyle w:val="2"/>
              <w:spacing w:line="440" w:lineRule="exact"/>
              <w:ind w:firstLine="0" w:firstLineChars="0"/>
              <w:rPr>
                <w:color w:val="000000"/>
                <w:sz w:val="28"/>
                <w:szCs w:val="28"/>
              </w:rPr>
            </w:pPr>
            <w:r>
              <w:rPr>
                <w:rFonts w:hint="eastAsia"/>
                <w:color w:val="000000"/>
                <w:sz w:val="28"/>
                <w:szCs w:val="28"/>
              </w:rPr>
              <w:t>实际利用外资累计（亿美元）</w:t>
            </w:r>
          </w:p>
        </w:tc>
        <w:tc>
          <w:tcPr>
            <w:tcW w:w="1133" w:type="pct"/>
            <w:shd w:val="clear" w:color="auto" w:fill="auto"/>
            <w:noWrap w:val="0"/>
            <w:vAlign w:val="center"/>
          </w:tcPr>
          <w:p w14:paraId="657011CC">
            <w:pPr>
              <w:pStyle w:val="2"/>
              <w:spacing w:line="440" w:lineRule="exact"/>
              <w:ind w:firstLine="0" w:firstLineChars="0"/>
              <w:jc w:val="center"/>
              <w:rPr>
                <w:color w:val="000000"/>
                <w:sz w:val="28"/>
                <w:szCs w:val="28"/>
              </w:rPr>
            </w:pPr>
            <w:r>
              <w:rPr>
                <w:rFonts w:hint="eastAsia"/>
                <w:color w:val="000000"/>
                <w:sz w:val="28"/>
                <w:szCs w:val="28"/>
                <w:highlight w:val="none"/>
              </w:rPr>
              <w:t>〔5〕</w:t>
            </w:r>
          </w:p>
        </w:tc>
        <w:tc>
          <w:tcPr>
            <w:tcW w:w="809" w:type="pct"/>
            <w:shd w:val="clear" w:color="auto" w:fill="auto"/>
            <w:noWrap w:val="0"/>
            <w:vAlign w:val="center"/>
          </w:tcPr>
          <w:p w14:paraId="09A609D5">
            <w:pPr>
              <w:pStyle w:val="2"/>
              <w:spacing w:line="440" w:lineRule="exact"/>
              <w:ind w:firstLine="0" w:firstLineChars="0"/>
              <w:jc w:val="center"/>
              <w:rPr>
                <w:color w:val="000000"/>
                <w:sz w:val="28"/>
                <w:szCs w:val="28"/>
              </w:rPr>
            </w:pPr>
            <w:r>
              <w:rPr>
                <w:rFonts w:hint="eastAsia"/>
                <w:color w:val="000000"/>
                <w:sz w:val="28"/>
                <w:szCs w:val="28"/>
              </w:rPr>
              <w:t>5%</w:t>
            </w:r>
          </w:p>
        </w:tc>
        <w:tc>
          <w:tcPr>
            <w:tcW w:w="648" w:type="pct"/>
            <w:shd w:val="clear" w:color="auto" w:fill="auto"/>
            <w:noWrap w:val="0"/>
            <w:vAlign w:val="center"/>
          </w:tcPr>
          <w:p w14:paraId="305B4348">
            <w:pPr>
              <w:pStyle w:val="2"/>
              <w:spacing w:line="440" w:lineRule="exact"/>
              <w:ind w:firstLine="0" w:firstLineChars="0"/>
              <w:jc w:val="center"/>
              <w:rPr>
                <w:color w:val="000000"/>
                <w:sz w:val="28"/>
                <w:szCs w:val="28"/>
              </w:rPr>
            </w:pPr>
            <w:r>
              <w:rPr>
                <w:rFonts w:hint="eastAsia"/>
                <w:color w:val="000000"/>
                <w:sz w:val="28"/>
                <w:szCs w:val="28"/>
              </w:rPr>
              <w:t>预期性</w:t>
            </w:r>
          </w:p>
        </w:tc>
      </w:tr>
      <w:tr w14:paraId="43E0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shd w:val="clear" w:color="auto" w:fill="auto"/>
            <w:noWrap w:val="0"/>
            <w:vAlign w:val="top"/>
          </w:tcPr>
          <w:p w14:paraId="61B46088">
            <w:pPr>
              <w:pStyle w:val="2"/>
              <w:spacing w:line="440" w:lineRule="exact"/>
              <w:ind w:firstLine="0" w:firstLineChars="0"/>
              <w:rPr>
                <w:color w:val="000000"/>
                <w:sz w:val="28"/>
                <w:szCs w:val="28"/>
              </w:rPr>
            </w:pPr>
          </w:p>
        </w:tc>
        <w:tc>
          <w:tcPr>
            <w:tcW w:w="1628" w:type="pct"/>
            <w:shd w:val="clear" w:color="auto" w:fill="auto"/>
            <w:noWrap w:val="0"/>
            <w:vAlign w:val="top"/>
          </w:tcPr>
          <w:p w14:paraId="305B81C0">
            <w:pPr>
              <w:pStyle w:val="2"/>
              <w:spacing w:line="440" w:lineRule="exact"/>
              <w:ind w:firstLine="0" w:firstLineChars="0"/>
              <w:rPr>
                <w:rFonts w:hint="eastAsia"/>
                <w:color w:val="000000"/>
                <w:sz w:val="28"/>
                <w:szCs w:val="28"/>
              </w:rPr>
            </w:pPr>
            <w:r>
              <w:rPr>
                <w:rFonts w:hint="eastAsia"/>
                <w:color w:val="000000"/>
                <w:sz w:val="28"/>
                <w:szCs w:val="28"/>
              </w:rPr>
              <w:t>对外经济技术合作完成额</w:t>
            </w:r>
          </w:p>
        </w:tc>
        <w:tc>
          <w:tcPr>
            <w:tcW w:w="1133" w:type="pct"/>
            <w:shd w:val="clear" w:color="auto" w:fill="auto"/>
            <w:noWrap w:val="0"/>
            <w:vAlign w:val="center"/>
          </w:tcPr>
          <w:p w14:paraId="1EC0C14D">
            <w:pPr>
              <w:pStyle w:val="2"/>
              <w:spacing w:line="440" w:lineRule="exact"/>
              <w:ind w:firstLine="0" w:firstLineChars="0"/>
              <w:jc w:val="center"/>
              <w:rPr>
                <w:rFonts w:hint="eastAsia"/>
                <w:color w:val="000000"/>
                <w:sz w:val="28"/>
                <w:szCs w:val="28"/>
              </w:rPr>
            </w:pPr>
            <w:r>
              <w:rPr>
                <w:rFonts w:hint="eastAsia"/>
                <w:color w:val="000000"/>
                <w:sz w:val="28"/>
                <w:szCs w:val="28"/>
              </w:rPr>
              <w:t>—</w:t>
            </w:r>
          </w:p>
        </w:tc>
        <w:tc>
          <w:tcPr>
            <w:tcW w:w="809" w:type="pct"/>
            <w:shd w:val="clear" w:color="auto" w:fill="auto"/>
            <w:noWrap w:val="0"/>
            <w:vAlign w:val="center"/>
          </w:tcPr>
          <w:p w14:paraId="755E0BE6">
            <w:pPr>
              <w:pStyle w:val="2"/>
              <w:spacing w:line="440" w:lineRule="exact"/>
              <w:ind w:firstLine="0" w:firstLineChars="0"/>
              <w:jc w:val="center"/>
              <w:rPr>
                <w:rFonts w:hint="eastAsia"/>
                <w:color w:val="000000"/>
                <w:sz w:val="28"/>
                <w:szCs w:val="28"/>
              </w:rPr>
            </w:pPr>
            <w:r>
              <w:rPr>
                <w:rFonts w:hint="eastAsia"/>
                <w:color w:val="000000"/>
                <w:sz w:val="28"/>
                <w:szCs w:val="28"/>
              </w:rPr>
              <w:t>5%</w:t>
            </w:r>
          </w:p>
        </w:tc>
        <w:tc>
          <w:tcPr>
            <w:tcW w:w="648" w:type="pct"/>
            <w:shd w:val="clear" w:color="auto" w:fill="auto"/>
            <w:noWrap w:val="0"/>
            <w:vAlign w:val="center"/>
          </w:tcPr>
          <w:p w14:paraId="591E7F6D">
            <w:pPr>
              <w:pStyle w:val="2"/>
              <w:spacing w:line="440" w:lineRule="exact"/>
              <w:ind w:firstLine="0" w:firstLineChars="0"/>
              <w:jc w:val="center"/>
              <w:rPr>
                <w:rFonts w:hint="eastAsia"/>
                <w:color w:val="000000"/>
                <w:sz w:val="28"/>
                <w:szCs w:val="28"/>
              </w:rPr>
            </w:pPr>
            <w:r>
              <w:rPr>
                <w:rFonts w:hint="eastAsia"/>
                <w:color w:val="000000"/>
                <w:sz w:val="28"/>
                <w:szCs w:val="28"/>
              </w:rPr>
              <w:t>预期性</w:t>
            </w:r>
          </w:p>
        </w:tc>
      </w:tr>
    </w:tbl>
    <w:p w14:paraId="78711CDC">
      <w:pPr>
        <w:pStyle w:val="2"/>
        <w:ind w:firstLine="640"/>
        <w:rPr>
          <w:rFonts w:hint="eastAsia"/>
          <w:color w:val="000000"/>
        </w:rPr>
      </w:pPr>
      <w:r>
        <w:rPr>
          <w:rFonts w:hint="eastAsia"/>
          <w:color w:val="000000"/>
        </w:rPr>
        <w:t>注：〔〕内为5年累计数。</w:t>
      </w:r>
    </w:p>
    <w:p w14:paraId="69F1A765">
      <w:pPr>
        <w:pStyle w:val="2"/>
        <w:ind w:firstLine="0" w:firstLineChars="0"/>
        <w:rPr>
          <w:rFonts w:hint="eastAsia"/>
          <w:color w:val="000000"/>
        </w:rPr>
        <w:sectPr>
          <w:pgSz w:w="11906" w:h="16838"/>
          <w:pgMar w:top="1440" w:right="1800" w:bottom="1440" w:left="1800" w:header="851" w:footer="992" w:gutter="0"/>
          <w:cols w:space="425" w:num="1"/>
          <w:docGrid w:type="lines" w:linePitch="435" w:charSpace="0"/>
        </w:sectPr>
      </w:pPr>
    </w:p>
    <w:p w14:paraId="42B88F40">
      <w:pPr>
        <w:spacing w:before="260" w:after="260"/>
        <w:ind w:firstLine="640"/>
        <w:outlineLvl w:val="0"/>
        <w:rPr>
          <w:rFonts w:eastAsia="黑体" w:cs="黑体"/>
          <w:color w:val="000000"/>
          <w:szCs w:val="32"/>
        </w:rPr>
      </w:pPr>
      <w:bookmarkStart w:id="23" w:name="_Toc229673027"/>
      <w:r>
        <w:rPr>
          <w:rFonts w:hint="eastAsia" w:eastAsia="黑体" w:cs="黑体"/>
          <w:color w:val="000000"/>
          <w:szCs w:val="32"/>
        </w:rPr>
        <w:t>三、加快建设</w:t>
      </w:r>
      <w:bookmarkStart w:id="24" w:name="_Hlk217662255"/>
      <w:r>
        <w:rPr>
          <w:rFonts w:hint="eastAsia" w:eastAsia="黑体" w:cs="黑体"/>
          <w:color w:val="000000"/>
          <w:szCs w:val="32"/>
        </w:rPr>
        <w:t>区域性国际消费中心城市</w:t>
      </w:r>
      <w:bookmarkEnd w:id="23"/>
    </w:p>
    <w:bookmarkEnd w:id="24"/>
    <w:p w14:paraId="7E7EF717">
      <w:pPr>
        <w:spacing w:before="260" w:after="260"/>
        <w:ind w:firstLine="640"/>
        <w:outlineLvl w:val="1"/>
        <w:rPr>
          <w:rFonts w:eastAsia="楷体" w:cs="楷体"/>
          <w:color w:val="000000"/>
          <w:szCs w:val="32"/>
        </w:rPr>
      </w:pPr>
      <w:bookmarkStart w:id="25" w:name="_Toc229673028"/>
      <w:r>
        <w:rPr>
          <w:rFonts w:hint="eastAsia" w:eastAsia="楷体" w:cs="楷体"/>
          <w:color w:val="000000"/>
          <w:szCs w:val="32"/>
        </w:rPr>
        <w:t>（一）推动商业空间提质</w:t>
      </w:r>
      <w:bookmarkEnd w:id="25"/>
    </w:p>
    <w:p w14:paraId="15FD3E84">
      <w:pPr>
        <w:overflowPunct w:val="0"/>
        <w:spacing w:before="120" w:after="120"/>
        <w:ind w:firstLine="640"/>
        <w:outlineLvl w:val="2"/>
        <w:rPr>
          <w:color w:val="000000"/>
          <w:szCs w:val="32"/>
        </w:rPr>
      </w:pPr>
      <w:bookmarkStart w:id="26" w:name="_Toc229673029"/>
      <w:r>
        <w:rPr>
          <w:rFonts w:hint="eastAsia"/>
          <w:color w:val="000000"/>
          <w:szCs w:val="32"/>
        </w:rPr>
        <w:t>1、构建城市商业空间新体系</w:t>
      </w:r>
      <w:bookmarkEnd w:id="26"/>
    </w:p>
    <w:p w14:paraId="72474C51">
      <w:pPr>
        <w:widowControl/>
        <w:ind w:firstLine="640"/>
        <w:rPr>
          <w:rFonts w:cs="仿宋_GB2312"/>
          <w:color w:val="000000"/>
          <w:kern w:val="0"/>
          <w:szCs w:val="32"/>
          <w:lang w:bidi="ar"/>
        </w:rPr>
      </w:pPr>
      <w:r>
        <w:rPr>
          <w:rFonts w:hint="eastAsia" w:cs="仿宋_GB2312"/>
          <w:color w:val="000000"/>
          <w:kern w:val="0"/>
          <w:szCs w:val="32"/>
          <w:lang w:bidi="ar"/>
        </w:rPr>
        <w:t>加强与新一轮国土空间规划衔接，坚持培育发展和更新提升并重，优化城市核心商圈、区域商圈、社区商圈网点建设布局，形成层级分明、跨界融合、模式创新的“5+N+140”现代化城市商业网点体系。以中部中华路、北部金融会展城、西部世纪城、南部花果园、东部龙洞堡</w:t>
      </w:r>
      <w:r>
        <w:rPr>
          <w:rFonts w:hint="eastAsia"/>
          <w:color w:val="000000"/>
          <w:kern w:val="0"/>
          <w:szCs w:val="32"/>
          <w:lang w:bidi="ar"/>
        </w:rPr>
        <w:t>5</w:t>
      </w:r>
      <w:r>
        <w:rPr>
          <w:rFonts w:hint="eastAsia" w:cs="仿宋_GB2312"/>
          <w:color w:val="000000"/>
          <w:kern w:val="0"/>
          <w:szCs w:val="32"/>
          <w:lang w:bidi="ar"/>
        </w:rPr>
        <w:t>个商圈为重点，突出国际化、品质化和特色化发展，打造为集地区消费目的地和城市标志性景观于一体的城市地标性商圈。以云岩区大营坡、未来方舟、三马片区商圈，南明区火车站、大南门、首钢商圈，观山湖区奥体中心、站前商圈，白云区泉湖、云城商圈等</w:t>
      </w:r>
      <w:r>
        <w:rPr>
          <w:rFonts w:hint="eastAsia"/>
          <w:color w:val="000000"/>
          <w:kern w:val="0"/>
          <w:szCs w:val="32"/>
          <w:lang w:bidi="ar"/>
        </w:rPr>
        <w:t>N</w:t>
      </w:r>
      <w:r>
        <w:rPr>
          <w:rFonts w:hint="eastAsia" w:cs="仿宋_GB2312"/>
          <w:color w:val="000000"/>
          <w:kern w:val="0"/>
          <w:szCs w:val="32"/>
          <w:lang w:bidi="ar"/>
        </w:rPr>
        <w:t>个商圈为重点，突出综合性、错位发展，打造为承载多样生活场景、满足综合消费需求的区域性活力商圈。以完善全市</w:t>
      </w:r>
      <w:r>
        <w:rPr>
          <w:rFonts w:hint="eastAsia"/>
          <w:color w:val="000000"/>
          <w:kern w:val="0"/>
          <w:szCs w:val="32"/>
          <w:lang w:bidi="ar"/>
        </w:rPr>
        <w:t>140</w:t>
      </w:r>
      <w:r>
        <w:rPr>
          <w:rFonts w:hint="eastAsia" w:cs="仿宋_GB2312"/>
          <w:color w:val="000000"/>
          <w:kern w:val="0"/>
          <w:szCs w:val="32"/>
          <w:lang w:bidi="ar"/>
        </w:rPr>
        <w:t>个“一刻钟便民生活圈”为抓手，聚焦布局更优化、业态更丰富、服务更优质、管理更智慧，打造一刻钟便民生活圈升级版。</w:t>
      </w:r>
    </w:p>
    <w:p w14:paraId="07E87089">
      <w:pPr>
        <w:overflowPunct w:val="0"/>
        <w:spacing w:before="120" w:after="120"/>
        <w:ind w:firstLine="640"/>
        <w:outlineLvl w:val="2"/>
        <w:rPr>
          <w:color w:val="000000"/>
          <w:szCs w:val="32"/>
        </w:rPr>
      </w:pPr>
      <w:bookmarkStart w:id="27" w:name="_Toc229673030"/>
      <w:r>
        <w:rPr>
          <w:rFonts w:hint="eastAsia"/>
          <w:color w:val="000000"/>
          <w:szCs w:val="32"/>
        </w:rPr>
        <w:t>2、推动传统商圈品质提升</w:t>
      </w:r>
      <w:bookmarkEnd w:id="27"/>
    </w:p>
    <w:p w14:paraId="640B3A58">
      <w:pPr>
        <w:pStyle w:val="2"/>
        <w:ind w:firstLine="643"/>
        <w:rPr>
          <w:rFonts w:cs="仿宋_GB2312"/>
          <w:color w:val="000000"/>
          <w:kern w:val="0"/>
          <w:szCs w:val="32"/>
          <w:lang w:bidi="ar"/>
        </w:rPr>
      </w:pPr>
      <w:r>
        <w:rPr>
          <w:rFonts w:hint="eastAsia" w:cs="仿宋_GB2312"/>
          <w:b/>
          <w:bCs/>
          <w:color w:val="000000"/>
          <w:kern w:val="0"/>
          <w:szCs w:val="32"/>
          <w:lang w:bidi="ar"/>
        </w:rPr>
        <w:t>推动传统商圈改造提升。</w:t>
      </w:r>
      <w:r>
        <w:rPr>
          <w:rFonts w:hint="eastAsia" w:cs="仿宋_GB2312"/>
          <w:color w:val="000000"/>
          <w:kern w:val="0"/>
          <w:szCs w:val="32"/>
          <w:lang w:bidi="ar"/>
        </w:rPr>
        <w:t>实施商圈改造提升行动计划，</w:t>
      </w:r>
      <w:r>
        <w:rPr>
          <w:rFonts w:hint="eastAsia"/>
          <w:color w:val="000000"/>
          <w:szCs w:val="32"/>
        </w:rPr>
        <w:t>发挥财政资金引导作用，引导社会资本市场化推动传统商圈和商场在</w:t>
      </w:r>
      <w:r>
        <w:rPr>
          <w:rFonts w:hint="eastAsia" w:cs="仿宋_GB2312"/>
          <w:color w:val="000000"/>
          <w:kern w:val="0"/>
          <w:szCs w:val="32"/>
          <w:lang w:bidi="ar"/>
        </w:rPr>
        <w:t>空间品质提升、商业业态优化、特色品牌塑造、智慧商圈建设、消费场景拓展、管理服务精细、交通组织优化等方面进行全方位改造升级。</w:t>
      </w:r>
    </w:p>
    <w:p w14:paraId="36502D6B">
      <w:pPr>
        <w:pStyle w:val="2"/>
        <w:ind w:firstLine="643"/>
        <w:rPr>
          <w:rFonts w:cs="仿宋_GB2312"/>
          <w:color w:val="000000"/>
          <w:kern w:val="0"/>
          <w:szCs w:val="32"/>
          <w:lang w:bidi="ar"/>
        </w:rPr>
      </w:pPr>
      <w:r>
        <w:rPr>
          <w:rFonts w:hint="eastAsia" w:cs="仿宋_GB2312"/>
          <w:b/>
          <w:bCs/>
          <w:color w:val="000000"/>
          <w:kern w:val="0"/>
          <w:szCs w:val="32"/>
          <w:lang w:bidi="ar"/>
        </w:rPr>
        <w:t>提升商业综合体辐射能力。</w:t>
      </w:r>
      <w:r>
        <w:rPr>
          <w:rFonts w:hint="eastAsia"/>
          <w:color w:val="000000"/>
          <w:szCs w:val="32"/>
        </w:rPr>
        <w:t>以“精准定位、业态重构、数字赋能、生态协同”为思路，引导商业综合体打造具有持续生命力的商业新生态。</w:t>
      </w:r>
      <w:r>
        <w:rPr>
          <w:rFonts w:hint="eastAsia" w:cs="仿宋_GB2312"/>
          <w:color w:val="000000"/>
          <w:kern w:val="0"/>
          <w:szCs w:val="32"/>
          <w:lang w:bidi="ar"/>
        </w:rPr>
        <w:t>鼓励世纪金源购物中心、万象城、海豚广场等商业综合体</w:t>
      </w:r>
      <w:r>
        <w:rPr>
          <w:color w:val="000000"/>
          <w:szCs w:val="32"/>
        </w:rPr>
        <w:t>在</w:t>
      </w:r>
      <w:r>
        <w:rPr>
          <w:rFonts w:hint="eastAsia"/>
          <w:color w:val="000000"/>
          <w:szCs w:val="32"/>
        </w:rPr>
        <w:t>硬件升级</w:t>
      </w:r>
      <w:r>
        <w:rPr>
          <w:color w:val="000000"/>
          <w:szCs w:val="32"/>
        </w:rPr>
        <w:t>、业态</w:t>
      </w:r>
      <w:r>
        <w:rPr>
          <w:rFonts w:hint="eastAsia"/>
          <w:color w:val="000000"/>
          <w:szCs w:val="32"/>
        </w:rPr>
        <w:t>调整</w:t>
      </w:r>
      <w:r>
        <w:rPr>
          <w:color w:val="000000"/>
          <w:szCs w:val="32"/>
        </w:rPr>
        <w:t>、</w:t>
      </w:r>
      <w:r>
        <w:rPr>
          <w:rFonts w:hint="eastAsia"/>
          <w:color w:val="000000"/>
          <w:szCs w:val="32"/>
        </w:rPr>
        <w:t>场景创新、</w:t>
      </w:r>
      <w:r>
        <w:rPr>
          <w:color w:val="000000"/>
          <w:szCs w:val="32"/>
        </w:rPr>
        <w:t>活动策划</w:t>
      </w:r>
      <w:r>
        <w:rPr>
          <w:rFonts w:hint="eastAsia"/>
          <w:color w:val="000000"/>
          <w:szCs w:val="32"/>
        </w:rPr>
        <w:t>等方面</w:t>
      </w:r>
      <w:r>
        <w:rPr>
          <w:rFonts w:hint="eastAsia" w:cs="仿宋_GB2312"/>
          <w:color w:val="000000"/>
          <w:kern w:val="0"/>
          <w:szCs w:val="32"/>
          <w:lang w:bidi="ar"/>
        </w:rPr>
        <w:t>增强运营能力，在</w:t>
      </w:r>
      <w:r>
        <w:rPr>
          <w:color w:val="000000"/>
          <w:szCs w:val="32"/>
        </w:rPr>
        <w:t>首店经济、首发经济</w:t>
      </w:r>
      <w:r>
        <w:rPr>
          <w:rFonts w:hint="eastAsia"/>
          <w:color w:val="000000"/>
          <w:szCs w:val="32"/>
        </w:rPr>
        <w:t>等中</w:t>
      </w:r>
      <w:r>
        <w:rPr>
          <w:rFonts w:hint="eastAsia" w:cs="仿宋_GB2312"/>
          <w:color w:val="000000"/>
          <w:kern w:val="0"/>
          <w:szCs w:val="32"/>
          <w:lang w:bidi="ar"/>
        </w:rPr>
        <w:t>高端消费领域发挥辐射带动作用，打造地标型商业载体。加快</w:t>
      </w:r>
      <w:r>
        <w:rPr>
          <w:rFonts w:hint="eastAsia" w:cs="仿宋_GB2312"/>
          <w:color w:val="000000"/>
          <w:kern w:val="0"/>
          <w:szCs w:val="32"/>
          <w:lang w:val="en-US" w:eastAsia="zh-CN" w:bidi="ar"/>
        </w:rPr>
        <w:t>重点</w:t>
      </w:r>
      <w:r>
        <w:rPr>
          <w:rFonts w:hint="eastAsia" w:cs="仿宋_GB2312"/>
          <w:color w:val="000000"/>
          <w:kern w:val="0"/>
          <w:szCs w:val="32"/>
          <w:lang w:bidi="ar"/>
        </w:rPr>
        <w:t>商业项目迭代更新，推动空间重塑和消费业态焕新，培育城市消费新热点。</w:t>
      </w:r>
    </w:p>
    <w:p w14:paraId="333E2632">
      <w:pPr>
        <w:overflowPunct w:val="0"/>
        <w:spacing w:before="120" w:after="120"/>
        <w:ind w:firstLine="640"/>
        <w:outlineLvl w:val="2"/>
        <w:rPr>
          <w:color w:val="000000"/>
          <w:szCs w:val="32"/>
        </w:rPr>
      </w:pPr>
      <w:bookmarkStart w:id="28" w:name="_Toc229673031"/>
      <w:r>
        <w:rPr>
          <w:rFonts w:hint="eastAsia"/>
          <w:color w:val="000000"/>
          <w:szCs w:val="32"/>
        </w:rPr>
        <w:t>3、培育特色品牌商业街区</w:t>
      </w:r>
      <w:bookmarkEnd w:id="28"/>
    </w:p>
    <w:p w14:paraId="5481F16C">
      <w:pPr>
        <w:pStyle w:val="2"/>
        <w:ind w:firstLine="643"/>
        <w:rPr>
          <w:color w:val="000000"/>
        </w:rPr>
      </w:pPr>
      <w:r>
        <w:rPr>
          <w:rFonts w:hint="eastAsia" w:cs="仿宋_GB2312"/>
          <w:b/>
          <w:bCs/>
          <w:color w:val="000000"/>
          <w:szCs w:val="32"/>
        </w:rPr>
        <w:t>引导商业街区错位发展。</w:t>
      </w:r>
      <w:r>
        <w:rPr>
          <w:rFonts w:hint="eastAsia"/>
          <w:color w:val="000000"/>
        </w:rPr>
        <w:t>以“注重特色、完善功能、强化管理、打造品牌”为思路，推动商业街区差异化发展，打造贵阳都市消费名片。</w:t>
      </w:r>
      <w:r>
        <w:rPr>
          <w:rFonts w:hint="eastAsia"/>
          <w:color w:val="000000"/>
          <w:szCs w:val="32"/>
        </w:rPr>
        <w:t>以新印1950、青云路步行街、城投CC PARK等为支点，打造时尚购物、餐饮、娱乐体验融合发展的商业特色街；以青岩古镇南北明清街、</w:t>
      </w:r>
      <w:r>
        <w:rPr>
          <w:color w:val="000000"/>
          <w:szCs w:val="32"/>
        </w:rPr>
        <w:t>曹状元</w:t>
      </w:r>
      <w:r>
        <w:rPr>
          <w:rFonts w:hint="eastAsia"/>
          <w:color w:val="000000"/>
          <w:szCs w:val="32"/>
        </w:rPr>
        <w:t>特色文化</w:t>
      </w:r>
      <w:r>
        <w:rPr>
          <w:color w:val="000000"/>
          <w:szCs w:val="32"/>
        </w:rPr>
        <w:t>街区</w:t>
      </w:r>
      <w:r>
        <w:rPr>
          <w:rFonts w:hint="eastAsia"/>
          <w:color w:val="000000"/>
          <w:szCs w:val="32"/>
        </w:rPr>
        <w:t>、多彩贵州城文化商业步行街等为支点，打造商文旅融合发展的文化特色街；以青云市集、花溪区十字街、二七路小吃街等为支点，打造美食特色街；以星悦茂地下商业步行街、COCO新天地等资源为支点，打造地铁商业街；加快建设多彩贵州城</w:t>
      </w:r>
      <w:r>
        <w:rPr>
          <w:rFonts w:hint="eastAsia"/>
          <w:color w:val="000000"/>
        </w:rPr>
        <w:t>美酒一条街、筑城广场沉浸式酒文化一条街等，打造</w:t>
      </w:r>
      <w:r>
        <w:rPr>
          <w:rFonts w:hint="eastAsia"/>
          <w:color w:val="000000"/>
          <w:szCs w:val="32"/>
        </w:rPr>
        <w:t>一批美酒街区。</w:t>
      </w:r>
      <w:r>
        <w:rPr>
          <w:rFonts w:hint="eastAsia" w:cs="仿宋_GB2312"/>
          <w:color w:val="000000"/>
          <w:kern w:val="0"/>
          <w:szCs w:val="32"/>
          <w:lang w:bidi="ar"/>
        </w:rPr>
        <w:t>持续推进国家级、省级商业步行街、夜间美食街区等培育创建。</w:t>
      </w:r>
    </w:p>
    <w:p w14:paraId="6AD0E27A">
      <w:pPr>
        <w:pStyle w:val="2"/>
        <w:ind w:firstLine="643"/>
        <w:rPr>
          <w:rFonts w:cs="仿宋_GB2312"/>
          <w:color w:val="000000"/>
          <w:kern w:val="0"/>
          <w:szCs w:val="32"/>
          <w:lang w:bidi="ar"/>
        </w:rPr>
      </w:pPr>
      <w:r>
        <w:rPr>
          <w:rFonts w:hint="eastAsia"/>
          <w:b/>
          <w:bCs/>
          <w:color w:val="000000"/>
        </w:rPr>
        <w:t>推动商业街区改造提升。</w:t>
      </w:r>
      <w:r>
        <w:rPr>
          <w:rFonts w:hint="eastAsia" w:cs="仿宋_GB2312"/>
          <w:color w:val="000000"/>
          <w:kern w:val="0"/>
          <w:szCs w:val="32"/>
          <w:lang w:bidi="ar"/>
        </w:rPr>
        <w:t>对标国内一流商业名街，统筹考虑商业街区规划布局、环境设施、功能品质、智慧水平、活动组织、管理机制及综合效益等，引导商业街区“一街一策”提质升级，鼓励有条件的商业街区探索产权与经营模式创新。加快云岩区观云汇商业街、南明区贯城河历史人文街、经开区星河路文旅特色步行街等项目建设和招商运营，依托城市更新推进长岭南路、甲秀楼、文昌阁片区特色商业街区建设改造，打造一批有特色、有活力、有文化底蕴的街区。</w:t>
      </w:r>
    </w:p>
    <w:p w14:paraId="1DE3B239">
      <w:pPr>
        <w:overflowPunct w:val="0"/>
        <w:spacing w:before="120" w:after="120"/>
        <w:ind w:firstLine="640"/>
        <w:outlineLvl w:val="2"/>
        <w:rPr>
          <w:color w:val="000000"/>
          <w:szCs w:val="32"/>
        </w:rPr>
      </w:pPr>
      <w:bookmarkStart w:id="29" w:name="_Toc229673032"/>
      <w:r>
        <w:rPr>
          <w:rFonts w:hint="eastAsia"/>
          <w:color w:val="000000"/>
          <w:szCs w:val="32"/>
        </w:rPr>
        <w:t>4、打造便民生活圈升级版</w:t>
      </w:r>
      <w:bookmarkEnd w:id="29"/>
    </w:p>
    <w:p w14:paraId="233966E5">
      <w:pPr>
        <w:pStyle w:val="2"/>
        <w:ind w:firstLine="640"/>
        <w:rPr>
          <w:rFonts w:hint="eastAsia"/>
          <w:color w:val="000000"/>
        </w:rPr>
      </w:pPr>
      <w:r>
        <w:rPr>
          <w:rFonts w:hint="eastAsia"/>
          <w:color w:val="000000"/>
        </w:rPr>
        <w:t>按照“缺什么、补什么”的原则，指导便民生活圈补足标准化缺口，加快向品质型升级，满足社区居民日常生活基本消费和品质消费需求，鼓励“一圈一策”，打造特色生活圈。</w:t>
      </w:r>
      <w:r>
        <w:rPr>
          <w:color w:val="000000"/>
        </w:rPr>
        <w:t>引导商业资源下沉社区，</w:t>
      </w:r>
      <w:r>
        <w:rPr>
          <w:rFonts w:hint="eastAsia"/>
          <w:color w:val="000000"/>
        </w:rPr>
        <w:t>推动连锁超市、便利店等进生活圈，鼓励社区商业与物业服务、生活消费、居家养老等场景融合，满足不同类型和层次的消费群体需求。鼓励利用现有设施转型为社区嵌入式服务设施，发展社区食堂、家政便民、养老育幼、教育培训、体育健身、健康服务等，</w:t>
      </w:r>
      <w:r>
        <w:rPr>
          <w:color w:val="000000"/>
        </w:rPr>
        <w:t>提升社区商业供给质量</w:t>
      </w:r>
      <w:r>
        <w:rPr>
          <w:rFonts w:hint="eastAsia"/>
          <w:color w:val="000000"/>
        </w:rPr>
        <w:t>。支持发展线上线下融合的即时零售模式（平台下单+就近门店配送，就近门店下单+即时配送），赋能实体门店，拓展服务半径。积极申报全国城市一刻钟便民生活圈全域推进先行区试点。</w:t>
      </w:r>
    </w:p>
    <w:p w14:paraId="52A3ED49">
      <w:pPr>
        <w:overflowPunct w:val="0"/>
        <w:spacing w:before="120" w:after="120"/>
        <w:ind w:firstLine="640"/>
        <w:outlineLvl w:val="2"/>
        <w:rPr>
          <w:color w:val="000000"/>
          <w:szCs w:val="32"/>
        </w:rPr>
      </w:pPr>
      <w:bookmarkStart w:id="30" w:name="_Toc229673033"/>
      <w:r>
        <w:rPr>
          <w:rFonts w:hint="eastAsia"/>
          <w:color w:val="000000"/>
          <w:szCs w:val="32"/>
        </w:rPr>
        <w:t>5、完善县域商业网络设施</w:t>
      </w:r>
      <w:bookmarkEnd w:id="30"/>
    </w:p>
    <w:p w14:paraId="61A4425D">
      <w:pPr>
        <w:pStyle w:val="2"/>
        <w:ind w:firstLine="643"/>
        <w:rPr>
          <w:rFonts w:ascii="仿宋_GB2312"/>
          <w:color w:val="000000"/>
        </w:rPr>
      </w:pPr>
      <w:r>
        <w:rPr>
          <w:rFonts w:hint="eastAsia"/>
          <w:b/>
          <w:bCs/>
          <w:color w:val="000000"/>
        </w:rPr>
        <w:t>增强县城商业综合服务和辐射能力。</w:t>
      </w:r>
      <w:r>
        <w:rPr>
          <w:rFonts w:hint="eastAsia"/>
          <w:color w:val="000000"/>
        </w:rPr>
        <w:t>深入</w:t>
      </w:r>
      <w:r>
        <w:rPr>
          <w:rFonts w:hint="eastAsia" w:ascii="仿宋_GB2312"/>
          <w:color w:val="000000"/>
        </w:rPr>
        <w:t>推进县域商业体系建设和“千集万店”改造提升，</w:t>
      </w:r>
      <w:r>
        <w:rPr>
          <w:rFonts w:hint="eastAsia"/>
          <w:color w:val="000000"/>
        </w:rPr>
        <w:t>鼓励两区一市三县以市场化方式建设改造提升购物中心、大型连锁商超、商业步行街、美食街、夜间经济聚集区及专业市场、农贸市场等重点商业网点，推动商旅文娱体业态聚集，提升综合服务能力，向乡镇和村庄延伸服务，满足居民便利和品质消费需求。推动乌当区稻香村商业综合体、修文县奇峰·鑫源广场商贸综合体等项目落地，打造“一站式”商业综合体，丰富县域消费场景。</w:t>
      </w:r>
    </w:p>
    <w:p w14:paraId="5A4C411E">
      <w:pPr>
        <w:pStyle w:val="2"/>
        <w:ind w:firstLine="643"/>
        <w:rPr>
          <w:color w:val="000000"/>
        </w:rPr>
      </w:pPr>
      <w:r>
        <w:rPr>
          <w:rFonts w:hint="eastAsia"/>
          <w:b/>
          <w:bCs/>
          <w:color w:val="000000"/>
        </w:rPr>
        <w:t>升级乡镇商贸中心。</w:t>
      </w:r>
      <w:r>
        <w:rPr>
          <w:rFonts w:hint="eastAsia"/>
          <w:color w:val="000000"/>
        </w:rPr>
        <w:t>引导连锁商贸流通企业采取自建、改造、股权合作等方式，改造升级一批乡镇商贸中心、连锁超市、农（集）贸市场等，完善商业网点基础设施，丰富购物、亲子、娱乐、餐饮、休闲、理发、维修、废旧物资回收、农资等消费需求。升级村级综合服务站点，鼓励村级夫妻店、小卖部等商业零售网点改造升级，为村民提供日用消费品、农资、电商、快递收发等多样化服务，促进“一站多能、一网多用”。</w:t>
      </w:r>
    </w:p>
    <w:p w14:paraId="028236F4">
      <w:pPr>
        <w:spacing w:before="260" w:after="260"/>
        <w:ind w:firstLine="640"/>
        <w:outlineLvl w:val="1"/>
        <w:rPr>
          <w:rFonts w:eastAsia="楷体" w:cs="楷体"/>
          <w:color w:val="000000"/>
          <w:szCs w:val="32"/>
        </w:rPr>
      </w:pPr>
      <w:bookmarkStart w:id="31" w:name="_Toc229673034"/>
      <w:r>
        <w:rPr>
          <w:rFonts w:hint="eastAsia" w:eastAsia="楷体" w:cs="楷体"/>
          <w:color w:val="000000"/>
          <w:szCs w:val="32"/>
        </w:rPr>
        <w:t>（二）提升消费体系能级</w:t>
      </w:r>
      <w:bookmarkEnd w:id="31"/>
    </w:p>
    <w:p w14:paraId="4919888A">
      <w:pPr>
        <w:overflowPunct w:val="0"/>
        <w:spacing w:before="120" w:after="120"/>
        <w:ind w:firstLine="640"/>
        <w:outlineLvl w:val="2"/>
        <w:rPr>
          <w:color w:val="000000"/>
          <w:szCs w:val="32"/>
        </w:rPr>
      </w:pPr>
      <w:bookmarkStart w:id="32" w:name="_Toc229673035"/>
      <w:r>
        <w:rPr>
          <w:rFonts w:hint="eastAsia"/>
          <w:color w:val="000000"/>
          <w:szCs w:val="32"/>
        </w:rPr>
        <w:t>1、提档升级商品“爽购”消费</w:t>
      </w:r>
      <w:bookmarkEnd w:id="32"/>
    </w:p>
    <w:p w14:paraId="39DB86FE">
      <w:pPr>
        <w:pStyle w:val="2"/>
        <w:ind w:firstLine="643"/>
        <w:rPr>
          <w:b/>
          <w:bCs/>
          <w:color w:val="000000"/>
        </w:rPr>
      </w:pPr>
      <w:r>
        <w:rPr>
          <w:rFonts w:hint="eastAsia"/>
          <w:b/>
          <w:bCs/>
          <w:color w:val="000000"/>
        </w:rPr>
        <w:t>推动零售业多元化创新。</w:t>
      </w:r>
      <w:r>
        <w:rPr>
          <w:rFonts w:hint="eastAsia"/>
          <w:color w:val="000000"/>
        </w:rPr>
        <w:t>鼓励百货店优化业态比例，探索深度联营、自采自营，鼓励仓储式会员店、“门店+云仓”、“超市+餐饮”、无人值守等智慧新零售业态发展。支持有条件的惠民生鲜超市叠加居民生活服务业态，实现“一店多能、一店多用”。推动便利店品质化建设、连锁化经营、数字化运营，鼓励发展精品店、集合店、快闪店、品牌折扣店等新业态，培育“小而美”“专而精”的特色店铺。</w:t>
      </w:r>
      <w:r>
        <w:rPr>
          <w:color w:val="000000"/>
        </w:rPr>
        <w:t>积极推进</w:t>
      </w:r>
      <w:r>
        <w:rPr>
          <w:rFonts w:hint="eastAsia"/>
          <w:color w:val="000000"/>
        </w:rPr>
        <w:t>离境</w:t>
      </w:r>
      <w:r>
        <w:rPr>
          <w:color w:val="000000"/>
        </w:rPr>
        <w:t>退税商店布局</w:t>
      </w:r>
      <w:r>
        <w:rPr>
          <w:rFonts w:hint="eastAsia"/>
          <w:color w:val="000000"/>
        </w:rPr>
        <w:t>，落实离境退税政策，优化离境退税服务，实行“即买即退”。支持发展跨境零售直营门店、保税店。推进全国零售业创新提升试点城市建设。</w:t>
      </w:r>
    </w:p>
    <w:p w14:paraId="75348B1C">
      <w:pPr>
        <w:pStyle w:val="2"/>
        <w:ind w:firstLine="643"/>
        <w:rPr>
          <w:color w:val="000000"/>
        </w:rPr>
      </w:pPr>
      <w:r>
        <w:rPr>
          <w:rFonts w:hint="eastAsia"/>
          <w:b/>
          <w:bCs/>
          <w:color w:val="000000"/>
        </w:rPr>
        <w:t>大力推动商品消费扩容。</w:t>
      </w:r>
      <w:r>
        <w:rPr>
          <w:rFonts w:hint="eastAsia"/>
          <w:color w:val="000000"/>
        </w:rPr>
        <w:t>深入推进消费品以旧换新，巩固提升新能源汽车、绿色家电、电子产品等大宗消费，稳步开展汽车报废、置换更新、家电家居数码产品等以旧换新，优化补贴申领和兑现流程。促进国货“潮品”消费，发展玩具手办、国潮IP、主题文创、特色非遗、旅游商品等，</w:t>
      </w:r>
      <w:r>
        <w:rPr>
          <w:color w:val="000000"/>
        </w:rPr>
        <w:t>构建涵盖贵银、苗绣等的贵阳特色伴手礼产品体系</w:t>
      </w:r>
      <w:r>
        <w:rPr>
          <w:rFonts w:hint="eastAsia"/>
          <w:color w:val="000000"/>
        </w:rPr>
        <w:t>，做大做强精彩文创产业链。围绕年轻群体消费需求，培育美妆护理、宠物经济等新增长点，探索推进“悦己经济”“谷子经济”“情绪经济”等新消费业态。</w:t>
      </w:r>
    </w:p>
    <w:p w14:paraId="49A30D33">
      <w:pPr>
        <w:pStyle w:val="2"/>
        <w:ind w:firstLine="643"/>
        <w:rPr>
          <w:color w:val="000000"/>
        </w:rPr>
      </w:pPr>
      <w:r>
        <w:rPr>
          <w:rFonts w:hint="eastAsia"/>
          <w:b/>
          <w:bCs/>
          <w:color w:val="000000"/>
        </w:rPr>
        <w:t>丰富消费惠民举措。</w:t>
      </w:r>
      <w:r>
        <w:rPr>
          <w:rFonts w:hint="eastAsia"/>
          <w:color w:val="000000"/>
        </w:rPr>
        <w:t>加大直达消费者的普惠政策力度，用好</w:t>
      </w:r>
      <w:r>
        <w:rPr>
          <w:color w:val="000000"/>
        </w:rPr>
        <w:t>消费品以旧换新</w:t>
      </w:r>
      <w:r>
        <w:rPr>
          <w:rFonts w:hint="eastAsia"/>
          <w:color w:val="000000"/>
        </w:rPr>
        <w:t>、“酒+”联动促销政策，</w:t>
      </w:r>
      <w:r>
        <w:rPr>
          <w:color w:val="000000"/>
        </w:rPr>
        <w:t>广泛动员商贸流通、汽车家电家居等行业参与，激发城乡市场消费潜力。用好消费券</w:t>
      </w:r>
      <w:r>
        <w:rPr>
          <w:rFonts w:hint="eastAsia"/>
          <w:color w:val="000000"/>
        </w:rPr>
        <w:t>、消费贷款贴息</w:t>
      </w:r>
      <w:r>
        <w:rPr>
          <w:color w:val="000000"/>
        </w:rPr>
        <w:t>政策，组织</w:t>
      </w:r>
      <w:r>
        <w:rPr>
          <w:rFonts w:hint="eastAsia"/>
          <w:color w:val="000000"/>
        </w:rPr>
        <w:t>企业</w:t>
      </w:r>
      <w:r>
        <w:rPr>
          <w:color w:val="000000"/>
        </w:rPr>
        <w:t>参加全省</w:t>
      </w:r>
      <w:r>
        <w:rPr>
          <w:rFonts w:hint="eastAsia"/>
          <w:color w:val="000000"/>
        </w:rPr>
        <w:t>“多彩贵州欢乐购”</w:t>
      </w:r>
      <w:r>
        <w:rPr>
          <w:color w:val="000000"/>
        </w:rPr>
        <w:t>等系列促消费活动</w:t>
      </w:r>
      <w:r>
        <w:rPr>
          <w:rFonts w:hint="eastAsia"/>
          <w:color w:val="000000"/>
        </w:rPr>
        <w:t>。持续举办具有贵阳特色的</w:t>
      </w:r>
      <w:r>
        <w:rPr>
          <w:color w:val="000000"/>
        </w:rPr>
        <w:t>520购物节、金秋购物季</w:t>
      </w:r>
      <w:r>
        <w:rPr>
          <w:rFonts w:hint="eastAsia"/>
          <w:color w:val="000000"/>
        </w:rPr>
        <w:t>、</w:t>
      </w:r>
      <w:r>
        <w:rPr>
          <w:color w:val="000000"/>
        </w:rPr>
        <w:t>避暑季活动等促销活动，扩大</w:t>
      </w:r>
      <w:r>
        <w:rPr>
          <w:rFonts w:hint="eastAsia"/>
          <w:color w:val="000000"/>
        </w:rPr>
        <w:t>节</w:t>
      </w:r>
      <w:r>
        <w:rPr>
          <w:color w:val="000000"/>
        </w:rPr>
        <w:t>假日消费</w:t>
      </w:r>
      <w:r>
        <w:rPr>
          <w:rFonts w:hint="eastAsia"/>
          <w:color w:val="000000"/>
        </w:rPr>
        <w:t>、季节消费</w:t>
      </w:r>
      <w:r>
        <w:rPr>
          <w:color w:val="000000"/>
        </w:rPr>
        <w:t>。</w:t>
      </w:r>
    </w:p>
    <w:p w14:paraId="71373A6E">
      <w:pPr>
        <w:overflowPunct w:val="0"/>
        <w:spacing w:before="120" w:after="120"/>
        <w:ind w:firstLine="640"/>
        <w:outlineLvl w:val="2"/>
        <w:rPr>
          <w:color w:val="000000"/>
          <w:szCs w:val="32"/>
        </w:rPr>
      </w:pPr>
      <w:bookmarkStart w:id="33" w:name="_Toc229673036"/>
      <w:r>
        <w:rPr>
          <w:rFonts w:hint="eastAsia"/>
          <w:color w:val="000000"/>
          <w:szCs w:val="32"/>
        </w:rPr>
        <w:t>2、扩大精美餐饮“爽口”消费</w:t>
      </w:r>
      <w:bookmarkEnd w:id="33"/>
    </w:p>
    <w:p w14:paraId="23A2103B">
      <w:pPr>
        <w:pStyle w:val="2"/>
        <w:ind w:firstLine="643"/>
        <w:rPr>
          <w:b/>
          <w:bCs/>
          <w:color w:val="000000"/>
        </w:rPr>
      </w:pPr>
      <w:r>
        <w:rPr>
          <w:rFonts w:hint="eastAsia"/>
          <w:b/>
          <w:bCs/>
          <w:color w:val="000000"/>
        </w:rPr>
        <w:t>传承和创新发展生态黔菜。</w:t>
      </w:r>
      <w:r>
        <w:rPr>
          <w:rFonts w:hint="eastAsia"/>
          <w:color w:val="000000"/>
        </w:rPr>
        <w:t>挖掘黔菜文化，立足贵阳“酸、辣、奇、鲜”饮食文化特色，聚焦炒菜、火锅、粉面、小吃等传统特色品类，系统构建“酸汤”“烙锅”等风味体系，制定黔菜标准体系，培养黔菜师傅。传承黔菜名品</w:t>
      </w:r>
      <w:r>
        <w:rPr>
          <w:color w:val="000000"/>
        </w:rPr>
        <w:t>，</w:t>
      </w:r>
      <w:r>
        <w:rPr>
          <w:rFonts w:hint="eastAsia"/>
          <w:color w:val="000000"/>
        </w:rPr>
        <w:t>重点打造酸汤鱼、酸汤牛肉、辣子鸡、牛肉粉、肠旺面、丝娃娃、脆哨等生态黔菜品牌。鼓励餐饮企业在菜品口味和运营模式方面进行创新，研发适众性强、认可度高的菜品。鼓励重点餐饮企业申报知名商标、非物质文化遗产等，打造具有贵阳特色的地方“名菜”“名小吃”“名厨”“名店”等美食名片。</w:t>
      </w:r>
    </w:p>
    <w:p w14:paraId="443C4EA3">
      <w:pPr>
        <w:pStyle w:val="2"/>
        <w:ind w:firstLine="643"/>
        <w:rPr>
          <w:color w:val="000000"/>
        </w:rPr>
      </w:pPr>
      <w:r>
        <w:rPr>
          <w:rFonts w:hint="eastAsia"/>
          <w:b/>
          <w:bCs/>
          <w:color w:val="000000"/>
        </w:rPr>
        <w:t>提升精美餐饮品牌能级。</w:t>
      </w:r>
      <w:r>
        <w:rPr>
          <w:rFonts w:hint="eastAsia"/>
          <w:color w:val="000000"/>
        </w:rPr>
        <w:t>引导企业参与“钻级酒家”“黑珍珠”“米其林餐厅”“老字号”等评选评级，提升品牌价值。支持本地餐饮龙头企业连锁化扩张，扩展省外市场。鼓励</w:t>
      </w:r>
      <w:r>
        <w:rPr>
          <w:color w:val="000000"/>
        </w:rPr>
        <w:t>各区（市、县）</w:t>
      </w:r>
      <w:r>
        <w:rPr>
          <w:rFonts w:hint="eastAsia"/>
          <w:color w:val="000000"/>
        </w:rPr>
        <w:t>挖掘本地饮食文化，推出一批具有鲜明区域特色的餐饮品牌，力争形成“一区一特色、一县一品牌”的区域性餐饮品牌格局。支持国内外知名餐饮品牌在贵阳设立首店、旗舰店、推广中心等。</w:t>
      </w:r>
    </w:p>
    <w:p w14:paraId="59F68634">
      <w:pPr>
        <w:pStyle w:val="2"/>
        <w:ind w:firstLine="643"/>
        <w:rPr>
          <w:color w:val="000000"/>
        </w:rPr>
      </w:pPr>
      <w:r>
        <w:rPr>
          <w:rFonts w:hint="eastAsia"/>
          <w:b/>
          <w:bCs/>
          <w:color w:val="000000"/>
        </w:rPr>
        <w:t>打造“精品系列”新名片。</w:t>
      </w:r>
      <w:r>
        <w:rPr>
          <w:rFonts w:hint="eastAsia"/>
          <w:color w:val="000000"/>
        </w:rPr>
        <w:t>积极研发本土咖啡特色产品，支持咖啡企业开设旗舰店、品牌店、特色店，鼓励咖啡业态进商圈、景区景点、交通枢纽、机关、企业、园区、大学城等，推动“咖啡+办公”“咖啡+校园”等场景普及，举办咖啡文化节、品牌赛事等活动，支持主理人参加世界级大赛，做大做强精品咖啡产业链。创新精酿啤酒地方风味产品，鼓励发展“前店后厂”</w:t>
      </w:r>
      <w:r>
        <w:rPr>
          <w:rFonts w:hint="eastAsia" w:ascii="仿宋_GB2312"/>
          <w:color w:val="000000"/>
        </w:rPr>
        <w:t>“社区酒馆+便利店特供”</w:t>
      </w:r>
      <w:r>
        <w:rPr>
          <w:color w:val="000000"/>
        </w:rPr>
        <w:t>模式，在</w:t>
      </w:r>
      <w:r>
        <w:rPr>
          <w:rFonts w:hint="eastAsia"/>
          <w:color w:val="000000"/>
        </w:rPr>
        <w:t>七米路、太平路、</w:t>
      </w:r>
      <w:r>
        <w:rPr>
          <w:color w:val="000000"/>
        </w:rPr>
        <w:t>青云路、文昌阁等打造酒商融合特色街区</w:t>
      </w:r>
      <w:r>
        <w:rPr>
          <w:rFonts w:hint="eastAsia"/>
          <w:color w:val="000000"/>
        </w:rPr>
        <w:t>，推动精酿产业园建设，持续举办精酿生活节、精酿酿酒技能大赛等活动，做大做强精酿啤酒产业链。</w:t>
      </w:r>
    </w:p>
    <w:p w14:paraId="2694F1D4">
      <w:pPr>
        <w:pStyle w:val="2"/>
        <w:ind w:firstLine="643"/>
        <w:rPr>
          <w:color w:val="000000"/>
        </w:rPr>
      </w:pPr>
      <w:r>
        <w:rPr>
          <w:rFonts w:hint="eastAsia"/>
          <w:b/>
          <w:bCs/>
          <w:color w:val="000000"/>
        </w:rPr>
        <w:t>打造餐饮集聚区。</w:t>
      </w:r>
      <w:r>
        <w:rPr>
          <w:color w:val="000000"/>
        </w:rPr>
        <w:t>围绕</w:t>
      </w:r>
      <w:r>
        <w:rPr>
          <w:rFonts w:hint="eastAsia"/>
          <w:color w:val="000000"/>
        </w:rPr>
        <w:t>城市地标性商圈、区域性活力商圈</w:t>
      </w:r>
      <w:r>
        <w:rPr>
          <w:color w:val="000000"/>
        </w:rPr>
        <w:t>，引进国</w:t>
      </w:r>
      <w:r>
        <w:rPr>
          <w:rFonts w:hint="eastAsia"/>
          <w:color w:val="000000"/>
        </w:rPr>
        <w:t>内外</w:t>
      </w:r>
      <w:r>
        <w:rPr>
          <w:color w:val="000000"/>
        </w:rPr>
        <w:t>知名餐饮品牌、高端特色主题餐厅，发展品质化的各国</w:t>
      </w:r>
      <w:r>
        <w:rPr>
          <w:rFonts w:hint="eastAsia"/>
          <w:color w:val="000000"/>
        </w:rPr>
        <w:t>各省</w:t>
      </w:r>
      <w:r>
        <w:rPr>
          <w:color w:val="000000"/>
        </w:rPr>
        <w:t>风味餐饮</w:t>
      </w:r>
      <w:r>
        <w:rPr>
          <w:rFonts w:hint="eastAsia"/>
          <w:color w:val="000000"/>
        </w:rPr>
        <w:t>，</w:t>
      </w:r>
      <w:r>
        <w:rPr>
          <w:color w:val="000000"/>
        </w:rPr>
        <w:t>树立餐饮消费时尚标杆。</w:t>
      </w:r>
      <w:r>
        <w:rPr>
          <w:rFonts w:hint="eastAsia"/>
          <w:color w:val="000000"/>
        </w:rPr>
        <w:t>培育建设二七路小吃街、青云市集、阿云朵仓、会展东路、多彩贵州城“一番好市”等一批美食街区，发展精品咖啡、新茶饮、精酿啤酒等新业态，融合贵州文化、旅游、农产品等特色优势，打造满足大众需求的特色餐饮集聚区、“网红打卡地”。推出美食地图、打造美食线路。</w:t>
      </w:r>
    </w:p>
    <w:p w14:paraId="4C390A28">
      <w:pPr>
        <w:pStyle w:val="2"/>
        <w:ind w:firstLine="643"/>
        <w:rPr>
          <w:rFonts w:hint="eastAsia"/>
          <w:color w:val="000000"/>
        </w:rPr>
      </w:pPr>
      <w:r>
        <w:rPr>
          <w:rFonts w:hint="eastAsia"/>
          <w:b/>
          <w:bCs/>
          <w:color w:val="000000"/>
        </w:rPr>
        <w:t>推动餐饮融合业态创新。</w:t>
      </w:r>
      <w:r>
        <w:rPr>
          <w:rFonts w:hint="eastAsia"/>
          <w:color w:val="000000"/>
        </w:rPr>
        <w:t>将餐饮纳入文旅精品线路，在景区周边布局特色餐饮，植入地域文化元素，打造“餐饮+文旅”沉浸式体验场景。围绕马拉松、演唱会等大型活动，支持餐饮企业通过“票根经济”参与优惠活动，打造“餐饮+赛事”“餐饮+演艺经济”等融合场景。聚焦年轻群体，打造个性化、品质化“餐饮+婚庆”消费场景。鼓励餐饮企业延伸产业链，发展中央厨房、预制菜、即食食品，开展直播带货、网络团购营销等。加强农餐对接，推广“种植养殖基地+中央厨房+餐饮门店”模式，探索打造标准化食材供应链平台。推进“明厨亮灶”，强化全流程检查监管，保障食品安全。</w:t>
      </w:r>
    </w:p>
    <w:p w14:paraId="31D62F21">
      <w:pPr>
        <w:overflowPunct w:val="0"/>
        <w:spacing w:before="120" w:after="120"/>
        <w:ind w:firstLine="640"/>
        <w:outlineLvl w:val="2"/>
        <w:rPr>
          <w:color w:val="000000"/>
          <w:szCs w:val="32"/>
        </w:rPr>
      </w:pPr>
      <w:bookmarkStart w:id="34" w:name="_Toc229673037"/>
      <w:r>
        <w:rPr>
          <w:rFonts w:hint="eastAsia"/>
          <w:color w:val="000000"/>
          <w:szCs w:val="32"/>
        </w:rPr>
        <w:t>3、打响贵阳家政服务品牌</w:t>
      </w:r>
      <w:bookmarkEnd w:id="34"/>
    </w:p>
    <w:p w14:paraId="6026B887">
      <w:pPr>
        <w:pStyle w:val="2"/>
        <w:ind w:firstLine="643"/>
        <w:rPr>
          <w:color w:val="000000"/>
        </w:rPr>
      </w:pPr>
      <w:r>
        <w:rPr>
          <w:rFonts w:hint="eastAsia"/>
          <w:b/>
          <w:bCs/>
          <w:color w:val="000000"/>
        </w:rPr>
        <w:t>提升家政服务供给质量。</w:t>
      </w:r>
      <w:r>
        <w:rPr>
          <w:rFonts w:hint="eastAsia"/>
          <w:color w:val="000000"/>
        </w:rPr>
        <w:t>加强从业人员职业技能培训，依托行业协会、家政品牌企业、培训机构等开展家政服务员、养老护理员、育婴员、保洁员、家庭教育指导师等专业培训，</w:t>
      </w:r>
      <w:r>
        <w:rPr>
          <w:color w:val="000000"/>
        </w:rPr>
        <w:t>支持校企合作开办家政</w:t>
      </w:r>
      <w:r>
        <w:rPr>
          <w:rFonts w:hint="eastAsia" w:ascii="仿宋_GB2312"/>
          <w:color w:val="000000"/>
        </w:rPr>
        <w:t>“订单班”</w:t>
      </w:r>
      <w:r>
        <w:rPr>
          <w:rFonts w:hint="eastAsia"/>
          <w:color w:val="000000"/>
        </w:rPr>
        <w:t>，打造“家政产教园”。鼓励传统家政服务拓展到整理收纳、家具家电清洗、消杀消毒、营养咨询等新兴服务领域。引导家政服务企业发展连锁经营，培育一批贵州省“黔灵家政”明星企业和金牌服务员。</w:t>
      </w:r>
    </w:p>
    <w:p w14:paraId="3AFC6D0B">
      <w:pPr>
        <w:pStyle w:val="2"/>
        <w:ind w:firstLine="643"/>
        <w:rPr>
          <w:color w:val="000000"/>
        </w:rPr>
      </w:pPr>
      <w:r>
        <w:rPr>
          <w:rFonts w:hint="eastAsia"/>
          <w:b/>
          <w:bCs/>
          <w:color w:val="000000"/>
        </w:rPr>
        <w:t>促进家政服务便利消费。</w:t>
      </w:r>
      <w:r>
        <w:rPr>
          <w:rFonts w:hint="eastAsia"/>
          <w:color w:val="000000"/>
        </w:rPr>
        <w:t>推进家政进社区，支持家政企业连锁化运营社区网点，创新提供点单式、分时段服务模式，满足消费者共享保洁、烹饪、养老等家政服务需求，探索“共享管家”模式。加快建设“家政+养老+托育”一体化示范社区，推动家政企业与社区共享场地，鼓励支持员工制家政企业嵌入社区。鼓励家政企业积极发展线上接派单业务，支持家政企业创新服务模式、探索智慧化场景，提升行业服务效率和数字化服务水平。鼓励通过发放消费券、优惠券、体验券等方式，激发家政服务消费潜力。</w:t>
      </w:r>
    </w:p>
    <w:p w14:paraId="3F161D5B">
      <w:pPr>
        <w:pStyle w:val="2"/>
        <w:ind w:firstLine="643"/>
        <w:rPr>
          <w:color w:val="000000"/>
        </w:rPr>
      </w:pPr>
      <w:r>
        <w:rPr>
          <w:rFonts w:hint="eastAsia"/>
          <w:b/>
          <w:bCs/>
          <w:color w:val="000000"/>
        </w:rPr>
        <w:t>引导家政服务市场健康发展。</w:t>
      </w:r>
      <w:r>
        <w:rPr>
          <w:rFonts w:hint="eastAsia"/>
          <w:color w:val="000000"/>
        </w:rPr>
        <w:t>推动中介制家政企业向员工制转型，引导家政服务企业和家政服务人员依法参加社会保险。</w:t>
      </w:r>
      <w:r>
        <w:rPr>
          <w:rFonts w:hint="eastAsia" w:ascii="仿宋_GB2312" w:cs="仿宋_GB2312"/>
          <w:color w:val="000000"/>
          <w:szCs w:val="32"/>
        </w:rPr>
        <w:t>推广《家政服务公约》，鼓励家政企业健全家政行业信用体系、</w:t>
      </w:r>
      <w:r>
        <w:rPr>
          <w:rFonts w:hint="eastAsia"/>
          <w:color w:val="000000"/>
        </w:rPr>
        <w:t>建立家政企业信用“白名单”、从业人员“一人一码一档案”信用平台，加快建立家政服务人员持证上门制度，完善家政服务举报、投诉渠道，建立健全常态化、多元化家政服务纠纷调解机制。</w:t>
      </w:r>
    </w:p>
    <w:p w14:paraId="08B96323">
      <w:pPr>
        <w:overflowPunct w:val="0"/>
        <w:spacing w:before="120" w:after="120"/>
        <w:ind w:firstLine="640"/>
        <w:outlineLvl w:val="2"/>
        <w:rPr>
          <w:color w:val="000000"/>
          <w:szCs w:val="32"/>
        </w:rPr>
      </w:pPr>
      <w:bookmarkStart w:id="35" w:name="_Toc229673038"/>
      <w:r>
        <w:rPr>
          <w:rFonts w:hint="eastAsia"/>
          <w:color w:val="000000"/>
          <w:szCs w:val="32"/>
        </w:rPr>
        <w:t>4、深化商旅文体健融合发展</w:t>
      </w:r>
      <w:bookmarkEnd w:id="35"/>
    </w:p>
    <w:p w14:paraId="3D72975F">
      <w:pPr>
        <w:pStyle w:val="2"/>
        <w:ind w:firstLine="643"/>
        <w:rPr>
          <w:color w:val="000000"/>
        </w:rPr>
      </w:pPr>
      <w:r>
        <w:rPr>
          <w:rFonts w:hint="eastAsia"/>
          <w:b/>
          <w:bCs/>
          <w:color w:val="000000"/>
        </w:rPr>
        <w:t>推动“消费+文旅”融合发展。</w:t>
      </w:r>
      <w:r>
        <w:rPr>
          <w:rFonts w:hint="eastAsia"/>
          <w:color w:val="000000"/>
        </w:rPr>
        <w:t>依托青岩古镇、曹状元特色文化街区等文化特色商业街区，打造集文化体验、休闲娱乐、特色消费于一体的文旅商业地标。依托“夏季演艺之都”建设契机和路边音乐会品牌，推动演艺同餐饮、购物、旅游等消费场景优惠联动，培育打造奥体中心、多彩贵州城等“演艺+旅游+商业”融合商圈。支持非遗相关产品和服务进商圈，培育一批集非遗体验和旅游文创商品销售为一体的非遗旅游体验空间。鼓励各区（市、县）整合商业综合体、餐饮企业、文旅景点等资源，聚焦节假日及文体活动等，精准匹配联动合作点，实现客流共享和消费互促。</w:t>
      </w:r>
    </w:p>
    <w:p w14:paraId="0CCD108B">
      <w:pPr>
        <w:pStyle w:val="2"/>
        <w:ind w:firstLine="643"/>
        <w:rPr>
          <w:color w:val="000000"/>
        </w:rPr>
      </w:pPr>
      <w:r>
        <w:rPr>
          <w:rFonts w:hint="eastAsia"/>
          <w:b/>
          <w:bCs/>
          <w:color w:val="000000"/>
        </w:rPr>
        <w:t>推动“消费+体育”融合发展。</w:t>
      </w:r>
      <w:r>
        <w:rPr>
          <w:rFonts w:hint="eastAsia"/>
          <w:color w:val="000000"/>
        </w:rPr>
        <w:t>发挥“夏赛夏训之城”优势，加大赛事活动对餐饮、零售等相关消费带动作用，培育一批休闲美食街区、体育赛事周边市集，推动赛事活动进商圈、进街区。挖掘体育赛事衍生品市场潜力，鼓励体育场馆、赛事活动举办场地等场所设置体育用品专柜或专卖店，促进体育装备产品消费。积极引进运营主体和社会资本，建设一批户外运动基地、旅游（旅居）车露营基地、休闲体验基地等商体融合载体，构建体育装备产品特色消费场景。</w:t>
      </w:r>
    </w:p>
    <w:p w14:paraId="7DCE6C93">
      <w:pPr>
        <w:pStyle w:val="2"/>
        <w:ind w:firstLine="643"/>
        <w:rPr>
          <w:rFonts w:hint="eastAsia" w:eastAsia="仿宋_GB2312"/>
          <w:color w:val="000000"/>
          <w:lang w:val="en-US" w:eastAsia="zh-CN"/>
        </w:rPr>
      </w:pPr>
      <w:r>
        <w:rPr>
          <w:rFonts w:hint="eastAsia"/>
          <w:b/>
          <w:bCs/>
          <w:color w:val="000000"/>
        </w:rPr>
        <w:t>推动“消费+会展”融合发展。</w:t>
      </w:r>
      <w:r>
        <w:rPr>
          <w:rFonts w:hint="eastAsia"/>
          <w:color w:val="000000"/>
        </w:rPr>
        <w:t>围绕贵阳国际会议展览中心、贵州省国际会议中心等大型会议展览中心，完善周边餐饮、购物等商业设施。依托</w:t>
      </w:r>
      <w:r>
        <w:rPr>
          <w:rFonts w:ascii="仿宋_GB2312" w:hAnsi="仿宋_GB2312" w:cs="仿宋_GB2312"/>
          <w:color w:val="000000"/>
          <w:szCs w:val="32"/>
        </w:rPr>
        <w:t>生态文明贵阳国际论坛</w:t>
      </w:r>
      <w:r>
        <w:rPr>
          <w:rFonts w:hint="eastAsia" w:ascii="仿宋_GB2312" w:hAnsi="仿宋_GB2312" w:cs="仿宋_GB2312"/>
          <w:color w:val="000000"/>
          <w:szCs w:val="32"/>
        </w:rPr>
        <w:t>、</w:t>
      </w:r>
      <w:r>
        <w:rPr>
          <w:rFonts w:hint="eastAsia"/>
          <w:color w:val="000000"/>
        </w:rPr>
        <w:t>中国国际大数据产业博览会、中国（贵州）国际酒类博览会等重大展会活动，鼓励展会与周边商业联动发展，探索大型展会消费优惠套餐合作模式，完善会展消费服务体系。</w:t>
      </w:r>
    </w:p>
    <w:p w14:paraId="2B93CE86">
      <w:pPr>
        <w:pStyle w:val="2"/>
        <w:ind w:firstLine="643"/>
        <w:rPr>
          <w:color w:val="000000"/>
        </w:rPr>
      </w:pPr>
      <w:r>
        <w:rPr>
          <w:rFonts w:hint="eastAsia"/>
          <w:b/>
          <w:bCs/>
          <w:color w:val="000000"/>
        </w:rPr>
        <w:t>推动“消费+康养”融合发展。</w:t>
      </w:r>
      <w:r>
        <w:rPr>
          <w:rFonts w:hint="eastAsia"/>
          <w:color w:val="000000"/>
        </w:rPr>
        <w:t>大力发展银发消费，</w:t>
      </w:r>
      <w:r>
        <w:rPr>
          <w:color w:val="000000"/>
        </w:rPr>
        <w:t>鼓励电商平台、商场超市等开发老年人适用版面或设施，设立银发消费专区，便利线上线下消费。</w:t>
      </w:r>
      <w:r>
        <w:rPr>
          <w:rFonts w:hint="eastAsia"/>
          <w:color w:val="000000"/>
        </w:rPr>
        <w:t>围绕</w:t>
      </w:r>
      <w:r>
        <w:rPr>
          <w:color w:val="000000"/>
        </w:rPr>
        <w:t>老年人家庭适老化改造，</w:t>
      </w:r>
      <w:r>
        <w:rPr>
          <w:rFonts w:hint="eastAsia"/>
          <w:color w:val="000000"/>
        </w:rPr>
        <w:t>推广</w:t>
      </w:r>
      <w:r>
        <w:rPr>
          <w:color w:val="000000"/>
        </w:rPr>
        <w:t>适老化产品用品，提升居家养老安全性、便利性。</w:t>
      </w:r>
      <w:r>
        <w:rPr>
          <w:rFonts w:hint="eastAsia"/>
          <w:color w:val="000000"/>
        </w:rPr>
        <w:t>发挥避暑康养资源优势，鼓励健康养老产品在康养基地、医疗机构、养老机构、社区等场所销售和应用。探索在乌当区打造融合绿色餐饮、适老化商业街区、体育运动、医药食品交易集散中心、康养酒店等一站式服务的康养消费场景。</w:t>
      </w:r>
    </w:p>
    <w:p w14:paraId="2B0EA5A5">
      <w:pPr>
        <w:overflowPunct w:val="0"/>
        <w:spacing w:before="120" w:after="120"/>
        <w:ind w:firstLine="640"/>
        <w:outlineLvl w:val="2"/>
        <w:rPr>
          <w:color w:val="000000"/>
          <w:szCs w:val="32"/>
        </w:rPr>
      </w:pPr>
      <w:bookmarkStart w:id="36" w:name="_Toc229673039"/>
      <w:r>
        <w:rPr>
          <w:rFonts w:hint="eastAsia"/>
          <w:color w:val="000000"/>
          <w:szCs w:val="32"/>
        </w:rPr>
        <w:t>5、打造数字消费地标城市</w:t>
      </w:r>
      <w:bookmarkEnd w:id="36"/>
    </w:p>
    <w:p w14:paraId="5A94F88A">
      <w:pPr>
        <w:pStyle w:val="2"/>
        <w:ind w:firstLine="643"/>
        <w:rPr>
          <w:rFonts w:hint="eastAsia"/>
          <w:color w:val="000000"/>
        </w:rPr>
      </w:pPr>
      <w:r>
        <w:rPr>
          <w:rFonts w:hint="eastAsia"/>
          <w:b/>
          <w:bCs/>
          <w:color w:val="000000"/>
        </w:rPr>
        <w:t>拓展数字消费场景。</w:t>
      </w:r>
      <w:r>
        <w:rPr>
          <w:rFonts w:hint="eastAsia"/>
          <w:color w:val="000000"/>
        </w:rPr>
        <w:t>发挥电子信息和大数据产业优势，加大智能终端、智能可穿戴设备、智能家居、智能网联汽车等数字产品供给。依托“中国数谷”，加大人工智能、超高清、元宇宙等数字技术在商圈、商场、商街等消费场景应用，支持商场、景区、体育场馆等与元宇宙等互联网新技术企业对接，推动VR（虚拟现实）、AR（增强现实）、MR（混合现实）等沉浸式数字消费新场景加快落地。</w:t>
      </w:r>
    </w:p>
    <w:p w14:paraId="123092F7">
      <w:pPr>
        <w:ind w:firstLine="643"/>
        <w:rPr>
          <w:color w:val="000000"/>
        </w:rPr>
      </w:pPr>
      <w:r>
        <w:rPr>
          <w:rFonts w:hint="eastAsia"/>
          <w:b/>
          <w:bCs/>
          <w:color w:val="000000"/>
        </w:rPr>
        <w:t>加快发展直播电商。</w:t>
      </w:r>
      <w:r>
        <w:rPr>
          <w:rFonts w:hint="eastAsia"/>
          <w:color w:val="000000"/>
        </w:rPr>
        <w:t>建设一批集直播场景、品牌培育、主播培训、直播带货、供应链管理等功能于一体的电商直播基地，发展直播电商、社交电商、社区电商、短视频电商等新业态。支持直播基地引进培育MCN机构、数据营销服务商等，提升内容策划、广告营销、技术应用等全产业链服务水平。推动直播与旅游、演艺、赛事、会展、商贸等产业深度融合，打造体现本地特色的直播场景。构建由电子商务协会牵头、院校支撑、企业参与的直播电商多方联动培训机制，培育实操型直播电商专业运营人才。</w:t>
      </w:r>
      <w:r>
        <w:rPr>
          <w:color w:val="000000"/>
        </w:rPr>
        <w:t>实施品质电商培育行动，构建标准体系，培育品质商家和优质品牌。</w:t>
      </w:r>
    </w:p>
    <w:p w14:paraId="35E041BD">
      <w:pPr>
        <w:pStyle w:val="2"/>
        <w:ind w:firstLine="643"/>
        <w:rPr>
          <w:color w:val="000000"/>
        </w:rPr>
      </w:pPr>
      <w:r>
        <w:rPr>
          <w:rFonts w:hint="eastAsia"/>
          <w:b/>
          <w:bCs/>
          <w:color w:val="000000"/>
        </w:rPr>
        <w:t>深化即时零售应用。</w:t>
      </w:r>
      <w:r>
        <w:rPr>
          <w:rFonts w:hint="eastAsia"/>
          <w:color w:val="000000"/>
        </w:rPr>
        <w:t>鼓励发展基于前置仓的前店后仓、便利店前置仓、无人前置仓等多种即时零售业态。支持即时电商平台企业联动社区、商圈等实施精细化运营，建设有效满足居民多样化需求、线上线下融合的一刻钟便民生活圈，构筑数字生活服务生态。支持线上线下共建一体化会员体系，积分通用、优惠共享、服务联动。鼓励即时电商平台和即时配送企业在保障安全的前提下，探索开展无人商业配送。</w:t>
      </w:r>
    </w:p>
    <w:p w14:paraId="4C1B2B38">
      <w:pPr>
        <w:overflowPunct w:val="0"/>
        <w:spacing w:before="120" w:after="120"/>
        <w:ind w:firstLine="640"/>
        <w:outlineLvl w:val="2"/>
        <w:rPr>
          <w:color w:val="000000"/>
          <w:szCs w:val="32"/>
        </w:rPr>
      </w:pPr>
      <w:bookmarkStart w:id="37" w:name="_Toc229673040"/>
      <w:r>
        <w:rPr>
          <w:rFonts w:hint="eastAsia"/>
          <w:color w:val="000000"/>
          <w:szCs w:val="32"/>
        </w:rPr>
        <w:t>6、创新培育多元消费场景</w:t>
      </w:r>
      <w:bookmarkEnd w:id="37"/>
    </w:p>
    <w:p w14:paraId="1F8E14E4">
      <w:pPr>
        <w:pStyle w:val="2"/>
        <w:ind w:firstLine="643"/>
        <w:rPr>
          <w:rFonts w:hint="eastAsia"/>
          <w:color w:val="000000"/>
          <w:szCs w:val="32"/>
        </w:rPr>
      </w:pPr>
      <w:r>
        <w:rPr>
          <w:rFonts w:hint="eastAsia"/>
          <w:b/>
          <w:bCs/>
          <w:color w:val="000000"/>
        </w:rPr>
        <w:t>加快“卖酒”向“卖生活方式”转变。</w:t>
      </w:r>
      <w:r>
        <w:rPr>
          <w:rFonts w:hint="eastAsia"/>
          <w:color w:val="000000"/>
        </w:rPr>
        <w:t>培育美酒街区，鼓励</w:t>
      </w:r>
      <w:r>
        <w:rPr>
          <w:color w:val="000000"/>
          <w:szCs w:val="32"/>
        </w:rPr>
        <w:t>青云路、曹状元街区</w:t>
      </w:r>
      <w:r>
        <w:rPr>
          <w:rFonts w:hint="eastAsia"/>
          <w:color w:val="000000"/>
          <w:szCs w:val="32"/>
        </w:rPr>
        <w:t>、多彩贵州城、未来方舟酒世界等特色街区打造贵州白酒收藏展示、品鉴拍卖、金融服务、文化展示等于一体的展示体验中心。推动酒旅融合，</w:t>
      </w:r>
      <w:r>
        <w:rPr>
          <w:rFonts w:hint="eastAsia"/>
          <w:color w:val="000000"/>
        </w:rPr>
        <w:t>支持景区、旅行社、酒企等，</w:t>
      </w:r>
      <w:r>
        <w:rPr>
          <w:rFonts w:hint="eastAsia"/>
          <w:color w:val="000000"/>
          <w:szCs w:val="32"/>
        </w:rPr>
        <w:t>围绕白酒、精酿啤酒，</w:t>
      </w:r>
      <w:r>
        <w:rPr>
          <w:rFonts w:hint="eastAsia"/>
          <w:color w:val="000000"/>
        </w:rPr>
        <w:t>打造美酒体验精品旅游线路</w:t>
      </w:r>
      <w:r>
        <w:rPr>
          <w:rFonts w:hint="eastAsia"/>
          <w:color w:val="000000"/>
          <w:szCs w:val="32"/>
        </w:rPr>
        <w:t>。</w:t>
      </w:r>
      <w:r>
        <w:rPr>
          <w:rFonts w:hint="eastAsia"/>
          <w:color w:val="000000"/>
        </w:rPr>
        <w:t>强化酒类流通，吸引酒类经销商、代理商入驻西南商贸城酒博城，建设一站式酒类交易与定制中心，形成“生产在产区，流通在省会”的总部经济发展模式。发展酒类直播电商、社交电商、内容电商等，创新“酒馆+社区店+商超专柜+线上即时达”多元模式。畅通出海通道，支持酒企参加布鲁塞尔国际酒类大赛等国际赛事，鼓励企业在ProWein、酒博会、消博会、广交会等国际展会上开展体验营销活动，利用跨境电商平台开拓海外市场。</w:t>
      </w:r>
    </w:p>
    <w:p w14:paraId="071D5260">
      <w:pPr>
        <w:pStyle w:val="2"/>
        <w:ind w:firstLine="643"/>
        <w:rPr>
          <w:color w:val="000000"/>
        </w:rPr>
      </w:pPr>
      <w:r>
        <w:rPr>
          <w:rFonts w:hint="eastAsia"/>
          <w:b/>
          <w:bCs/>
          <w:color w:val="000000"/>
        </w:rPr>
        <w:t>深化“流光溢彩夜贵阳”建设。</w:t>
      </w:r>
      <w:r>
        <w:rPr>
          <w:rFonts w:hint="eastAsia"/>
          <w:color w:val="000000"/>
        </w:rPr>
        <w:t>围绕“夜购、夜食、夜游、夜娱、夜健”等丰富夜间消费场景和模式，完善夜间经济配套设施，持续创建国家级夜间文化和旅游消费集聚区。立足大型商圈和商业街区打造一批夜间消费聚集区，引导大型商业综合体、街区开展延时经营与服务，支持24小时品牌连锁便利店、智慧无人超市等业态发展，支持发展地摊夜市、夜间集市、后备箱集市、帐篷集市、外摆经济，持续开展夜间促消费活动。支持餐饮主体开设夜间食堂、研发夜宵菜品，打造具有民族特色、地域特点的夜间特色美食街区。大力实施景区夜游工程，围绕一河两岸、重点景区景点，打造城市品牌灯光秀。发展演艺经济、票根经济，将路边音乐会作为夜间文化娱乐重要载体。鼓励体育场所延长向社会免费或低收费开放时间，将广场舞大赛、篮球赛、定向赛等体育赛事活动引入夜间经济聚集区。</w:t>
      </w:r>
    </w:p>
    <w:p w14:paraId="7D8AC02B">
      <w:pPr>
        <w:ind w:firstLine="643"/>
        <w:rPr>
          <w:color w:val="000000"/>
        </w:rPr>
      </w:pPr>
      <w:r>
        <w:rPr>
          <w:rFonts w:hint="eastAsia"/>
          <w:b/>
          <w:bCs/>
          <w:color w:val="000000"/>
        </w:rPr>
        <w:t>积极推进试点城市建设和申建。</w:t>
      </w:r>
      <w:r>
        <w:rPr>
          <w:rFonts w:hint="eastAsia"/>
          <w:color w:val="000000"/>
        </w:rPr>
        <w:t>大力推进消费新业态新模式新场景试点，紧扣“健全首发经济体系、创新多元消费场景、推动IP跨界联名”三大方向，充分发挥中央财政资金引导作用，撬动社会资本，共同推进试点工作，总结推广试点工作中的典型做法和创新机制。</w:t>
      </w:r>
      <w:r>
        <w:rPr>
          <w:color w:val="000000"/>
          <w:szCs w:val="32"/>
        </w:rPr>
        <w:t>依托消费新业态新模式新场景试点等平台载体，支持建设若干消费带动作用强的情绪式、体验式服务消费新场景。</w:t>
      </w:r>
      <w:r>
        <w:rPr>
          <w:rFonts w:hint="eastAsia"/>
          <w:color w:val="000000"/>
        </w:rPr>
        <w:t>丰富高品质消费供给，优化涉外支付服务，提升国际化服务水平，积极申建国际化消费环境建设试点城市。</w:t>
      </w:r>
    </w:p>
    <w:p w14:paraId="2D6CB478">
      <w:pPr>
        <w:spacing w:before="260" w:after="260"/>
        <w:ind w:firstLine="640"/>
        <w:outlineLvl w:val="1"/>
        <w:rPr>
          <w:rFonts w:eastAsia="楷体" w:cs="楷体"/>
          <w:color w:val="000000"/>
          <w:szCs w:val="32"/>
        </w:rPr>
      </w:pPr>
      <w:bookmarkStart w:id="38" w:name="_Toc229673041"/>
      <w:r>
        <w:rPr>
          <w:rFonts w:hint="eastAsia" w:eastAsia="楷体" w:cs="楷体"/>
          <w:color w:val="000000"/>
          <w:szCs w:val="32"/>
        </w:rPr>
        <w:t>（三）汇聚优质商贸主体</w:t>
      </w:r>
      <w:bookmarkEnd w:id="38"/>
    </w:p>
    <w:p w14:paraId="1DAE1024">
      <w:pPr>
        <w:overflowPunct w:val="0"/>
        <w:spacing w:before="120" w:after="120"/>
        <w:ind w:firstLine="640"/>
        <w:outlineLvl w:val="2"/>
        <w:rPr>
          <w:color w:val="000000"/>
          <w:szCs w:val="32"/>
        </w:rPr>
      </w:pPr>
      <w:bookmarkStart w:id="39" w:name="_Toc229673042"/>
      <w:r>
        <w:rPr>
          <w:rFonts w:hint="eastAsia"/>
          <w:color w:val="000000"/>
          <w:szCs w:val="32"/>
        </w:rPr>
        <w:t>1、集聚优质品牌首店首发</w:t>
      </w:r>
      <w:bookmarkEnd w:id="39"/>
    </w:p>
    <w:p w14:paraId="28949F48">
      <w:pPr>
        <w:pStyle w:val="2"/>
        <w:ind w:firstLine="643"/>
        <w:rPr>
          <w:color w:val="000000"/>
        </w:rPr>
      </w:pPr>
      <w:r>
        <w:rPr>
          <w:rFonts w:hint="eastAsia"/>
          <w:b/>
          <w:bCs/>
          <w:color w:val="000000"/>
        </w:rPr>
        <w:t>迭代升级首店经济。</w:t>
      </w:r>
      <w:r>
        <w:rPr>
          <w:rFonts w:hint="eastAsia"/>
          <w:color w:val="000000"/>
        </w:rPr>
        <w:t>结合各商圈定位和消费特征，引进区域性首店，引导品牌传统门店升级为区域旗舰首店、创新概念首店等。围绕创意餐饮、文旅体验、“人工智能＋消费”、情绪经济等消费热点，引进和培育具有前沿理念、高技术含量或独特文化价值的服务类品牌首店。立足“六贵”“四精”以及产业链整合优势，加快培育体现黔中文化特质的“黔货”“贵品”新消费品牌，鼓励品牌开设概念店、主题空间或沉浸式门店等首店。构建首发经济产业生态，以首店为支点，撬动研发、生产、销售本土化，利用“全球资源赋能+本土化共创”的模式，链接贵阳优质企业与首店品牌，推动首发经济与农业、制造业深度融合。</w:t>
      </w:r>
    </w:p>
    <w:p w14:paraId="45C1561B">
      <w:pPr>
        <w:pStyle w:val="2"/>
        <w:ind w:firstLine="643"/>
        <w:rPr>
          <w:color w:val="000000"/>
        </w:rPr>
      </w:pPr>
      <w:r>
        <w:rPr>
          <w:rFonts w:hint="eastAsia"/>
          <w:b/>
          <w:bCs/>
          <w:color w:val="000000"/>
        </w:rPr>
        <w:t>鼓励举办首秀首展。</w:t>
      </w:r>
      <w:r>
        <w:rPr>
          <w:rFonts w:hint="eastAsia"/>
          <w:color w:val="000000"/>
        </w:rPr>
        <w:t>依托商业综合体、商业街区、文化产业园等，规划培育一批定位清晰、特色鲜明、带动效应强的首店经济集聚发展区。利用人工智能、虚拟现实等前沿技术，结合贵阳多元民族文化、山川美景，依托数博会、酒博会、车博会等大型展会，开展独具贵阳特色的首秀首展活动。引进为首发经济服务的创意策划、品牌咨询、市场运营、法律财税等国内外知名专业服务机构，推动品牌渠道方、品牌运营商和专业服务机构等共建首秀首展发展生态。加强“贵阳首发”品牌推广，定期开展“贵阳首发”系列活动，推出城市“首发MAP”打卡地图，策划多条主题打卡线路，实现首发资源与城市地标的深度融合。</w:t>
      </w:r>
    </w:p>
    <w:p w14:paraId="444264B4">
      <w:pPr>
        <w:overflowPunct w:val="0"/>
        <w:spacing w:before="120" w:after="120"/>
        <w:ind w:firstLine="640"/>
        <w:outlineLvl w:val="2"/>
        <w:rPr>
          <w:color w:val="000000"/>
          <w:szCs w:val="32"/>
        </w:rPr>
      </w:pPr>
      <w:bookmarkStart w:id="40" w:name="_Toc229673043"/>
      <w:r>
        <w:rPr>
          <w:rFonts w:hint="eastAsia"/>
          <w:color w:val="000000"/>
          <w:szCs w:val="32"/>
        </w:rPr>
        <w:t>2、推动老字号品牌传承创新</w:t>
      </w:r>
      <w:bookmarkEnd w:id="40"/>
    </w:p>
    <w:p w14:paraId="29413FE6">
      <w:pPr>
        <w:ind w:firstLine="643"/>
        <w:rPr>
          <w:b/>
          <w:bCs/>
          <w:color w:val="000000"/>
        </w:rPr>
      </w:pPr>
      <w:r>
        <w:rPr>
          <w:rFonts w:hint="eastAsia"/>
          <w:b/>
          <w:bCs/>
          <w:color w:val="000000"/>
        </w:rPr>
        <w:t>加强老字号传承保护。</w:t>
      </w:r>
      <w:r>
        <w:rPr>
          <w:rFonts w:hint="eastAsia"/>
          <w:color w:val="000000"/>
          <w:szCs w:val="32"/>
        </w:rPr>
        <w:t>强化老字号名录管理，定期开展中华老字号、贵州老字号认定工作。推动传承人才队伍建设，鼓励老字号企业探索现代学徒制、产学研结合等人才培养模式，支持老字号企业与高校共建技术技能大师工作室、产业学院、实习基地、员工培训基地。完善老字号品牌保护机制，引导老字号企业运用驰名商标认定和保护等法律手段加强知识产权保护，开展打击制售侵权假冒老字号专项执法行动。</w:t>
      </w:r>
    </w:p>
    <w:p w14:paraId="67884E3D">
      <w:pPr>
        <w:pStyle w:val="2"/>
        <w:ind w:firstLine="643"/>
        <w:rPr>
          <w:color w:val="000000"/>
        </w:rPr>
      </w:pPr>
      <w:r>
        <w:rPr>
          <w:rFonts w:hint="eastAsia"/>
          <w:b/>
          <w:bCs/>
          <w:color w:val="000000"/>
        </w:rPr>
        <w:t>鼓励老字号创新发展。</w:t>
      </w:r>
      <w:r>
        <w:rPr>
          <w:rFonts w:hint="eastAsia"/>
          <w:color w:val="000000"/>
        </w:rPr>
        <w:t>加强老字号产品服务创新，鼓励老字号与历史资源、文化IP和新消费品牌等跨界联动，通过合作、授权等方式，开发更多蕴含传统文化和时尚元素、满足当代需求的产品和服务，培育国潮新品。举办老字号品牌产品创意大赛，推动老字号跨界、出圈。支持老字号企业利用元宇宙、数字藏品等新技术，打造沉浸式体验，还原历史场景，开展策展型零售，丰富互动体验。加强老字号宣传推广，将老字号企业开发的文创产品、旅游产品优先列入“贵阳礼物”等文旅产品重点推广范围。在重点商圈、商街集中打造老字号集聚区。</w:t>
      </w:r>
    </w:p>
    <w:p w14:paraId="032EE1B7">
      <w:pPr>
        <w:overflowPunct w:val="0"/>
        <w:spacing w:before="120" w:after="120"/>
        <w:ind w:firstLine="640"/>
        <w:outlineLvl w:val="2"/>
        <w:rPr>
          <w:color w:val="000000"/>
          <w:szCs w:val="32"/>
        </w:rPr>
      </w:pPr>
      <w:bookmarkStart w:id="41" w:name="_Toc229673044"/>
      <w:r>
        <w:rPr>
          <w:rFonts w:hint="eastAsia"/>
          <w:color w:val="000000"/>
          <w:szCs w:val="32"/>
        </w:rPr>
        <w:t>3、促进商贸企业发展壮大</w:t>
      </w:r>
      <w:bookmarkEnd w:id="41"/>
    </w:p>
    <w:p w14:paraId="68E55AA3">
      <w:pPr>
        <w:ind w:firstLine="643"/>
        <w:rPr>
          <w:color w:val="000000"/>
          <w:szCs w:val="32"/>
        </w:rPr>
      </w:pPr>
      <w:r>
        <w:rPr>
          <w:rFonts w:hint="eastAsia"/>
          <w:b/>
          <w:bCs/>
          <w:color w:val="000000"/>
          <w:szCs w:val="32"/>
        </w:rPr>
        <w:t>大力培育限上企业。</w:t>
      </w:r>
      <w:r>
        <w:rPr>
          <w:rFonts w:hint="eastAsia"/>
          <w:color w:val="000000"/>
          <w:szCs w:val="32"/>
        </w:rPr>
        <w:t>建立商贸业“达限纳统”企业培育库和常态化联系服务机制，实施动态管理，进行靶向培育，助力企业上规入库。用好国家、省、市消费品以旧换新政策，与企业开展消费券项目合作。主动了解企业融资需求，协调金融机构针对性开展银企对接活动。</w:t>
      </w:r>
    </w:p>
    <w:p w14:paraId="16188D35">
      <w:pPr>
        <w:pStyle w:val="11"/>
        <w:spacing w:line="560" w:lineRule="exact"/>
        <w:ind w:firstLine="643" w:firstLineChars="200"/>
        <w:rPr>
          <w:rFonts w:ascii="仿宋_GB2312" w:eastAsia="仿宋_GB2312"/>
          <w:color w:val="000000"/>
          <w:sz w:val="32"/>
          <w:szCs w:val="32"/>
        </w:rPr>
      </w:pPr>
      <w:r>
        <w:rPr>
          <w:rFonts w:hint="eastAsia" w:eastAsia="仿宋_GB2312"/>
          <w:b/>
          <w:bCs/>
          <w:color w:val="000000"/>
          <w:sz w:val="32"/>
          <w:szCs w:val="32"/>
        </w:rPr>
        <w:t>强化商贸企业引育。</w:t>
      </w:r>
      <w:r>
        <w:rPr>
          <w:rFonts w:hint="eastAsia" w:eastAsia="仿宋_GB2312"/>
          <w:color w:val="000000"/>
          <w:sz w:val="32"/>
          <w:szCs w:val="32"/>
        </w:rPr>
        <w:t>鼓励制造业企业主导型批发业发展，</w:t>
      </w:r>
      <w:r>
        <w:rPr>
          <w:rFonts w:hint="eastAsia" w:ascii="仿宋_GB2312" w:eastAsia="仿宋_GB2312"/>
          <w:color w:val="000000"/>
          <w:sz w:val="32"/>
          <w:szCs w:val="32"/>
        </w:rPr>
        <w:t>促进工业与商贸深度融合</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推动生产资料供应链</w:t>
      </w:r>
      <w:r>
        <w:rPr>
          <w:rFonts w:hint="eastAsia" w:eastAsia="仿宋_GB2312"/>
          <w:color w:val="000000"/>
          <w:sz w:val="32"/>
          <w:szCs w:val="32"/>
        </w:rPr>
        <w:t>、专卖店零售、网络营</w:t>
      </w:r>
      <w:r>
        <w:rPr>
          <w:rFonts w:hint="eastAsia" w:ascii="仿宋_GB2312" w:eastAsia="仿宋_GB2312"/>
          <w:color w:val="000000"/>
          <w:sz w:val="32"/>
          <w:szCs w:val="32"/>
        </w:rPr>
        <w:t>销等</w:t>
      </w:r>
      <w:r>
        <w:rPr>
          <w:rFonts w:hint="eastAsia" w:ascii="仿宋_GB2312" w:eastAsia="仿宋_GB2312"/>
          <w:color w:val="000000"/>
          <w:sz w:val="32"/>
          <w:szCs w:val="32"/>
          <w:lang w:val="en-US" w:eastAsia="zh-CN"/>
        </w:rPr>
        <w:t>工业品批发业态</w:t>
      </w:r>
      <w:r>
        <w:rPr>
          <w:rFonts w:hint="eastAsia" w:eastAsia="仿宋_GB2312"/>
          <w:color w:val="000000"/>
          <w:sz w:val="32"/>
          <w:szCs w:val="32"/>
        </w:rPr>
        <w:t>发展</w:t>
      </w:r>
      <w:r>
        <w:rPr>
          <w:rFonts w:hint="eastAsia" w:ascii="仿宋_GB2312" w:eastAsia="仿宋_GB2312"/>
          <w:color w:val="000000"/>
          <w:sz w:val="32"/>
          <w:szCs w:val="32"/>
        </w:rPr>
        <w:t>。鼓励有条件的商贸企业通过参股、控股、兼并、收购、托管等方式，扩大经营规模。</w:t>
      </w:r>
      <w:r>
        <w:rPr>
          <w:rFonts w:ascii="仿宋_GB2312" w:eastAsia="仿宋_GB2312"/>
          <w:color w:val="000000"/>
          <w:sz w:val="32"/>
          <w:szCs w:val="32"/>
        </w:rPr>
        <w:t>培育商贸流通及重点产业供应链领军企业，</w:t>
      </w:r>
      <w:r>
        <w:rPr>
          <w:rFonts w:hint="eastAsia" w:ascii="仿宋_GB2312" w:eastAsia="仿宋_GB2312"/>
          <w:color w:val="000000"/>
          <w:sz w:val="32"/>
          <w:szCs w:val="32"/>
        </w:rPr>
        <w:t>鼓励企业开发建设数字供应链平台，健全完善数智供应链体系，</w:t>
      </w:r>
      <w:r>
        <w:rPr>
          <w:rFonts w:ascii="仿宋_GB2312" w:eastAsia="仿宋_GB2312"/>
          <w:color w:val="000000"/>
          <w:sz w:val="32"/>
          <w:szCs w:val="32"/>
        </w:rPr>
        <w:t>通过包采包销、产能托管、运输配送等向上下游延伸服务</w:t>
      </w:r>
      <w:r>
        <w:rPr>
          <w:rFonts w:hint="eastAsia" w:ascii="仿宋_GB2312" w:eastAsia="仿宋_GB2312"/>
          <w:color w:val="000000"/>
          <w:sz w:val="32"/>
          <w:szCs w:val="32"/>
        </w:rPr>
        <w:t>，增强资源整合能力。鼓励商贸企业通过创树品牌、创新业态、连锁经营等方式拓市场、扩规模。制定完善“一图三清单”和细分产业招商图谱，重点引进一批国内外知名的零售、餐饮品牌，积极招引大型贸易企业、进出口企业在筑设立销售中心、供应链管理、物流集散等功能型总部，做优做精平台型、供应链龙头企业。</w:t>
      </w:r>
    </w:p>
    <w:p w14:paraId="449B224D">
      <w:pPr>
        <w:spacing w:before="260" w:after="260"/>
        <w:ind w:firstLine="640"/>
        <w:outlineLvl w:val="1"/>
        <w:rPr>
          <w:rFonts w:eastAsia="楷体" w:cs="楷体"/>
          <w:color w:val="000000"/>
          <w:szCs w:val="32"/>
        </w:rPr>
      </w:pPr>
      <w:bookmarkStart w:id="42" w:name="_Toc229673045"/>
      <w:r>
        <w:rPr>
          <w:rFonts w:hint="eastAsia" w:eastAsia="楷体" w:cs="楷体"/>
          <w:color w:val="000000"/>
          <w:szCs w:val="32"/>
        </w:rPr>
        <w:t>（四）完善现代流通体系</w:t>
      </w:r>
      <w:bookmarkEnd w:id="42"/>
    </w:p>
    <w:p w14:paraId="28D2FE6F">
      <w:pPr>
        <w:overflowPunct w:val="0"/>
        <w:spacing w:before="120" w:after="120"/>
        <w:ind w:firstLine="640"/>
        <w:outlineLvl w:val="2"/>
        <w:rPr>
          <w:color w:val="000000"/>
          <w:szCs w:val="32"/>
        </w:rPr>
      </w:pPr>
      <w:bookmarkStart w:id="43" w:name="_Toc229673046"/>
      <w:r>
        <w:rPr>
          <w:rFonts w:hint="eastAsia"/>
          <w:color w:val="000000"/>
          <w:szCs w:val="32"/>
        </w:rPr>
        <w:t>1、推动商品市场转型升级</w:t>
      </w:r>
      <w:bookmarkEnd w:id="43"/>
    </w:p>
    <w:p w14:paraId="11AF298C">
      <w:pPr>
        <w:pStyle w:val="2"/>
        <w:ind w:firstLine="643"/>
        <w:rPr>
          <w:color w:val="000000"/>
          <w:szCs w:val="32"/>
        </w:rPr>
      </w:pPr>
      <w:r>
        <w:rPr>
          <w:rFonts w:hint="eastAsia"/>
          <w:b/>
          <w:bCs/>
          <w:color w:val="000000"/>
          <w:szCs w:val="32"/>
        </w:rPr>
        <w:t>优化市场布局。</w:t>
      </w:r>
      <w:r>
        <w:rPr>
          <w:rFonts w:hint="eastAsia"/>
          <w:color w:val="000000"/>
          <w:szCs w:val="32"/>
        </w:rPr>
        <w:t>加强与《贵阳市国土空间总体规划（2021-2035年）》衔接，强化全市专业市场规划建设和优化升级引导，打造形成“两翼引领、五群腾飞、多点共融”空间格局，鼓励老城区、数博大道沿线专业市场向外搬迁，原则上数博大道城市中轴两侧区域、中环内不再新增专业市场。</w:t>
      </w:r>
      <w:r>
        <w:rPr>
          <w:color w:val="000000"/>
          <w:szCs w:val="32"/>
        </w:rPr>
        <w:t>培育一批商品经营特色突出、产业链供应链服务功能强大、线上线下融合发展的商品市场，</w:t>
      </w:r>
      <w:r>
        <w:rPr>
          <w:rFonts w:hint="eastAsia"/>
          <w:color w:val="000000"/>
          <w:szCs w:val="32"/>
        </w:rPr>
        <w:t>推动</w:t>
      </w:r>
      <w:r>
        <w:rPr>
          <w:color w:val="000000"/>
          <w:szCs w:val="32"/>
        </w:rPr>
        <w:t>产销衔接机制更加稳定</w:t>
      </w:r>
      <w:r>
        <w:rPr>
          <w:rFonts w:hint="eastAsia"/>
          <w:color w:val="000000"/>
          <w:szCs w:val="32"/>
        </w:rPr>
        <w:t>、</w:t>
      </w:r>
      <w:r>
        <w:rPr>
          <w:color w:val="000000"/>
          <w:szCs w:val="32"/>
        </w:rPr>
        <w:t>产业辐射带动作用更加显著</w:t>
      </w:r>
      <w:r>
        <w:rPr>
          <w:rFonts w:hint="eastAsia"/>
          <w:color w:val="000000"/>
          <w:szCs w:val="32"/>
        </w:rPr>
        <w:t>、</w:t>
      </w:r>
      <w:r>
        <w:rPr>
          <w:color w:val="000000"/>
          <w:szCs w:val="32"/>
        </w:rPr>
        <w:t>商品流通效率有效提升</w:t>
      </w:r>
      <w:r>
        <w:rPr>
          <w:rFonts w:hint="eastAsia"/>
          <w:color w:val="000000"/>
          <w:szCs w:val="32"/>
        </w:rPr>
        <w:t>， “十五五”期间，全市商品市场交易额突破1500亿。</w:t>
      </w:r>
    </w:p>
    <w:p w14:paraId="2273FBC6">
      <w:pPr>
        <w:pStyle w:val="2"/>
        <w:ind w:firstLine="643"/>
        <w:rPr>
          <w:rFonts w:hint="eastAsia"/>
          <w:color w:val="000000"/>
          <w:szCs w:val="32"/>
        </w:rPr>
      </w:pPr>
      <w:r>
        <w:rPr>
          <w:rFonts w:hint="eastAsia"/>
          <w:b/>
          <w:bCs/>
          <w:color w:val="000000"/>
          <w:szCs w:val="32"/>
        </w:rPr>
        <w:t>优化市场环境。</w:t>
      </w:r>
      <w:r>
        <w:rPr>
          <w:rFonts w:hint="eastAsia"/>
          <w:color w:val="000000"/>
          <w:szCs w:val="32"/>
        </w:rPr>
        <w:t>引导升级市场基础设施，完善仓储、分拣、加工、配送、冷链等物流设施设备。</w:t>
      </w:r>
      <w:r>
        <w:rPr>
          <w:color w:val="000000"/>
          <w:szCs w:val="32"/>
        </w:rPr>
        <w:t>鼓励商品市场完善信用记录、分级、激励约束等管理制度，探索构建以信用为基础的市场监管长效机制。健全应急保障响应机制，增强市场调节能力，有效发挥保供骨干企业队伍作用。鼓励农产品市场与生产基地、零售企业对接，发展订单农业，推进农商互联。引导商品市场整合生产、销售、金融、物流等资源和需求，通过自建或共建等方式，打造供应链综合服务平台</w:t>
      </w:r>
      <w:r>
        <w:rPr>
          <w:rFonts w:hint="eastAsia"/>
          <w:color w:val="000000"/>
          <w:szCs w:val="32"/>
        </w:rPr>
        <w:t>。</w:t>
      </w:r>
    </w:p>
    <w:p w14:paraId="2BF70BCD">
      <w:pPr>
        <w:ind w:firstLine="643"/>
        <w:rPr>
          <w:rFonts w:hint="eastAsia"/>
          <w:color w:val="000000"/>
        </w:rPr>
      </w:pPr>
      <w:r>
        <w:rPr>
          <w:rFonts w:hint="eastAsia"/>
          <w:b/>
          <w:bCs/>
          <w:color w:val="000000"/>
        </w:rPr>
        <w:t>促进创新融合。</w:t>
      </w:r>
      <w:r>
        <w:rPr>
          <w:rFonts w:hint="eastAsia"/>
          <w:color w:val="000000"/>
        </w:rPr>
        <w:t>引导商品市场朝着“线上线下互动、商文旅融合、展贸批零一体、内外贸一体”方向发展。</w:t>
      </w:r>
      <w:r>
        <w:rPr>
          <w:color w:val="000000"/>
        </w:rPr>
        <w:t>鼓励</w:t>
      </w:r>
      <w:r>
        <w:rPr>
          <w:rFonts w:hint="eastAsia"/>
          <w:color w:val="000000"/>
        </w:rPr>
        <w:t>商品</w:t>
      </w:r>
      <w:r>
        <w:rPr>
          <w:color w:val="000000"/>
        </w:rPr>
        <w:t>市场创新营销方式，设立消费体验馆、新品发布中心、创意设计坊、电商直播基地等，推动跨界融合发展。</w:t>
      </w:r>
      <w:r>
        <w:rPr>
          <w:rFonts w:hint="eastAsia"/>
          <w:color w:val="000000"/>
        </w:rPr>
        <w:t>鼓励商品市场丰富业态，加强与文旅休闲、购物消费、创意体验等融合发展。支持商品市场建设现代展贸中心及“买全球卖全省、买全省卖全球”的现代采购中心，实现“展贸合一”。鼓励商品市场</w:t>
      </w:r>
      <w:r>
        <w:rPr>
          <w:color w:val="000000"/>
          <w:szCs w:val="32"/>
        </w:rPr>
        <w:t>完善交易结算、检验检测</w:t>
      </w:r>
      <w:r>
        <w:rPr>
          <w:rFonts w:hint="eastAsia"/>
          <w:color w:val="000000"/>
          <w:szCs w:val="32"/>
        </w:rPr>
        <w:t>、</w:t>
      </w:r>
      <w:r>
        <w:rPr>
          <w:color w:val="000000"/>
          <w:szCs w:val="32"/>
        </w:rPr>
        <w:t>培训交流、信息数据等专业服务，拓展信贷保险、信用担保、仓单质押、融资租赁等金融服务。</w:t>
      </w:r>
      <w:r>
        <w:rPr>
          <w:color w:val="000000"/>
        </w:rPr>
        <w:t>推动内外贸融合发展，</w:t>
      </w:r>
      <w:r>
        <w:rPr>
          <w:rFonts w:hint="eastAsia"/>
          <w:color w:val="000000"/>
        </w:rPr>
        <w:t>支持西南商贸城联合贵阳综保区申报国家市场采购贸易方式试点。</w:t>
      </w:r>
    </w:p>
    <w:p w14:paraId="70966079">
      <w:pPr>
        <w:overflowPunct w:val="0"/>
        <w:spacing w:before="120" w:after="120"/>
        <w:ind w:firstLine="640"/>
        <w:outlineLvl w:val="2"/>
        <w:rPr>
          <w:color w:val="000000"/>
          <w:szCs w:val="32"/>
        </w:rPr>
      </w:pPr>
      <w:bookmarkStart w:id="44" w:name="_Toc229673047"/>
      <w:r>
        <w:rPr>
          <w:rFonts w:hint="eastAsia"/>
          <w:color w:val="000000"/>
          <w:szCs w:val="32"/>
        </w:rPr>
        <w:t>2、畅通农产品流通渠道</w:t>
      </w:r>
      <w:bookmarkEnd w:id="44"/>
    </w:p>
    <w:p w14:paraId="224BE6E9">
      <w:pPr>
        <w:pStyle w:val="2"/>
        <w:ind w:firstLine="643"/>
        <w:rPr>
          <w:color w:val="000000"/>
        </w:rPr>
      </w:pPr>
      <w:r>
        <w:rPr>
          <w:rFonts w:hint="eastAsia"/>
          <w:b/>
          <w:bCs/>
          <w:color w:val="000000"/>
        </w:rPr>
        <w:t>推动农批市场创新提升。</w:t>
      </w:r>
      <w:r>
        <w:rPr>
          <w:rFonts w:hint="eastAsia"/>
          <w:color w:val="000000"/>
        </w:rPr>
        <w:t>持续完善全市“一级批发市场+农贸市场/生鲜超市+社区菜店”三级农产品流通体系建设。强化双核保障、双向供给、多点支撑的农批市场格局，引导贵阳农产品物流园、贵阳地利农产品物流园等</w:t>
      </w:r>
      <w:r>
        <w:rPr>
          <w:color w:val="000000"/>
        </w:rPr>
        <w:t>一级批发市场</w:t>
      </w:r>
      <w:r>
        <w:rPr>
          <w:rFonts w:hint="eastAsia"/>
          <w:color w:val="000000"/>
        </w:rPr>
        <w:t>提升综合服务能力，完善市场基础设施，规范市场运营管理，加强产销精准对接。推动贵阳地利农产品物流园改扩建，加快贵阳农产品物流园数字化供应链平台建设。</w:t>
      </w:r>
    </w:p>
    <w:p w14:paraId="09820F58">
      <w:pPr>
        <w:pStyle w:val="2"/>
        <w:ind w:firstLine="643"/>
        <w:rPr>
          <w:color w:val="000000"/>
        </w:rPr>
      </w:pPr>
      <w:r>
        <w:rPr>
          <w:rFonts w:hint="eastAsia"/>
          <w:b/>
          <w:bCs/>
          <w:color w:val="000000"/>
        </w:rPr>
        <w:t>创新农超市场建管运模式。</w:t>
      </w:r>
      <w:r>
        <w:rPr>
          <w:rFonts w:hint="eastAsia"/>
          <w:color w:val="000000"/>
        </w:rPr>
        <w:t>完善农贸市场基础设施，推动农贸市场品牌化、连锁化、数字化发展，引导农贸市场多业态发展，增加社区食堂、餐饮、休闲、娱乐、家政等社区便民业态，推进农贸市场向社区邻里中心转型升级。鼓励大型综合超市优化和拓展农产品供应，</w:t>
      </w:r>
      <w:bookmarkStart w:id="45" w:name="_Hlk217659943"/>
      <w:r>
        <w:rPr>
          <w:rFonts w:hint="eastAsia"/>
          <w:color w:val="000000"/>
        </w:rPr>
        <w:t>重构社区惠民生鲜</w:t>
      </w:r>
      <w:bookmarkEnd w:id="45"/>
      <w:r>
        <w:rPr>
          <w:rFonts w:hint="eastAsia"/>
          <w:color w:val="000000"/>
        </w:rPr>
        <w:t>零售体系，突出“双联双惠”特色，通过“产购储运销”联动，市场化方式搭建新型生鲜流通体系。优化、补充社区菜店及微菜场布局，</w:t>
      </w:r>
      <w:r>
        <w:rPr>
          <w:color w:val="000000"/>
        </w:rPr>
        <w:t>引入优质品牌，实现社区</w:t>
      </w:r>
      <w:r>
        <w:rPr>
          <w:rFonts w:hint="eastAsia"/>
          <w:color w:val="000000"/>
        </w:rPr>
        <w:t>菜店</w:t>
      </w:r>
      <w:r>
        <w:rPr>
          <w:rFonts w:hint="eastAsia"/>
          <w:color w:val="000000"/>
          <w:lang w:val="en-US" w:eastAsia="zh-CN"/>
        </w:rPr>
        <w:t>连锁化</w:t>
      </w:r>
      <w:r>
        <w:rPr>
          <w:rFonts w:hint="eastAsia"/>
          <w:color w:val="000000"/>
        </w:rPr>
        <w:t>经</w:t>
      </w:r>
      <w:r>
        <w:rPr>
          <w:color w:val="000000"/>
        </w:rPr>
        <w:t>营。</w:t>
      </w:r>
    </w:p>
    <w:p w14:paraId="1970E79E">
      <w:pPr>
        <w:pStyle w:val="2"/>
        <w:ind w:firstLine="643"/>
        <w:rPr>
          <w:color w:val="000000"/>
        </w:rPr>
      </w:pPr>
      <w:r>
        <w:rPr>
          <w:rFonts w:hint="eastAsia"/>
          <w:b/>
          <w:bCs/>
          <w:color w:val="000000"/>
        </w:rPr>
        <w:t>推动农村电商加快发展。</w:t>
      </w:r>
      <w:r>
        <w:rPr>
          <w:rFonts w:hint="eastAsia" w:ascii="仿宋_GB2312"/>
          <w:color w:val="000000"/>
        </w:rPr>
        <w:t>实施农村电商高质量发展工程，</w:t>
      </w:r>
      <w:r>
        <w:rPr>
          <w:rFonts w:hint="eastAsia"/>
          <w:color w:val="000000"/>
        </w:rPr>
        <w:t>建设县域电商基地，引进电商主体、专业服务机构等入驻，</w:t>
      </w:r>
      <w:r>
        <w:rPr>
          <w:rFonts w:hint="eastAsia" w:ascii="仿宋_GB2312"/>
          <w:color w:val="000000"/>
        </w:rPr>
        <w:t>拓展农村电商应用场景，推广电商直采、定制生产等模式，提高农村电商产业化发展水平。深入实施“数商兴农”，结合</w:t>
      </w:r>
      <w:r>
        <w:rPr>
          <w:rFonts w:hint="eastAsia"/>
          <w:color w:val="000000"/>
        </w:rPr>
        <w:t>修文猕猴桃、开阳富硒产品等</w:t>
      </w:r>
      <w:r>
        <w:rPr>
          <w:rFonts w:hint="eastAsia" w:ascii="仿宋_GB2312"/>
          <w:color w:val="000000"/>
        </w:rPr>
        <w:t>特色农产品集中上市节点，推动平台及直播达人开展产销对接与技能培训，打造乡村土特产品牌。推进“互联网＋”农产品出村进城工程，支持电商企业下沉供应链，发展“村播”“田播”等特色直播。</w:t>
      </w:r>
      <w:r>
        <w:rPr>
          <w:rFonts w:hint="eastAsia"/>
          <w:color w:val="000000"/>
        </w:rPr>
        <w:t>引入外部师资支持，开展直播带头人技能培训，举办多种形式的农村直播电商大赛，提升直播带货技能。</w:t>
      </w:r>
    </w:p>
    <w:p w14:paraId="2AB3370B">
      <w:pPr>
        <w:overflowPunct w:val="0"/>
        <w:spacing w:before="120" w:after="120"/>
        <w:ind w:firstLine="640"/>
        <w:outlineLvl w:val="2"/>
        <w:rPr>
          <w:color w:val="000000"/>
          <w:szCs w:val="32"/>
        </w:rPr>
      </w:pPr>
      <w:bookmarkStart w:id="46" w:name="_Toc229673048"/>
      <w:r>
        <w:rPr>
          <w:rFonts w:hint="eastAsia"/>
          <w:color w:val="000000"/>
          <w:szCs w:val="32"/>
        </w:rPr>
        <w:t>3、促进汽车流通消费扩围</w:t>
      </w:r>
      <w:bookmarkEnd w:id="46"/>
    </w:p>
    <w:p w14:paraId="77D9BEB5">
      <w:pPr>
        <w:pStyle w:val="2"/>
        <w:ind w:firstLine="643"/>
        <w:rPr>
          <w:rFonts w:hint="eastAsia"/>
          <w:b/>
          <w:bCs/>
          <w:color w:val="000000"/>
        </w:rPr>
      </w:pPr>
      <w:r>
        <w:rPr>
          <w:rFonts w:hint="eastAsia"/>
          <w:b/>
          <w:bCs/>
          <w:color w:val="000000"/>
        </w:rPr>
        <w:t>完善新车流通体系。</w:t>
      </w:r>
      <w:r>
        <w:rPr>
          <w:rFonts w:hint="eastAsia"/>
          <w:color w:val="000000"/>
        </w:rPr>
        <w:t>进一步完善汽车专业市场基础设施，不断巩固和提升汽车交付、物流、仓储等综合服务功能。</w:t>
      </w:r>
      <w:r>
        <w:rPr>
          <w:rFonts w:hint="eastAsia"/>
          <w:color w:val="000000"/>
          <w:szCs w:val="32"/>
        </w:rPr>
        <w:t>加快云岩区新型汽车工贸产业园、修文县汽车服务中心等项目建设，</w:t>
      </w:r>
      <w:r>
        <w:rPr>
          <w:rFonts w:hint="eastAsia"/>
          <w:color w:val="000000"/>
        </w:rPr>
        <w:t>鼓励各地发展汽车零售体系。鼓励各大汽车品牌在重点商圈、商街</w:t>
      </w:r>
      <w:r>
        <w:rPr>
          <w:color w:val="000000"/>
        </w:rPr>
        <w:t>发展汽车展示、销售、</w:t>
      </w:r>
      <w:r>
        <w:rPr>
          <w:rFonts w:hint="eastAsia"/>
          <w:color w:val="000000"/>
        </w:rPr>
        <w:t>体验、服务</w:t>
      </w:r>
      <w:r>
        <w:rPr>
          <w:color w:val="000000"/>
        </w:rPr>
        <w:t>等</w:t>
      </w:r>
      <w:r>
        <w:rPr>
          <w:rFonts w:hint="eastAsia"/>
          <w:color w:val="000000"/>
        </w:rPr>
        <w:t>为一体的汽车展厅。提升汽车流通消费数字化水平，</w:t>
      </w:r>
      <w:r>
        <w:rPr>
          <w:rFonts w:hint="eastAsia"/>
          <w:color w:val="000000"/>
          <w:szCs w:val="32"/>
        </w:rPr>
        <w:t>积极申建全国</w:t>
      </w:r>
      <w:r>
        <w:rPr>
          <w:rFonts w:hint="eastAsia"/>
          <w:color w:val="000000"/>
        </w:rPr>
        <w:t>汽车流通消费改革试点</w:t>
      </w:r>
      <w:r>
        <w:rPr>
          <w:rFonts w:hint="eastAsia"/>
          <w:color w:val="000000"/>
          <w:szCs w:val="32"/>
        </w:rPr>
        <w:t>。</w:t>
      </w:r>
    </w:p>
    <w:p w14:paraId="7AEA1AF4">
      <w:pPr>
        <w:pStyle w:val="2"/>
        <w:ind w:firstLine="643"/>
        <w:rPr>
          <w:rFonts w:hint="eastAsia"/>
          <w:b/>
          <w:bCs/>
          <w:color w:val="000000"/>
        </w:rPr>
      </w:pPr>
      <w:r>
        <w:rPr>
          <w:rFonts w:hint="eastAsia"/>
          <w:b/>
          <w:bCs/>
          <w:color w:val="000000"/>
        </w:rPr>
        <w:t>促进二手车高效流通。</w:t>
      </w:r>
      <w:r>
        <w:rPr>
          <w:rFonts w:hint="eastAsia"/>
          <w:color w:val="000000"/>
        </w:rPr>
        <w:t>持续完善二手车流通管理制度，加快二手车信息平台建设和运营，探索推动二手车交易流通数字化发展。鼓励汽车流通企业开展厂家认证、二手车整备等业务，扩大二手车车源，提升二手车质量。加快二手车经纪转经销，鼓励二手车经销企业加强主体培育和品牌建设，主动提供车辆质保服务。鼓励开展二手车经销企业分级分类管理，推动二手车经销企业做大做强。提升二手车流通服务能力，探索新能源二手车检测和估值技术，打造权威二手车检测机构，提升二手车检测结果公信力。</w:t>
      </w:r>
    </w:p>
    <w:p w14:paraId="2BB8A648">
      <w:pPr>
        <w:pStyle w:val="2"/>
        <w:ind w:firstLine="643"/>
        <w:rPr>
          <w:color w:val="000000"/>
        </w:rPr>
      </w:pPr>
      <w:r>
        <w:rPr>
          <w:rFonts w:hint="eastAsia"/>
          <w:b/>
          <w:bCs/>
          <w:color w:val="000000"/>
        </w:rPr>
        <w:t>完善报废汽车回收利用体系。</w:t>
      </w:r>
      <w:r>
        <w:rPr>
          <w:rFonts w:hint="eastAsia"/>
          <w:color w:val="000000"/>
        </w:rPr>
        <w:t>鼓励报废汽车回收拆解项目建设，引导发展“互联网+回收”模式，提升汽车回收数字化水平。鼓励企业积极引进国际先进、国内一流的报废汽车拆解设备，提升精细化、绿色化拆解能力和资源利用水平。鼓励构建报废机动车回用件多样化推广渠道，推动形成“车辆精细化拆解+回用件高效流通”发展模式。</w:t>
      </w:r>
    </w:p>
    <w:p w14:paraId="18A6241B">
      <w:pPr>
        <w:pStyle w:val="2"/>
        <w:ind w:firstLine="643"/>
        <w:rPr>
          <w:color w:val="000000"/>
        </w:rPr>
      </w:pPr>
      <w:r>
        <w:rPr>
          <w:rFonts w:hint="eastAsia"/>
          <w:b/>
          <w:bCs/>
          <w:color w:val="000000"/>
        </w:rPr>
        <w:t>打造汽车消费新场景。</w:t>
      </w:r>
      <w:r>
        <w:rPr>
          <w:rFonts w:hint="eastAsia"/>
          <w:color w:val="000000"/>
        </w:rPr>
        <w:t>推动汽车改装、汽车租赁、汽车赛事、房车露营、传统经典车等规范有序发展，打造汽车与旅游、文化、体育等跨界融合消费创新项目，促进汽车由交通工具向生活空间转变。支持有条件的地方和企业，聚焦汽车历史、汽车技术、汽车赛事、汽车品牌等主题建设运营汽车主题公园、汽车博物馆等，举办相关赛事及活动，布局完善汽车相关多元业态和设施，满足居民汽车休闲娱乐需求。</w:t>
      </w:r>
    </w:p>
    <w:p w14:paraId="0465154A">
      <w:pPr>
        <w:overflowPunct w:val="0"/>
        <w:spacing w:before="120" w:after="120"/>
        <w:ind w:firstLine="640"/>
        <w:outlineLvl w:val="2"/>
        <w:rPr>
          <w:color w:val="000000"/>
          <w:szCs w:val="32"/>
        </w:rPr>
      </w:pPr>
      <w:bookmarkStart w:id="47" w:name="_Toc229673049"/>
      <w:r>
        <w:rPr>
          <w:rFonts w:hint="eastAsia"/>
          <w:color w:val="000000"/>
          <w:szCs w:val="32"/>
        </w:rPr>
        <w:t>4、加快发展现代商贸物流</w:t>
      </w:r>
      <w:bookmarkEnd w:id="47"/>
    </w:p>
    <w:p w14:paraId="273A1DD0">
      <w:pPr>
        <w:ind w:firstLine="643"/>
        <w:rPr>
          <w:rFonts w:cs="仿宋_GB2312"/>
          <w:color w:val="000000"/>
          <w:sz w:val="31"/>
          <w:szCs w:val="31"/>
          <w:shd w:val="clear" w:color="auto" w:fill="FFFFFF"/>
        </w:rPr>
      </w:pPr>
      <w:r>
        <w:rPr>
          <w:rFonts w:hint="eastAsia"/>
          <w:b/>
          <w:bCs/>
          <w:color w:val="000000"/>
        </w:rPr>
        <w:t>优化商贸物流网络布局。</w:t>
      </w:r>
      <w:r>
        <w:rPr>
          <w:rFonts w:hint="eastAsia" w:cs="仿宋_GB2312"/>
          <w:color w:val="000000"/>
          <w:sz w:val="31"/>
          <w:szCs w:val="31"/>
          <w:shd w:val="clear" w:color="auto" w:fill="FFFFFF"/>
        </w:rPr>
        <w:t>加快构建以重点商贸物流园区为枢纽，县级物流配送中心为节点，乡镇和村级物流服务网点为末梢的商贸物流网络体系。</w:t>
      </w:r>
      <w:r>
        <w:rPr>
          <w:color w:val="000000"/>
        </w:rPr>
        <w:t>鼓励石板现代商贸服务园、西南现代商贸物流园、贵阳农产品物流园等</w:t>
      </w:r>
      <w:r>
        <w:rPr>
          <w:rFonts w:hint="eastAsia"/>
          <w:color w:val="000000"/>
        </w:rPr>
        <w:t>物流园区，</w:t>
      </w:r>
      <w:r>
        <w:rPr>
          <w:color w:val="000000"/>
        </w:rPr>
        <w:t>协同批发、零售、物流、快递企业整合供应链资源</w:t>
      </w:r>
      <w:r>
        <w:rPr>
          <w:rFonts w:hint="eastAsia"/>
          <w:color w:val="000000"/>
        </w:rPr>
        <w:t>，</w:t>
      </w:r>
      <w:r>
        <w:rPr>
          <w:color w:val="000000"/>
        </w:rPr>
        <w:t>构建生产、采购、分销、仓储、配送供应链协同服务平台</w:t>
      </w:r>
      <w:r>
        <w:rPr>
          <w:rFonts w:hint="eastAsia"/>
          <w:color w:val="000000"/>
        </w:rPr>
        <w:t>。打造应急物流体系，加快推进贵阳城郊大仓基地布局建设，完善平急结合的应急物流基础设施体系，满足生活物资和应急物资中转分拨需要，加快补齐应急物流设施和保障能力短板。</w:t>
      </w:r>
    </w:p>
    <w:p w14:paraId="6CA245B0">
      <w:pPr>
        <w:ind w:firstLine="643"/>
        <w:rPr>
          <w:color w:val="000000"/>
        </w:rPr>
      </w:pPr>
      <w:r>
        <w:rPr>
          <w:rFonts w:hint="eastAsia"/>
          <w:b/>
          <w:bCs/>
          <w:color w:val="000000"/>
        </w:rPr>
        <w:t>构建城乡高效配送体系。</w:t>
      </w:r>
      <w:r>
        <w:rPr>
          <w:rFonts w:hint="eastAsia"/>
          <w:color w:val="000000"/>
        </w:rPr>
        <w:t>积极构建以城市配送为中心、末端配送为支撑的城乡配送网络，引导商贸物流企业合理布局一批专业物流中心和区域配送中心。提高农村物流设施现代化水平，推动县级物流配送中心、乡镇快递网点数字化改造，支持市场主体完善智慧仓储、自动分拣、射频识别、新能源配送车等设施。提高农村物流配送集约化水平，鼓励农村邮政、供销、电商、快递、交通、商贸流通等各类主体开展市场化合作，搭载日用消费品、农资下乡和农产品进城双向配送服务，推动统仓共配，推进客货邮融合发展。推行多元化商贸物流配送模式，推广统一配送、集中配送、分时配送、夜间配送、无人配送等配送模式，优化门店配送、即时配送、网订店取、自助提货等末端配送模式。</w:t>
      </w:r>
    </w:p>
    <w:p w14:paraId="36DCF24A">
      <w:pPr>
        <w:ind w:firstLine="643"/>
        <w:rPr>
          <w:rFonts w:ascii="仿宋_GB2312"/>
          <w:color w:val="000000"/>
          <w:szCs w:val="32"/>
        </w:rPr>
      </w:pPr>
      <w:r>
        <w:rPr>
          <w:rFonts w:hint="eastAsia" w:ascii="仿宋_GB2312"/>
          <w:b/>
          <w:bCs/>
          <w:color w:val="000000"/>
          <w:szCs w:val="32"/>
        </w:rPr>
        <w:t>提升冷链物流能力。</w:t>
      </w:r>
      <w:r>
        <w:rPr>
          <w:rFonts w:hint="eastAsia" w:ascii="仿宋_GB2312"/>
          <w:color w:val="000000"/>
          <w:szCs w:val="32"/>
        </w:rPr>
        <w:t>加快建设“国家骨干冷链物流基地（大型冷链物流园区）+县域产地冷链集配中心+两端冷链物流设施”三级冷链物流节点设施体系，完善冷链物流基础设施网络。支持在修文、开阳、乌当等区域建设产地冷链集配中心、产地冷藏保鲜设施，发展共享式“田头小站”等移动冷库、冷链设施设备租赁等仓储保鲜冷链物流服务。鼓励农产品生产企业利用现代冷链物流理念和技术，推广“连锁直销+冷链配送”“网络化冷库+生鲜加工配送”“生鲜电商+冷链宅配”“生产基地+中央厨房+食材冷链配送”等新型冷链物流业务模式。</w:t>
      </w:r>
    </w:p>
    <w:p w14:paraId="678557C0">
      <w:pPr>
        <w:overflowPunct w:val="0"/>
        <w:spacing w:before="120" w:after="120"/>
        <w:ind w:firstLine="640"/>
        <w:outlineLvl w:val="2"/>
        <w:rPr>
          <w:color w:val="000000"/>
          <w:szCs w:val="32"/>
        </w:rPr>
      </w:pPr>
      <w:bookmarkStart w:id="48" w:name="_Toc229673050"/>
      <w:r>
        <w:rPr>
          <w:rFonts w:hint="eastAsia"/>
          <w:color w:val="000000"/>
          <w:szCs w:val="32"/>
        </w:rPr>
        <w:t>5、健全特种行业流通体系</w:t>
      </w:r>
      <w:bookmarkEnd w:id="48"/>
    </w:p>
    <w:p w14:paraId="73DA262A">
      <w:pPr>
        <w:pStyle w:val="2"/>
        <w:ind w:firstLine="643"/>
        <w:rPr>
          <w:b/>
          <w:bCs/>
          <w:color w:val="000000"/>
        </w:rPr>
      </w:pPr>
      <w:r>
        <w:rPr>
          <w:rFonts w:hint="eastAsia"/>
          <w:b/>
          <w:bCs/>
          <w:color w:val="000000"/>
        </w:rPr>
        <w:t>完善再生资源回收体系。</w:t>
      </w:r>
      <w:r>
        <w:rPr>
          <w:rFonts w:hint="eastAsia"/>
          <w:color w:val="000000"/>
        </w:rPr>
        <w:t>坚持“政府引导、市场运作、因地制宜、以点带面”的原则</w:t>
      </w:r>
      <w:r>
        <w:rPr>
          <w:color w:val="000000"/>
        </w:rPr>
        <w:t>，</w:t>
      </w:r>
      <w:r>
        <w:rPr>
          <w:rFonts w:hint="eastAsia"/>
          <w:color w:val="000000"/>
        </w:rPr>
        <w:t>完善前端回收、区域性分拣集散的再生资源回收网络布局。</w:t>
      </w:r>
      <w:r>
        <w:rPr>
          <w:bCs/>
          <w:color w:val="000000"/>
        </w:rPr>
        <w:t>鼓励市场化资源积极参与，</w:t>
      </w:r>
      <w:r>
        <w:rPr>
          <w:rFonts w:hint="eastAsia"/>
          <w:bCs/>
          <w:color w:val="000000"/>
        </w:rPr>
        <w:t>引导再生资源回收点功能提升和标准化建设，推广“互联网+”新型回收模式。</w:t>
      </w:r>
      <w:r>
        <w:rPr>
          <w:bCs/>
          <w:color w:val="000000"/>
        </w:rPr>
        <w:t>采取新建、</w:t>
      </w:r>
      <w:r>
        <w:rPr>
          <w:rFonts w:hint="eastAsia"/>
          <w:bCs/>
          <w:color w:val="000000"/>
        </w:rPr>
        <w:t>改建和</w:t>
      </w:r>
      <w:r>
        <w:rPr>
          <w:bCs/>
          <w:color w:val="000000"/>
        </w:rPr>
        <w:t>功能提升等方式，</w:t>
      </w:r>
      <w:r>
        <w:rPr>
          <w:rFonts w:hint="eastAsia"/>
          <w:bCs/>
          <w:color w:val="000000"/>
        </w:rPr>
        <w:t>推动一批综合型分拣中心建设，“十五五”期间新建4个以上再生资源分拣中心</w:t>
      </w:r>
      <w:r>
        <w:rPr>
          <w:bCs/>
          <w:color w:val="000000"/>
        </w:rPr>
        <w:t>。</w:t>
      </w:r>
      <w:r>
        <w:rPr>
          <w:rFonts w:hint="eastAsia"/>
          <w:bCs/>
          <w:color w:val="000000"/>
        </w:rPr>
        <w:t>以废旧家电、废金属、废塑料、废纸等品类为重点，鼓励以连锁经营、协议合作等方式提高回收水平和产业链服务能力，培育一批再生资源回收企业。打造集再生资源收集、运输和处置的全流程再生资源信息化管理平台，引导再生资源回收企业利用大数据手段，持续提升再生资源回收数字化智慧化管理水平。</w:t>
      </w:r>
    </w:p>
    <w:p w14:paraId="4CF2FC8F">
      <w:pPr>
        <w:pStyle w:val="2"/>
        <w:ind w:firstLine="643"/>
        <w:rPr>
          <w:color w:val="000000"/>
        </w:rPr>
      </w:pPr>
      <w:r>
        <w:rPr>
          <w:rFonts w:hint="eastAsia"/>
          <w:b/>
          <w:bCs/>
          <w:color w:val="000000"/>
        </w:rPr>
        <w:t>优化成品油流通体系。</w:t>
      </w:r>
      <w:r>
        <w:rPr>
          <w:rFonts w:hint="eastAsia"/>
          <w:color w:val="000000"/>
        </w:rPr>
        <w:t>以贵阳市国土空间总体规划为依据，</w:t>
      </w:r>
      <w:r>
        <w:rPr>
          <w:color w:val="000000"/>
        </w:rPr>
        <w:t>通过新建、</w:t>
      </w:r>
      <w:r>
        <w:rPr>
          <w:rFonts w:hint="eastAsia"/>
          <w:color w:val="000000"/>
        </w:rPr>
        <w:t>改扩建、</w:t>
      </w:r>
      <w:r>
        <w:rPr>
          <w:color w:val="000000"/>
        </w:rPr>
        <w:t>迁建等方式</w:t>
      </w:r>
      <w:r>
        <w:rPr>
          <w:rFonts w:hint="eastAsia"/>
          <w:color w:val="000000"/>
        </w:rPr>
        <w:t>，实施站点总量管控、优化存量、按需增量，形成便捷完善、布局合理的成品油服务网络体系。鼓励成品油流通企业将零售体系向城市扩建、乡镇等区域进一步延伸，“十五五”期间新建30个加油站以上。鼓励有条件的加油站向“油电”一体转型，</w:t>
      </w:r>
      <w:r>
        <w:rPr>
          <w:color w:val="000000"/>
        </w:rPr>
        <w:t>支持企业布局</w:t>
      </w:r>
      <w:r>
        <w:rPr>
          <w:rFonts w:hint="eastAsia"/>
          <w:color w:val="000000"/>
        </w:rPr>
        <w:t>建设</w:t>
      </w:r>
      <w:r>
        <w:rPr>
          <w:color w:val="000000"/>
        </w:rPr>
        <w:t>集加油、充电、换电、光伏、储能、</w:t>
      </w:r>
      <w:r>
        <w:rPr>
          <w:rFonts w:hint="eastAsia"/>
          <w:color w:val="000000"/>
        </w:rPr>
        <w:t>汽车维修保养、</w:t>
      </w:r>
      <w:r>
        <w:rPr>
          <w:color w:val="000000"/>
        </w:rPr>
        <w:t>餐饮、</w:t>
      </w:r>
      <w:r>
        <w:rPr>
          <w:rFonts w:hint="eastAsia"/>
          <w:color w:val="000000"/>
        </w:rPr>
        <w:t>休闲</w:t>
      </w:r>
      <w:r>
        <w:rPr>
          <w:color w:val="000000"/>
        </w:rPr>
        <w:t>等多功能于一体</w:t>
      </w:r>
      <w:r>
        <w:rPr>
          <w:rFonts w:hint="eastAsia"/>
          <w:color w:val="000000"/>
        </w:rPr>
        <w:t>综合能源站。定期开展成品油领域“打非治违”专项行动，严厉打击非法制售油品行为。</w:t>
      </w:r>
    </w:p>
    <w:p w14:paraId="52D8383D">
      <w:pPr>
        <w:spacing w:before="260" w:after="260"/>
        <w:ind w:firstLine="640"/>
        <w:outlineLvl w:val="1"/>
        <w:rPr>
          <w:rFonts w:eastAsia="楷体" w:cs="楷体"/>
          <w:color w:val="000000"/>
          <w:szCs w:val="32"/>
        </w:rPr>
      </w:pPr>
      <w:bookmarkStart w:id="49" w:name="_Toc229673051"/>
      <w:r>
        <w:rPr>
          <w:rFonts w:hint="eastAsia" w:eastAsia="楷体" w:cs="楷体"/>
          <w:color w:val="000000"/>
          <w:szCs w:val="32"/>
        </w:rPr>
        <w:t>（五）加快商贸数绿转型</w:t>
      </w:r>
      <w:bookmarkEnd w:id="49"/>
    </w:p>
    <w:p w14:paraId="272C6FA4">
      <w:pPr>
        <w:overflowPunct w:val="0"/>
        <w:spacing w:before="120" w:after="120"/>
        <w:ind w:firstLine="640"/>
        <w:outlineLvl w:val="2"/>
        <w:rPr>
          <w:color w:val="000000"/>
          <w:szCs w:val="32"/>
        </w:rPr>
      </w:pPr>
      <w:bookmarkStart w:id="50" w:name="_Toc229673052"/>
      <w:r>
        <w:rPr>
          <w:rFonts w:hint="eastAsia"/>
          <w:color w:val="000000"/>
          <w:szCs w:val="32"/>
        </w:rPr>
        <w:t>1、深化数字赋能商贸转型</w:t>
      </w:r>
      <w:bookmarkEnd w:id="50"/>
    </w:p>
    <w:p w14:paraId="3928321D">
      <w:pPr>
        <w:pStyle w:val="2"/>
        <w:ind w:firstLine="643"/>
        <w:rPr>
          <w:color w:val="000000"/>
        </w:rPr>
      </w:pPr>
      <w:r>
        <w:rPr>
          <w:rFonts w:hint="eastAsia"/>
          <w:b/>
          <w:bCs/>
          <w:color w:val="000000"/>
        </w:rPr>
        <w:t>推动商贸服务数字化发展。</w:t>
      </w:r>
      <w:r>
        <w:rPr>
          <w:rFonts w:hint="eastAsia"/>
          <w:color w:val="000000"/>
        </w:rPr>
        <w:t>深入推进大数据、人工智能、物联网、云计算、虚拟现实等新一代信息技术在商贸领域集成创新和融合应用，推动商业场景智能化、消费便捷化、服务标准化和监管精细化。指导商品市场加快数字化改造和智能化升级，推动批发采购与体验式消费结合，打造适应数字经济发展的新型商品集散中心。推动全市商业设施实现数字化升级，打造一批智慧商圈、智慧街区、智慧商店，完善智能导引、精准营销、云上购物、沉浸体验等智慧商业新模式。提升一刻钟便民生活圈智慧服务平台覆盖率，推动社区生活服务数字化、智能化发展。支持零售、餐饮等商贸企业通过短视频、直播、图文等轻量化内容，深化网络业务拓展，实现精准获客与销售转化。探索发</w:t>
      </w:r>
      <w:r>
        <w:rPr>
          <w:rFonts w:hint="eastAsia" w:ascii="仿宋_GB2312"/>
          <w:color w:val="000000"/>
        </w:rPr>
        <w:t>展“人工智能+电商”</w:t>
      </w:r>
      <w:r>
        <w:rPr>
          <w:rFonts w:hint="eastAsia"/>
          <w:color w:val="000000"/>
        </w:rPr>
        <w:t>，引导电商企业加强人工智能大模型等技术研发应用，优化消费体验、降低运营成本、提升流通效能。</w:t>
      </w:r>
    </w:p>
    <w:p w14:paraId="6EE189C3">
      <w:pPr>
        <w:ind w:firstLine="643"/>
        <w:rPr>
          <w:bCs/>
          <w:color w:val="000000"/>
        </w:rPr>
      </w:pPr>
      <w:r>
        <w:rPr>
          <w:rFonts w:hint="eastAsia"/>
          <w:b/>
          <w:bCs/>
          <w:color w:val="000000"/>
        </w:rPr>
        <w:t>推动商贸物流数字化发展。</w:t>
      </w:r>
      <w:r>
        <w:rPr>
          <w:rFonts w:hint="eastAsia"/>
          <w:color w:val="000000"/>
        </w:rPr>
        <w:t>支持商贸物流企业运用新一代信息技术对物流设施设备资源和运营服务产品开展信息化数字化改造，加快建设物流信息平台，提升商贸物流全流程、全要素资源数字化水平。鼓励商贸物流企业发展网络货运，支持网络货运平台集约化发展。引导具备条件的商贸物流园区加快智能分拣系统和工业机器人应用，推进数字物流管理平台建设。鼓励货运车辆加装智能设备，提高运输、仓储、装卸等物流环节自动化程度。积极推广和应用智能配货机器人、自助提货柜、无人机、无人车等智能设施，提升末端配送自动化、智能化、数字化水平。推广标准化物流载具，加快标准托盘、周转箱（筐）等物流载具推广和循环共用，拓展物流载具信息承载功能，推广全球统一编码标识（GS1），促进物流链数据互通。</w:t>
      </w:r>
    </w:p>
    <w:p w14:paraId="16CB6B48">
      <w:pPr>
        <w:overflowPunct w:val="0"/>
        <w:spacing w:before="120" w:after="120"/>
        <w:ind w:firstLine="640"/>
        <w:outlineLvl w:val="2"/>
        <w:rPr>
          <w:color w:val="000000"/>
          <w:szCs w:val="32"/>
        </w:rPr>
      </w:pPr>
      <w:bookmarkStart w:id="51" w:name="_Toc229673053"/>
      <w:r>
        <w:rPr>
          <w:rFonts w:hint="eastAsia"/>
          <w:color w:val="000000"/>
          <w:szCs w:val="32"/>
        </w:rPr>
        <w:t>2、推进商贸领域绿色发展</w:t>
      </w:r>
      <w:bookmarkEnd w:id="51"/>
    </w:p>
    <w:p w14:paraId="6AE62C22">
      <w:pPr>
        <w:pStyle w:val="2"/>
        <w:ind w:firstLine="643"/>
        <w:rPr>
          <w:color w:val="000000"/>
        </w:rPr>
      </w:pPr>
      <w:r>
        <w:rPr>
          <w:rFonts w:hint="eastAsia"/>
          <w:b/>
          <w:bCs/>
          <w:color w:val="000000"/>
        </w:rPr>
        <w:t>丰富绿色消费供给。</w:t>
      </w:r>
      <w:r>
        <w:rPr>
          <w:rFonts w:hint="eastAsia"/>
          <w:color w:val="000000"/>
        </w:rPr>
        <w:t>加大绿色产品推广力度，鼓励商场、超市、商品交易市场、电商平台等设立绿色产品销售专区、专柜，大力开展新能源汽车置换、新能源汽车下乡、绿色智能家电以旧换新、绿色家装推广等促进绿色消费活动。增加绿色农产品供应，</w:t>
      </w:r>
      <w:r>
        <w:rPr>
          <w:color w:val="000000"/>
        </w:rPr>
        <w:t>鼓励企业扩大绿色食品、有机农产品、名特优新农产品和地理标志农产品等优质商品采购</w:t>
      </w:r>
      <w:r>
        <w:rPr>
          <w:rFonts w:hint="eastAsia"/>
          <w:color w:val="000000"/>
        </w:rPr>
        <w:t>，</w:t>
      </w:r>
      <w:r>
        <w:rPr>
          <w:color w:val="000000"/>
        </w:rPr>
        <w:t>支持设立绿色农产品销售专区</w:t>
      </w:r>
      <w:r>
        <w:rPr>
          <w:rFonts w:hint="eastAsia"/>
          <w:color w:val="000000"/>
        </w:rPr>
        <w:t>，促进绿色农产品产销对接。发展绿色餐饮，</w:t>
      </w:r>
      <w:r>
        <w:rPr>
          <w:color w:val="000000"/>
        </w:rPr>
        <w:t>引导餐饮企业落实绿色餐饮相关标准，推广使用可降解、可重复利用的餐盒、包装袋</w:t>
      </w:r>
      <w:r>
        <w:rPr>
          <w:rFonts w:hint="eastAsia"/>
          <w:color w:val="000000"/>
        </w:rPr>
        <w:t>。鼓励开展绿色认证，培育“绿色商场”“绿色餐厅”等绿色经营主体。</w:t>
      </w:r>
    </w:p>
    <w:p w14:paraId="184C853D">
      <w:pPr>
        <w:pStyle w:val="2"/>
        <w:ind w:firstLine="643"/>
        <w:rPr>
          <w:color w:val="000000"/>
        </w:rPr>
      </w:pPr>
      <w:r>
        <w:rPr>
          <w:rFonts w:hint="eastAsia"/>
          <w:b/>
          <w:bCs/>
          <w:color w:val="000000"/>
        </w:rPr>
        <w:t>发展绿色商贸流通。</w:t>
      </w:r>
      <w:r>
        <w:rPr>
          <w:rFonts w:hint="eastAsia"/>
          <w:color w:val="000000"/>
        </w:rPr>
        <w:t>引导企业低碳化、标准化和品牌化生产，</w:t>
      </w:r>
      <w:r>
        <w:rPr>
          <w:color w:val="000000"/>
        </w:rPr>
        <w:t>加大绿色产品、绿色包装推广力度，创新包装循环利用模</w:t>
      </w:r>
      <w:r>
        <w:rPr>
          <w:rFonts w:hint="eastAsia"/>
          <w:color w:val="000000"/>
        </w:rPr>
        <w:t>式，打造绿色低碳商品供应链。推动城乡配送绿色化发展，推广使用新能源配送车辆和标准化载具，支持配送企业应用现代信息技术优化配送路线，鼓励发展共同配送、</w:t>
      </w:r>
      <w:r>
        <w:rPr>
          <w:color w:val="000000"/>
        </w:rPr>
        <w:t>托盘（周转箱）循环共用等绿色模式</w:t>
      </w:r>
      <w:r>
        <w:rPr>
          <w:rFonts w:hint="eastAsia"/>
          <w:color w:val="000000"/>
        </w:rPr>
        <w:t>，开展绿色仓储创建工作。加快完善全市废旧物资交易市场布局，规范发展旧货商品交易市场。</w:t>
      </w:r>
    </w:p>
    <w:p w14:paraId="0253467B">
      <w:pPr>
        <w:pStyle w:val="2"/>
        <w:ind w:firstLine="643"/>
        <w:rPr>
          <w:rFonts w:hint="eastAsia"/>
          <w:color w:val="000000"/>
        </w:rPr>
      </w:pPr>
      <w:r>
        <w:rPr>
          <w:rFonts w:hint="eastAsia"/>
          <w:b/>
          <w:bCs/>
          <w:color w:val="000000"/>
        </w:rPr>
        <w:t>倡导绿色消费方式。</w:t>
      </w:r>
      <w:r>
        <w:rPr>
          <w:rFonts w:hint="eastAsia"/>
          <w:color w:val="000000"/>
        </w:rPr>
        <w:t>引导消费者树立绿色低碳的消费理念，</w:t>
      </w:r>
      <w:r>
        <w:rPr>
          <w:color w:val="000000"/>
        </w:rPr>
        <w:t>持续推进绿色消费进机关、进学校、进企业、进商场、进社区、进餐馆等活动。</w:t>
      </w:r>
      <w:r>
        <w:rPr>
          <w:rFonts w:hint="eastAsia"/>
          <w:color w:val="000000"/>
        </w:rPr>
        <w:t>鼓励有条件的区（市、县）制定绿色低碳产品消费激励措施，探索建立线上线下通兑通用的绿色消费积分体系，引导消费者通过购买绿色产品、使用低碳服务获得积分，用于兑换商品折扣或服务优惠。倡导消费者理性消费，按照实际需要合理适度购买消费品。</w:t>
      </w:r>
    </w:p>
    <w:p w14:paraId="64447E04">
      <w:pPr>
        <w:spacing w:before="260" w:after="260"/>
        <w:ind w:firstLine="640"/>
        <w:outlineLvl w:val="1"/>
        <w:rPr>
          <w:rFonts w:eastAsia="楷体" w:cs="楷体"/>
          <w:color w:val="000000"/>
          <w:szCs w:val="32"/>
        </w:rPr>
      </w:pPr>
      <w:bookmarkStart w:id="52" w:name="_Toc229673054"/>
      <w:r>
        <w:rPr>
          <w:rFonts w:hint="eastAsia" w:eastAsia="楷体" w:cs="楷体"/>
          <w:color w:val="000000"/>
          <w:szCs w:val="32"/>
        </w:rPr>
        <w:t>（六）激发楼宇经济活力</w:t>
      </w:r>
      <w:bookmarkEnd w:id="52"/>
    </w:p>
    <w:p w14:paraId="5734ED54">
      <w:pPr>
        <w:overflowPunct w:val="0"/>
        <w:spacing w:before="120" w:after="120"/>
        <w:ind w:firstLine="640"/>
        <w:outlineLvl w:val="2"/>
        <w:rPr>
          <w:rFonts w:hint="eastAsia"/>
          <w:color w:val="000000"/>
          <w:szCs w:val="32"/>
        </w:rPr>
      </w:pPr>
      <w:bookmarkStart w:id="53" w:name="_Toc229673055"/>
      <w:r>
        <w:rPr>
          <w:rFonts w:hint="eastAsia"/>
          <w:color w:val="000000"/>
          <w:szCs w:val="32"/>
        </w:rPr>
        <w:t>1、突出</w:t>
      </w:r>
      <w:r>
        <w:rPr>
          <w:rFonts w:hint="eastAsia"/>
          <w:color w:val="000000"/>
        </w:rPr>
        <w:t>“一楼一业”</w:t>
      </w:r>
      <w:bookmarkEnd w:id="53"/>
    </w:p>
    <w:p w14:paraId="0EF46886">
      <w:pPr>
        <w:ind w:firstLine="640"/>
        <w:rPr>
          <w:rFonts w:hint="eastAsia"/>
          <w:color w:val="000000"/>
          <w:szCs w:val="32"/>
        </w:rPr>
      </w:pPr>
      <w:r>
        <w:rPr>
          <w:rFonts w:hint="eastAsia"/>
          <w:color w:val="000000"/>
          <w:szCs w:val="32"/>
        </w:rPr>
        <w:t>强化空间规划、产业规划和配套设施规划协同，优化“一核两区两轴多级”的楼宇空间布局，推动楼宇经济集约化、高端化、绿色化发展。以总部企业为抓手，推动企业向产业转化、产业向产业链转化，加快塑造“1+4+N”楼宇产业体系。观山湖区重点发展总部金融、软件信息、会展服务、专业服务、创意设计等产业。云岩区、南明区重点发展直播电商、电子商务等现代商贸，巩固发展专业服务、文化旅游等业态，引导生活服务、健康服务等品质化提升。支持各区联合行业商协会牵头会员企业、单位，建设一批法律服务、会计审计服务等专业特色楼宇。</w:t>
      </w:r>
    </w:p>
    <w:p w14:paraId="52FC641A">
      <w:pPr>
        <w:overflowPunct w:val="0"/>
        <w:spacing w:before="120" w:after="120"/>
        <w:ind w:firstLine="640"/>
        <w:outlineLvl w:val="2"/>
        <w:rPr>
          <w:rFonts w:hint="eastAsia"/>
          <w:color w:val="000000"/>
          <w:szCs w:val="32"/>
        </w:rPr>
      </w:pPr>
      <w:bookmarkStart w:id="54" w:name="_Toc229673056"/>
      <w:r>
        <w:rPr>
          <w:rFonts w:hint="eastAsia"/>
          <w:color w:val="000000"/>
          <w:szCs w:val="32"/>
        </w:rPr>
        <w:t>2、突出“一楼一策”</w:t>
      </w:r>
      <w:bookmarkEnd w:id="54"/>
    </w:p>
    <w:p w14:paraId="20995C1B">
      <w:pPr>
        <w:ind w:firstLine="640"/>
        <w:rPr>
          <w:rFonts w:hint="eastAsia"/>
          <w:color w:val="000000"/>
          <w:szCs w:val="32"/>
        </w:rPr>
      </w:pPr>
      <w:r>
        <w:rPr>
          <w:rFonts w:hint="eastAsia"/>
          <w:color w:val="000000"/>
          <w:szCs w:val="32"/>
        </w:rPr>
        <w:t>聚焦产业主攻方向，找准楼宇功能定位，提升楼宇内生发展动力。联动住建、投促、工信、文旅等部门，深入开展“四个一批”行动。结合楼宇基础禀赋和产业条件，强化精准招商，促进同类企业、同类资源在楼宇内集聚发展，培育一批特色楼宇。在政策允许下，鼓励楼宇参与楼宇等级评定，打造一批标杆楼宇。探索“国企牵头+产业基金+社会参与”模式，支持金融机构推出“楼宇更新贷”，着力盘活闲置存量楼宇资源，改造一批老旧楼宇、盘活一批低效楼宇。</w:t>
      </w:r>
    </w:p>
    <w:p w14:paraId="57FEB0D0">
      <w:pPr>
        <w:overflowPunct w:val="0"/>
        <w:spacing w:before="120" w:after="120"/>
        <w:ind w:firstLine="640"/>
        <w:outlineLvl w:val="2"/>
        <w:rPr>
          <w:color w:val="000000"/>
          <w:szCs w:val="32"/>
        </w:rPr>
      </w:pPr>
      <w:bookmarkStart w:id="55" w:name="_Toc229673057"/>
      <w:r>
        <w:rPr>
          <w:rFonts w:hint="eastAsia"/>
          <w:color w:val="000000"/>
          <w:szCs w:val="32"/>
        </w:rPr>
        <w:t>3、突出“一楼一班”</w:t>
      </w:r>
      <w:bookmarkEnd w:id="55"/>
    </w:p>
    <w:p w14:paraId="35880C10">
      <w:pPr>
        <w:ind w:firstLine="640"/>
        <w:rPr>
          <w:rFonts w:hint="eastAsia"/>
          <w:color w:val="000000"/>
          <w:szCs w:val="32"/>
        </w:rPr>
      </w:pPr>
      <w:r>
        <w:rPr>
          <w:rFonts w:hint="eastAsia"/>
          <w:color w:val="000000"/>
          <w:szCs w:val="32"/>
        </w:rPr>
        <w:t>建立建强楼宇运营管理服务机制，发挥部门、业主、运营单位等各方优势，建立建强运营管理服务团队。在有条件楼宇建设楼宇经济服务中心、楼栋工作站等，推动“一站式”服务。完善商业配套服务，引导市场主体创新利用楼宇地下空间、公共大堂、楼层夹层等公共区域，嵌入餐饮、运动休闲、共享经济等小型服务设施。搭建商务楼宇智慧管理平台，推动楼宇资源可视化、主体招商精准化、综合服务集成化，赋能楼宇经济高质量发展。</w:t>
      </w:r>
    </w:p>
    <w:p w14:paraId="7915F781">
      <w:pPr>
        <w:overflowPunct w:val="0"/>
        <w:spacing w:before="120" w:after="120"/>
        <w:ind w:firstLine="640"/>
        <w:outlineLvl w:val="2"/>
        <w:rPr>
          <w:color w:val="000000"/>
          <w:szCs w:val="32"/>
        </w:rPr>
      </w:pPr>
      <w:bookmarkStart w:id="56" w:name="_Toc229673058"/>
      <w:r>
        <w:rPr>
          <w:rFonts w:hint="eastAsia"/>
          <w:color w:val="000000"/>
          <w:szCs w:val="32"/>
        </w:rPr>
        <w:t>4、突出“一楼一企”</w:t>
      </w:r>
      <w:bookmarkEnd w:id="56"/>
    </w:p>
    <w:p w14:paraId="4CEC753B">
      <w:pPr>
        <w:ind w:firstLine="640"/>
        <w:rPr>
          <w:color w:val="000000"/>
          <w:szCs w:val="32"/>
        </w:rPr>
      </w:pPr>
      <w:r>
        <w:rPr>
          <w:rFonts w:hint="eastAsia"/>
          <w:color w:val="000000"/>
          <w:szCs w:val="32"/>
        </w:rPr>
        <w:t>立足企业发展所需，持续优化物业管理服务，订单式、精准化抓好企业服务。积极引入国内知名专业楼宇运营商，提升楼宇运营服务能力。探索通过产权收购、长期整租等方式，推动商务楼宇整体统一运营。支持楼宇运营主体打造路演广场、创业咖啡馆、主题沙龙等配套空间，促进交流合作和资源对接。支持楼宇运营主体与国际知名机构深化合作，探索“项目联运”“以商招商”等模式，提升楼宇运营主体能力。</w:t>
      </w:r>
    </w:p>
    <w:p w14:paraId="635BAB90">
      <w:pPr>
        <w:pStyle w:val="2"/>
        <w:ind w:firstLine="640"/>
        <w:rPr>
          <w:rFonts w:hint="eastAsia"/>
          <w:color w:val="000000"/>
        </w:rPr>
      </w:pPr>
    </w:p>
    <w:p w14:paraId="796658B9">
      <w:pPr>
        <w:spacing w:before="260" w:after="260"/>
        <w:ind w:firstLine="0" w:firstLineChars="0"/>
        <w:outlineLvl w:val="0"/>
        <w:rPr>
          <w:rFonts w:hint="eastAsia" w:eastAsia="黑体" w:cs="黑体"/>
          <w:color w:val="000000"/>
          <w:szCs w:val="32"/>
        </w:rPr>
        <w:sectPr>
          <w:pgSz w:w="11906" w:h="16838"/>
          <w:pgMar w:top="1440" w:right="1800" w:bottom="1440" w:left="1800" w:header="851" w:footer="992" w:gutter="0"/>
          <w:cols w:space="425" w:num="1"/>
          <w:docGrid w:type="lines" w:linePitch="312" w:charSpace="0"/>
        </w:sectPr>
      </w:pPr>
    </w:p>
    <w:p w14:paraId="2B733F36">
      <w:pPr>
        <w:spacing w:before="260" w:after="260"/>
        <w:ind w:firstLine="640"/>
        <w:outlineLvl w:val="0"/>
        <w:rPr>
          <w:rFonts w:eastAsia="黑体" w:cs="黑体"/>
          <w:color w:val="000000"/>
          <w:szCs w:val="32"/>
        </w:rPr>
      </w:pPr>
      <w:bookmarkStart w:id="57" w:name="_Toc229673059"/>
      <w:r>
        <w:rPr>
          <w:rFonts w:hint="eastAsia" w:eastAsia="黑体" w:cs="黑体"/>
          <w:color w:val="000000"/>
          <w:szCs w:val="32"/>
        </w:rPr>
        <w:t>四、加快建设内陆开放型经济新高地先行区</w:t>
      </w:r>
      <w:bookmarkEnd w:id="57"/>
    </w:p>
    <w:p w14:paraId="0EB8FD93">
      <w:pPr>
        <w:spacing w:before="260" w:after="260"/>
        <w:ind w:firstLine="640"/>
        <w:outlineLvl w:val="1"/>
        <w:rPr>
          <w:rFonts w:eastAsia="楷体" w:cs="楷体"/>
          <w:color w:val="000000"/>
          <w:szCs w:val="32"/>
        </w:rPr>
      </w:pPr>
      <w:bookmarkStart w:id="58" w:name="_Toc229673060"/>
      <w:r>
        <w:rPr>
          <w:rFonts w:hint="eastAsia" w:eastAsia="楷体" w:cs="楷体"/>
          <w:color w:val="000000"/>
          <w:szCs w:val="32"/>
        </w:rPr>
        <w:t>（一）构建开放格局</w:t>
      </w:r>
      <w:bookmarkEnd w:id="58"/>
    </w:p>
    <w:p w14:paraId="1F405A44">
      <w:pPr>
        <w:overflowPunct w:val="0"/>
        <w:spacing w:before="120" w:after="120"/>
        <w:ind w:firstLine="640"/>
        <w:outlineLvl w:val="2"/>
        <w:rPr>
          <w:color w:val="000000"/>
          <w:szCs w:val="32"/>
        </w:rPr>
      </w:pPr>
      <w:bookmarkStart w:id="59" w:name="_Toc229673061"/>
      <w:r>
        <w:rPr>
          <w:rFonts w:hint="eastAsia"/>
          <w:color w:val="000000"/>
          <w:szCs w:val="32"/>
        </w:rPr>
        <w:t>1、落实国家开放战略</w:t>
      </w:r>
      <w:bookmarkEnd w:id="59"/>
    </w:p>
    <w:p w14:paraId="22F54C5A">
      <w:pPr>
        <w:pStyle w:val="2"/>
        <w:ind w:firstLine="643"/>
        <w:rPr>
          <w:rFonts w:hint="eastAsia"/>
          <w:color w:val="000000"/>
        </w:rPr>
      </w:pPr>
      <w:r>
        <w:rPr>
          <w:rFonts w:hint="eastAsia"/>
          <w:b/>
          <w:bCs/>
          <w:color w:val="000000"/>
        </w:rPr>
        <w:t>积极融入共建“一带一路”。</w:t>
      </w:r>
      <w:bookmarkStart w:id="60" w:name="_Hlk217921345"/>
      <w:r>
        <w:rPr>
          <w:rFonts w:hint="eastAsia"/>
          <w:color w:val="000000"/>
        </w:rPr>
        <w:t>深度参与《区域全面经济伙伴关系协定》实施，聚焦“一带一路”沿线国家和地区重点市场，继续深耕东南亚、南亚、中亚市场，逐步扩展</w:t>
      </w:r>
      <w:bookmarkEnd w:id="60"/>
      <w:r>
        <w:rPr>
          <w:rFonts w:hint="eastAsia"/>
          <w:color w:val="000000"/>
        </w:rPr>
        <w:t>拉美、非洲等新兴潜力市场，深化贸易、投资、产业等务实合作。</w:t>
      </w:r>
      <w:r>
        <w:rPr>
          <w:rFonts w:hint="eastAsia"/>
          <w:color w:val="000000"/>
          <w:szCs w:val="32"/>
        </w:rPr>
        <w:t>加强与东盟国家在互补性产业开展贸易合作，推动</w:t>
      </w:r>
      <w:r>
        <w:rPr>
          <w:color w:val="000000"/>
          <w:szCs w:val="32"/>
        </w:rPr>
        <w:t>磷</w:t>
      </w:r>
      <w:r>
        <w:rPr>
          <w:rFonts w:hint="eastAsia"/>
          <w:color w:val="000000"/>
          <w:szCs w:val="32"/>
        </w:rPr>
        <w:t>化工</w:t>
      </w:r>
      <w:r>
        <w:rPr>
          <w:color w:val="000000"/>
          <w:szCs w:val="32"/>
        </w:rPr>
        <w:t>、轮胎</w:t>
      </w:r>
      <w:r>
        <w:rPr>
          <w:rFonts w:hint="eastAsia"/>
          <w:color w:val="000000"/>
          <w:szCs w:val="32"/>
        </w:rPr>
        <w:t>等优势产品对东盟出口，扩大农产品等进口。瞄准“一带一路”沿线国家和地区加快“全球化”布局，挖掘巴西、阿根廷等拉美国家和南非、尼日利亚等非洲国家市场潜力，推动白酒、新能源汽车</w:t>
      </w:r>
      <w:r>
        <w:rPr>
          <w:rFonts w:hint="eastAsia" w:ascii="仿宋_GB2312" w:hAnsi="微软雅黑" w:cs="微软雅黑"/>
          <w:color w:val="000000"/>
          <w:szCs w:val="32"/>
        </w:rPr>
        <w:t>等产品出口，</w:t>
      </w:r>
      <w:r>
        <w:rPr>
          <w:rFonts w:hint="eastAsia"/>
          <w:color w:val="000000"/>
          <w:szCs w:val="32"/>
        </w:rPr>
        <w:t>扩大矿产品、农产品等进口。持续拓展欧美等发达经济体市场，提升出口产品附加值，扩大先进技术、产品、服务等进口。</w:t>
      </w:r>
    </w:p>
    <w:p w14:paraId="7B569DFF">
      <w:pPr>
        <w:pStyle w:val="2"/>
        <w:ind w:firstLine="643"/>
        <w:rPr>
          <w:color w:val="000000"/>
        </w:rPr>
      </w:pPr>
      <w:r>
        <w:rPr>
          <w:rFonts w:hint="eastAsia"/>
          <w:b/>
          <w:bCs/>
          <w:color w:val="000000"/>
        </w:rPr>
        <w:t>深入开展“百企拓市场”行动。</w:t>
      </w:r>
      <w:r>
        <w:rPr>
          <w:rFonts w:hint="eastAsia"/>
          <w:color w:val="000000"/>
        </w:rPr>
        <w:t>畅通展会、协会、商会资源渠道，抓实展示、交流、推介多维互动，助力企业便捷高效对接全球优质服务资源，重点扩大电子信息、航空航天零部件、新能源、新材料等出口规模。加强与东盟商务理事会、老挝工商会、印尼中华总商会、新加坡工商会等海外商协会对接联系，</w:t>
      </w:r>
      <w:r>
        <w:rPr>
          <w:color w:val="000000"/>
        </w:rPr>
        <w:t>建立长效交流合作机制</w:t>
      </w:r>
      <w:r>
        <w:rPr>
          <w:rFonts w:hint="eastAsia"/>
          <w:color w:val="000000"/>
        </w:rPr>
        <w:t>。常态化开展组团出海活动，组织企业参加</w:t>
      </w:r>
      <w:r>
        <w:rPr>
          <w:rFonts w:hint="eastAsia" w:ascii="仿宋_GB2312" w:hAnsi="仿宋_GB2312" w:cs="仿宋_GB2312"/>
          <w:color w:val="000000"/>
          <w:szCs w:val="32"/>
        </w:rPr>
        <w:t>中国国际进口博览会、中国进出口商品交易会、中国国际投资贸易洽谈会、香港美食展等国内国际贸易展会。</w:t>
      </w:r>
      <w:r>
        <w:rPr>
          <w:rFonts w:ascii="仿宋_GB2312" w:hAnsi="仿宋_GB2312" w:cs="仿宋_GB2312"/>
          <w:color w:val="000000"/>
          <w:szCs w:val="32"/>
        </w:rPr>
        <w:t>依托贵阳国际大数据产业博览会，生态文明贵阳国际论坛、中国-东盟教育交流周、中国（贵州）国际酒类博览会等行业峰会，开展品牌推介。</w:t>
      </w:r>
      <w:bookmarkStart w:id="61" w:name="_Hlk217921286"/>
      <w:r>
        <w:rPr>
          <w:rFonts w:hint="eastAsia" w:ascii="仿宋_GB2312" w:hAnsi="仿宋_GB2312" w:cs="仿宋_GB2312"/>
          <w:color w:val="000000"/>
          <w:szCs w:val="32"/>
        </w:rPr>
        <w:t>持续</w:t>
      </w:r>
      <w:r>
        <w:rPr>
          <w:rFonts w:hint="eastAsia"/>
          <w:color w:val="000000"/>
        </w:rPr>
        <w:t>开展经贸交流活动</w:t>
      </w:r>
      <w:bookmarkEnd w:id="61"/>
      <w:r>
        <w:rPr>
          <w:rFonts w:hint="eastAsia"/>
          <w:color w:val="000000"/>
        </w:rPr>
        <w:t>，加强与国际友诚开展经贸合作。</w:t>
      </w:r>
    </w:p>
    <w:p w14:paraId="3183765C">
      <w:pPr>
        <w:pStyle w:val="2"/>
        <w:ind w:firstLine="643"/>
        <w:rPr>
          <w:rFonts w:hint="eastAsia" w:ascii="仿宋_GB2312" w:hAnsi="仿宋_GB2312" w:cs="仿宋_GB2312"/>
          <w:color w:val="000000"/>
          <w:szCs w:val="32"/>
        </w:rPr>
      </w:pPr>
      <w:r>
        <w:rPr>
          <w:rFonts w:hint="eastAsia" w:ascii="仿宋_GB2312" w:hAnsi="仿宋_GB2312" w:cs="仿宋_GB2312"/>
          <w:b/>
          <w:bCs/>
          <w:color w:val="000000"/>
          <w:szCs w:val="32"/>
        </w:rPr>
        <w:t>健全海外综合服务体系。</w:t>
      </w:r>
      <w:r>
        <w:rPr>
          <w:rFonts w:hint="eastAsia" w:ascii="仿宋_GB2312" w:hAnsi="仿宋_GB2312" w:cs="仿宋_GB2312"/>
          <w:color w:val="000000"/>
          <w:szCs w:val="32"/>
        </w:rPr>
        <w:t>引导企业用好“走出去”公共服务平台、国别贸易指南等公共平台和服务，加强本地区“线上+线下”服务渠道建设，打造企业出海获取基础性信息的“一站式”窗口。拓展提升专业服务，鼓励法律、财会、咨询、金融、保险、知识产权、标准检验认证等服务机构提升国际化服务能力。支持企业建设海外营销中心、境外分支机构、公共服务海外仓等境外营销网点，支持出海龙头企业、境外中资企业商协会等参与建立境外经贸合作区、海外综合服务站，为出海企业提供持续服务。加强出海企业国际化经营管理培训，提升企业跨国经营能力和海外经营合规水平。建立和完善全链条出海服务体系，探索建立产业出海联盟，加强专业协会服务支撑，支持“大企业带小企业”共享资源渠道等，助力企业开拓海外市场。</w:t>
      </w:r>
    </w:p>
    <w:p w14:paraId="3BA4D5D6">
      <w:pPr>
        <w:overflowPunct w:val="0"/>
        <w:spacing w:before="120" w:after="120"/>
        <w:ind w:firstLine="640"/>
        <w:outlineLvl w:val="2"/>
        <w:rPr>
          <w:color w:val="000000"/>
          <w:szCs w:val="32"/>
        </w:rPr>
      </w:pPr>
      <w:bookmarkStart w:id="62" w:name="_Toc229673062"/>
      <w:r>
        <w:rPr>
          <w:rFonts w:hint="eastAsia"/>
          <w:color w:val="000000"/>
          <w:szCs w:val="32"/>
        </w:rPr>
        <w:t>2、融入区域开放格局</w:t>
      </w:r>
      <w:bookmarkEnd w:id="62"/>
    </w:p>
    <w:p w14:paraId="1ECB175E">
      <w:pPr>
        <w:pStyle w:val="2"/>
        <w:ind w:firstLine="643"/>
        <w:rPr>
          <w:color w:val="000000"/>
        </w:rPr>
      </w:pPr>
      <w:r>
        <w:rPr>
          <w:rFonts w:hint="eastAsia"/>
          <w:b/>
          <w:bCs/>
          <w:color w:val="000000"/>
        </w:rPr>
        <w:t>积极对接融入粤港澳大湾区建设。</w:t>
      </w:r>
      <w:r>
        <w:rPr>
          <w:rFonts w:hint="eastAsia"/>
          <w:color w:val="000000"/>
        </w:rPr>
        <w:t>借助广交会、跨境电商博览会、香港美食商贸博览会等平台，开展产销对接，助力“黔货出山”。</w:t>
      </w:r>
      <w:r>
        <w:rPr>
          <w:rFonts w:hint="eastAsia" w:ascii="仿宋_GB2312"/>
          <w:color w:val="000000"/>
        </w:rPr>
        <w:t>推动贵阳市农产品生产经销企业与大湾区批发市场、商超、餐饮企业等建立持续稳定供应关系，推动在广东设立农产品前置仓，完善冷链物流体系。用好广东东西部协作产品交易网、脱贫地区农副产品网络销售平台等平台，扩大农产品线上销售规模。深化拓展贵阳国际陆港等与广州港、深圳港、湛江港探索“贵广铁海联运一港通”</w:t>
      </w:r>
      <w:r>
        <w:rPr>
          <w:rFonts w:hint="eastAsia" w:ascii="仿宋_GB2312"/>
          <w:color w:val="000000"/>
          <w:lang w:eastAsia="zh-CN"/>
        </w:rPr>
        <w:t>多式联运“一单制”</w:t>
      </w:r>
      <w:r>
        <w:rPr>
          <w:rFonts w:hint="eastAsia" w:ascii="仿宋_GB2312"/>
          <w:color w:val="000000"/>
        </w:rPr>
        <w:t>等合作，优化通关便利化。</w:t>
      </w:r>
      <w:r>
        <w:rPr>
          <w:color w:val="000000"/>
        </w:rPr>
        <w:t>以贵阳国际陆港为枢纽，组织货源稳定开行黔粤班列。</w:t>
      </w:r>
      <w:r>
        <w:rPr>
          <w:rFonts w:hint="eastAsia"/>
          <w:color w:val="000000"/>
        </w:rPr>
        <w:t>支持贵阳龙洞堡机场与广州白云国际机场、深圳宝安国际机场等在航空物流方面合作，实现联动发展。借助广东优强企业在境外设立的海外分销中心、展示中心、生产基地等，帮助贵阳企业拓展国际市场。</w:t>
      </w:r>
      <w:r>
        <w:rPr>
          <w:color w:val="000000"/>
        </w:rPr>
        <w:t>积极引进</w:t>
      </w:r>
      <w:r>
        <w:rPr>
          <w:rFonts w:hint="eastAsia"/>
          <w:color w:val="000000"/>
        </w:rPr>
        <w:t>大湾区</w:t>
      </w:r>
      <w:r>
        <w:rPr>
          <w:color w:val="000000"/>
        </w:rPr>
        <w:t>加工贸易企业，承接</w:t>
      </w:r>
      <w:r>
        <w:rPr>
          <w:rFonts w:hint="eastAsia"/>
          <w:color w:val="000000"/>
        </w:rPr>
        <w:t>大湾区</w:t>
      </w:r>
      <w:r>
        <w:rPr>
          <w:color w:val="000000"/>
        </w:rPr>
        <w:t>外资企业转移。</w:t>
      </w:r>
    </w:p>
    <w:p w14:paraId="634B6759">
      <w:pPr>
        <w:pStyle w:val="2"/>
        <w:ind w:firstLine="643"/>
        <w:rPr>
          <w:color w:val="000000"/>
        </w:rPr>
      </w:pPr>
      <w:r>
        <w:rPr>
          <w:rFonts w:hint="eastAsia"/>
          <w:b/>
          <w:bCs/>
          <w:color w:val="000000"/>
        </w:rPr>
        <w:t>主动融入成渝地区双城经济圈建设。</w:t>
      </w:r>
      <w:r>
        <w:rPr>
          <w:color w:val="000000"/>
        </w:rPr>
        <w:t>引导</w:t>
      </w:r>
      <w:r>
        <w:rPr>
          <w:rFonts w:hint="eastAsia"/>
          <w:color w:val="000000"/>
        </w:rPr>
        <w:t>贵阳与重庆、成都</w:t>
      </w:r>
      <w:r>
        <w:rPr>
          <w:color w:val="000000"/>
        </w:rPr>
        <w:t>名特优产品在中心城市核心商圈互设展销中心，组织老字号、地理标志产品、绿色有机农产品企业，精准对接成渝大型商超、电商平台和餐饮连锁企业。支持</w:t>
      </w:r>
      <w:r>
        <w:rPr>
          <w:rFonts w:hint="eastAsia"/>
          <w:color w:val="000000"/>
        </w:rPr>
        <w:t>餐饮</w:t>
      </w:r>
      <w:r>
        <w:rPr>
          <w:color w:val="000000"/>
        </w:rPr>
        <w:t>企业在成渝设立营销中心，针对成渝居民推出专属优惠套餐。支持电商企业、直播基地与成渝地区的头部MCN机构、平台企业深度合作，孵化网红品牌。推动建设面向成渝市场的前置仓、体验店，开发更具市场竞争力的消费场景和特色产品。</w:t>
      </w:r>
      <w:r>
        <w:rPr>
          <w:rFonts w:hint="eastAsia"/>
          <w:color w:val="000000"/>
        </w:rPr>
        <w:t>提升重庆至贵阳、成都至贵阳客货运通道能力，鼓励发展多式联运，高水平共建西部陆海新通道建设。</w:t>
      </w:r>
      <w:r>
        <w:rPr>
          <w:color w:val="000000"/>
        </w:rPr>
        <w:t>支持</w:t>
      </w:r>
      <w:r>
        <w:rPr>
          <w:rFonts w:hint="eastAsia"/>
          <w:color w:val="000000"/>
        </w:rPr>
        <w:t>两地</w:t>
      </w:r>
      <w:r>
        <w:rPr>
          <w:color w:val="000000"/>
        </w:rPr>
        <w:t>大型运输物流企业合作建立战略联盟，深化市场拓展、线路优化等合作创新，共同开发西部陆海新通道、中欧班列沿线货源市场。</w:t>
      </w:r>
    </w:p>
    <w:p w14:paraId="749A26A1">
      <w:pPr>
        <w:pStyle w:val="2"/>
        <w:ind w:firstLine="643"/>
        <w:rPr>
          <w:color w:val="000000"/>
        </w:rPr>
      </w:pPr>
      <w:r>
        <w:rPr>
          <w:rFonts w:hint="eastAsia"/>
          <w:b/>
          <w:bCs/>
          <w:color w:val="000000"/>
        </w:rPr>
        <w:t>深度融入长江经济带等区域发展。</w:t>
      </w:r>
      <w:r>
        <w:rPr>
          <w:color w:val="000000"/>
        </w:rPr>
        <w:t>组织开展农产品产销对接，借助进博会、绿博会、酒博会、西博会等平台，</w:t>
      </w:r>
      <w:r>
        <w:rPr>
          <w:rFonts w:hint="eastAsia" w:ascii="仿宋_GB2312"/>
          <w:color w:val="000000"/>
        </w:rPr>
        <w:t>推动贵州特色农产品生产经销企业与长江经济带沿线城市批发市场、商超、餐饮企业等建立持续稳定供应关系。</w:t>
      </w:r>
      <w:r>
        <w:rPr>
          <w:rFonts w:hint="eastAsia"/>
          <w:color w:val="000000"/>
        </w:rPr>
        <w:t>推动开阳港交通物流基础设施建设，发挥开阳港水运物流通道作用，推动长江-乌江水运干支联动，提高水路货运能力，发展多式联运，降低物流成本。</w:t>
      </w:r>
      <w:r>
        <w:rPr>
          <w:rFonts w:hAnsi="仿宋_GB2312"/>
          <w:color w:val="000000"/>
        </w:rPr>
        <w:t>支持综合保税区学习借鉴先进经验。</w:t>
      </w:r>
      <w:r>
        <w:rPr>
          <w:color w:val="000000"/>
        </w:rPr>
        <w:t>积极引进长三角加工贸易企业落地</w:t>
      </w:r>
      <w:r>
        <w:rPr>
          <w:rFonts w:hint="eastAsia"/>
          <w:color w:val="000000"/>
        </w:rPr>
        <w:t>综合保税区</w:t>
      </w:r>
      <w:r>
        <w:rPr>
          <w:color w:val="000000"/>
        </w:rPr>
        <w:t>，发展保税加工业务。承接江苏、上海等地外资企业转移。</w:t>
      </w:r>
    </w:p>
    <w:p w14:paraId="78640E8E">
      <w:pPr>
        <w:pStyle w:val="2"/>
        <w:ind w:firstLine="643"/>
        <w:rPr>
          <w:rFonts w:hint="eastAsia"/>
          <w:b/>
          <w:bCs/>
          <w:color w:val="000000"/>
        </w:rPr>
      </w:pPr>
      <w:r>
        <w:rPr>
          <w:rFonts w:hint="eastAsia"/>
          <w:b/>
          <w:bCs/>
          <w:color w:val="000000"/>
        </w:rPr>
        <w:t>加快对接海南自由贸易港。</w:t>
      </w:r>
      <w:r>
        <w:rPr>
          <w:rFonts w:hint="eastAsia"/>
          <w:color w:val="000000"/>
        </w:rPr>
        <w:t>依托</w:t>
      </w:r>
      <w:r>
        <w:rPr>
          <w:color w:val="000000"/>
        </w:rPr>
        <w:t>贵阳国际陆港</w:t>
      </w:r>
      <w:r>
        <w:rPr>
          <w:rFonts w:hint="eastAsia"/>
          <w:color w:val="000000"/>
        </w:rPr>
        <w:t>，</w:t>
      </w:r>
      <w:r>
        <w:rPr>
          <w:color w:val="000000"/>
        </w:rPr>
        <w:t>深化黔</w:t>
      </w:r>
      <w:r>
        <w:rPr>
          <w:rFonts w:hint="eastAsia" w:ascii="仿宋_GB2312"/>
          <w:color w:val="000000"/>
        </w:rPr>
        <w:t>粤琼“并行港”模式应</w:t>
      </w:r>
      <w:r>
        <w:rPr>
          <w:color w:val="000000"/>
        </w:rPr>
        <w:t>用，加强与共</w:t>
      </w:r>
      <w:r>
        <w:rPr>
          <w:rFonts w:hint="eastAsia" w:ascii="仿宋_GB2312"/>
          <w:color w:val="000000"/>
        </w:rPr>
        <w:t>建“一带一路”国家港</w:t>
      </w:r>
      <w:r>
        <w:rPr>
          <w:color w:val="000000"/>
        </w:rPr>
        <w:t>口、物流企业合作</w:t>
      </w:r>
      <w:r>
        <w:rPr>
          <w:rFonts w:hint="eastAsia"/>
          <w:color w:val="000000"/>
        </w:rPr>
        <w:t>等。加密贵阳龙洞堡机场与海口美兰机场、三亚凤凰机场的货运航线，发展航空保税物流、冷链物流。探索在海南设立“贵阳-海南合作飞地”，利用海南自贸港贸易政策优势，发展跨境电商、保税研发、高端制造等产业，建立</w:t>
      </w:r>
      <w:r>
        <w:rPr>
          <w:color w:val="000000"/>
        </w:rPr>
        <w:t>面向RCEP的供应链中心</w:t>
      </w:r>
      <w:r>
        <w:rPr>
          <w:rFonts w:hint="eastAsia"/>
          <w:color w:val="000000"/>
        </w:rPr>
        <w:t>。</w:t>
      </w:r>
    </w:p>
    <w:p w14:paraId="57191DC0">
      <w:pPr>
        <w:spacing w:before="260" w:after="260"/>
        <w:ind w:firstLine="640"/>
        <w:outlineLvl w:val="1"/>
        <w:rPr>
          <w:rFonts w:eastAsia="楷体" w:cs="楷体"/>
          <w:color w:val="000000"/>
          <w:szCs w:val="32"/>
        </w:rPr>
      </w:pPr>
      <w:bookmarkStart w:id="63" w:name="_Toc229673063"/>
      <w:r>
        <w:rPr>
          <w:rFonts w:hint="eastAsia" w:eastAsia="楷体" w:cs="楷体"/>
          <w:color w:val="000000"/>
          <w:szCs w:val="32"/>
        </w:rPr>
        <w:t>（二）拓宽开放通道</w:t>
      </w:r>
      <w:bookmarkEnd w:id="63"/>
    </w:p>
    <w:p w14:paraId="4BF50665">
      <w:pPr>
        <w:overflowPunct w:val="0"/>
        <w:spacing w:before="120" w:after="120"/>
        <w:ind w:firstLine="640"/>
        <w:outlineLvl w:val="2"/>
        <w:rPr>
          <w:color w:val="000000"/>
          <w:szCs w:val="32"/>
        </w:rPr>
      </w:pPr>
      <w:bookmarkStart w:id="64" w:name="_Toc229673064"/>
      <w:r>
        <w:rPr>
          <w:rFonts w:hint="eastAsia"/>
          <w:color w:val="000000"/>
          <w:szCs w:val="32"/>
        </w:rPr>
        <w:t>1、拓展航空通道</w:t>
      </w:r>
      <w:bookmarkEnd w:id="64"/>
    </w:p>
    <w:p w14:paraId="1C99A9F6">
      <w:pPr>
        <w:pStyle w:val="2"/>
        <w:ind w:firstLine="640"/>
        <w:rPr>
          <w:color w:val="000000"/>
        </w:rPr>
      </w:pPr>
      <w:r>
        <w:rPr>
          <w:rFonts w:hint="eastAsia"/>
          <w:color w:val="000000"/>
        </w:rPr>
        <w:t>开辟航空货运通道，以贵阳龙洞堡国际机场为平台，联动贵州民航产业集团，</w:t>
      </w:r>
      <w:bookmarkStart w:id="65" w:name="_Hlk217920798"/>
      <w:r>
        <w:rPr>
          <w:rFonts w:hint="eastAsia"/>
          <w:color w:val="000000"/>
        </w:rPr>
        <w:t>稳定开行贵阳至东南亚、南亚的国际货运航线，按需新增开通至北美、欧洲、中亚、中东的洲际货运航线，</w:t>
      </w:r>
      <w:bookmarkEnd w:id="65"/>
      <w:r>
        <w:rPr>
          <w:rFonts w:hint="eastAsia"/>
          <w:color w:val="000000"/>
        </w:rPr>
        <w:t>构建“覆盖RCEP、联通‘一带一路’、辐射全球”的航空物流大通道，打造区域性国际航空枢纽。</w:t>
      </w:r>
      <w:bookmarkStart w:id="66" w:name="_Hlk217920807"/>
      <w:r>
        <w:rPr>
          <w:rFonts w:hint="eastAsia"/>
          <w:color w:val="000000"/>
        </w:rPr>
        <w:t>大力发展“腹仓+全货机”模式</w:t>
      </w:r>
      <w:bookmarkEnd w:id="66"/>
      <w:r>
        <w:rPr>
          <w:rFonts w:hint="eastAsia"/>
          <w:color w:val="000000"/>
        </w:rPr>
        <w:t>，支持航空公司、综合物流服务商充分利用客运航班进行腹仓带货。深化与南宁、昆明、重庆、成都、长沙等城市在航线、货源等方面合作。</w:t>
      </w:r>
    </w:p>
    <w:p w14:paraId="18BACBF0">
      <w:pPr>
        <w:overflowPunct w:val="0"/>
        <w:spacing w:before="120" w:after="120"/>
        <w:ind w:firstLine="640"/>
        <w:outlineLvl w:val="2"/>
        <w:rPr>
          <w:color w:val="000000"/>
          <w:szCs w:val="32"/>
        </w:rPr>
      </w:pPr>
      <w:bookmarkStart w:id="67" w:name="_Toc229673065"/>
      <w:r>
        <w:rPr>
          <w:rFonts w:hint="eastAsia"/>
          <w:color w:val="000000"/>
          <w:szCs w:val="32"/>
        </w:rPr>
        <w:t>2、拓展铁路通道</w:t>
      </w:r>
      <w:bookmarkEnd w:id="67"/>
    </w:p>
    <w:p w14:paraId="130A6B33">
      <w:pPr>
        <w:pStyle w:val="2"/>
        <w:ind w:firstLine="640"/>
        <w:rPr>
          <w:color w:val="000000"/>
        </w:rPr>
      </w:pPr>
      <w:r>
        <w:rPr>
          <w:rFonts w:hint="eastAsia" w:cs="仿宋_GB2312"/>
          <w:color w:val="000000"/>
          <w:szCs w:val="32"/>
        </w:rPr>
        <w:t>积极争取国家、省、市对贵阳国际陆港开放通道建设的支持政策，推动《支持贵阳国际陆港高质量发展的意见》落地实施。支持铁路班列开行，以贵阳国际陆港为枢纽，</w:t>
      </w:r>
      <w:bookmarkStart w:id="68" w:name="_Hlk217920836"/>
      <w:r>
        <w:rPr>
          <w:rFonts w:hint="eastAsia" w:cs="仿宋_GB2312"/>
          <w:color w:val="000000"/>
          <w:szCs w:val="32"/>
        </w:rPr>
        <w:t>发挥“人字形”铁路货运骨架作用，稳定开行黔粤班列、西部陆海新通道班列，按需开行中欧（中亚）班列、中老班列等铁路通道班列，适时新增开通其他国际铁路班列</w:t>
      </w:r>
      <w:bookmarkEnd w:id="68"/>
      <w:r>
        <w:rPr>
          <w:rFonts w:hint="eastAsia" w:cs="仿宋_GB2312"/>
          <w:color w:val="000000"/>
          <w:szCs w:val="32"/>
        </w:rPr>
        <w:t>，打造西南区域重要国际货运枢纽。</w:t>
      </w:r>
      <w:bookmarkStart w:id="69" w:name="_Hlk217920849"/>
      <w:r>
        <w:rPr>
          <w:rFonts w:hint="eastAsia" w:cs="仿宋_GB2312"/>
          <w:color w:val="000000"/>
          <w:szCs w:val="32"/>
        </w:rPr>
        <w:t>强化班列集货，</w:t>
      </w:r>
      <w:bookmarkEnd w:id="69"/>
      <w:r>
        <w:rPr>
          <w:rFonts w:hint="eastAsia" w:cs="仿宋_GB2312"/>
          <w:color w:val="000000"/>
          <w:szCs w:val="32"/>
        </w:rPr>
        <w:t>发挥贵阳综保区贵州集货集拼中心功能，围绕轮胎、新能源汽车、铝产品、电器、粮食等传统大宗贸易产品和烟草、酒类、茶叶等贵州特色农产品，支持引导贵阳及周边企业通过贵阳国际陆港集散货物，</w:t>
      </w:r>
      <w:bookmarkStart w:id="70" w:name="_Hlk217920861"/>
      <w:r>
        <w:rPr>
          <w:rFonts w:hint="eastAsia" w:ascii="仿宋_GB2312" w:hAnsi="仿宋_GB2312" w:cs="仿宋_GB2312"/>
          <w:color w:val="000000"/>
          <w:szCs w:val="32"/>
        </w:rPr>
        <w:t>支持贵阳综保区与贵阳国际陆港“区港一体化”发展，一体化打造国际贸易中转集拼地和西南重要国际货运枢纽</w:t>
      </w:r>
      <w:bookmarkEnd w:id="70"/>
      <w:r>
        <w:rPr>
          <w:rFonts w:hint="eastAsia" w:cs="仿宋_GB2312"/>
          <w:color w:val="000000"/>
          <w:szCs w:val="32"/>
        </w:rPr>
        <w:t>。</w:t>
      </w:r>
    </w:p>
    <w:p w14:paraId="48D0A26C">
      <w:pPr>
        <w:overflowPunct w:val="0"/>
        <w:spacing w:before="120" w:after="120"/>
        <w:ind w:firstLine="640"/>
        <w:outlineLvl w:val="2"/>
        <w:rPr>
          <w:color w:val="000000"/>
          <w:szCs w:val="32"/>
        </w:rPr>
      </w:pPr>
      <w:bookmarkStart w:id="71" w:name="_Toc229673066"/>
      <w:r>
        <w:rPr>
          <w:rFonts w:hint="eastAsia"/>
          <w:color w:val="000000"/>
          <w:szCs w:val="32"/>
        </w:rPr>
        <w:t>3、拓展公路通道</w:t>
      </w:r>
      <w:bookmarkEnd w:id="71"/>
    </w:p>
    <w:p w14:paraId="455D3E94">
      <w:pPr>
        <w:widowControl/>
        <w:ind w:firstLine="640"/>
        <w:rPr>
          <w:rFonts w:cs="仿宋_GB2312"/>
          <w:color w:val="000000"/>
          <w:szCs w:val="32"/>
        </w:rPr>
      </w:pPr>
      <w:bookmarkStart w:id="72" w:name="_Hlk217920906"/>
      <w:r>
        <w:rPr>
          <w:rFonts w:hint="eastAsia" w:cs="仿宋_GB2312"/>
          <w:color w:val="000000"/>
          <w:szCs w:val="32"/>
        </w:rPr>
        <w:t>培育跨境卡班运营主体</w:t>
      </w:r>
      <w:bookmarkEnd w:id="72"/>
      <w:r>
        <w:rPr>
          <w:rFonts w:hint="eastAsia" w:cs="仿宋_GB2312"/>
          <w:color w:val="000000"/>
          <w:szCs w:val="32"/>
        </w:rPr>
        <w:t>，支持企业申办开行GMS（大湄公河次区域）、TIR（国际公路运输公约）跨境卡班。以贵阳综保区为平台，</w:t>
      </w:r>
      <w:bookmarkStart w:id="73" w:name="_Hlk217920894"/>
      <w:r>
        <w:rPr>
          <w:rFonts w:hint="eastAsia" w:cs="仿宋_GB2312"/>
          <w:color w:val="000000"/>
          <w:szCs w:val="32"/>
        </w:rPr>
        <w:t>推动贵阳至</w:t>
      </w:r>
      <w:r>
        <w:rPr>
          <w:rFonts w:hint="eastAsia" w:cs="仿宋_GB2312"/>
          <w:color w:val="000000"/>
          <w:szCs w:val="32"/>
          <w:lang w:eastAsia="zh-CN"/>
        </w:rPr>
        <w:t>中国香港</w:t>
      </w:r>
      <w:r>
        <w:rPr>
          <w:rFonts w:hint="eastAsia" w:cs="仿宋_GB2312"/>
          <w:color w:val="000000"/>
          <w:szCs w:val="32"/>
        </w:rPr>
        <w:t>、越南等跨境公路卡班稳定开行，</w:t>
      </w:r>
      <w:r>
        <w:rPr>
          <w:rFonts w:hint="eastAsia"/>
          <w:color w:val="000000"/>
          <w:szCs w:val="32"/>
        </w:rPr>
        <w:t>适时新增公路卡班路线，构建面向粤港澳地区、东南亚、中亚国家为主的跨境卡班运输体系</w:t>
      </w:r>
      <w:r>
        <w:rPr>
          <w:rFonts w:hint="eastAsia" w:cs="仿宋_GB2312"/>
          <w:color w:val="000000"/>
          <w:szCs w:val="32"/>
        </w:rPr>
        <w:t>。支持外贸企业通过GMS、TIR等跨境公路卡班运输货物。</w:t>
      </w:r>
    </w:p>
    <w:bookmarkEnd w:id="73"/>
    <w:p w14:paraId="17AFC0D6">
      <w:pPr>
        <w:overflowPunct w:val="0"/>
        <w:spacing w:before="120" w:after="120"/>
        <w:ind w:firstLine="640"/>
        <w:outlineLvl w:val="2"/>
        <w:rPr>
          <w:color w:val="000000"/>
          <w:szCs w:val="32"/>
        </w:rPr>
      </w:pPr>
      <w:bookmarkStart w:id="74" w:name="_Toc229673067"/>
      <w:r>
        <w:rPr>
          <w:rFonts w:hint="eastAsia"/>
          <w:color w:val="000000"/>
          <w:szCs w:val="32"/>
        </w:rPr>
        <w:t>4、</w:t>
      </w:r>
      <w:bookmarkStart w:id="75" w:name="_Hlk217920945"/>
      <w:r>
        <w:rPr>
          <w:rFonts w:hint="eastAsia"/>
          <w:color w:val="000000"/>
          <w:szCs w:val="32"/>
        </w:rPr>
        <w:t>建设前置仓体系</w:t>
      </w:r>
      <w:bookmarkEnd w:id="74"/>
      <w:bookmarkEnd w:id="75"/>
    </w:p>
    <w:p w14:paraId="61EDBFC1">
      <w:pPr>
        <w:pStyle w:val="2"/>
        <w:ind w:firstLine="640"/>
        <w:rPr>
          <w:rFonts w:ascii="仿宋_GB2312" w:hAnsi="仿宋_GB2312" w:cs="仿宋_GB2312"/>
          <w:color w:val="000000"/>
          <w:szCs w:val="32"/>
        </w:rPr>
      </w:pPr>
      <w:r>
        <w:rPr>
          <w:rFonts w:hint="eastAsia" w:ascii="仿宋_GB2312" w:hAnsi="仿宋_GB2312" w:cs="仿宋_GB2312"/>
          <w:color w:val="000000"/>
          <w:szCs w:val="32"/>
        </w:rPr>
        <w:t>依托贵阳综合保税区功能优势，</w:t>
      </w:r>
      <w:bookmarkStart w:id="76" w:name="_Hlk217920959"/>
      <w:r>
        <w:rPr>
          <w:rFonts w:hint="eastAsia" w:ascii="仿宋_GB2312" w:hAnsi="仿宋_GB2312" w:cs="仿宋_GB2312"/>
          <w:color w:val="000000"/>
          <w:szCs w:val="32"/>
        </w:rPr>
        <w:t>探索在西部陆海新通道、中欧班列、粤港澳大湾区、中老班列、东部出海口等关键物流节点布局建设公共型前置仓</w:t>
      </w:r>
      <w:bookmarkEnd w:id="76"/>
      <w:r>
        <w:rPr>
          <w:rFonts w:hint="eastAsia" w:ascii="仿宋_GB2312" w:hAnsi="仿宋_GB2312" w:cs="仿宋_GB2312"/>
          <w:color w:val="000000"/>
          <w:szCs w:val="32"/>
        </w:rPr>
        <w:t>。通过“区港一体化”机制延伸，为外贸企业提供集货集拼、保税仓储、国际分拨、关务协作等一站式服务，探索“贵州集货、口岸集散、全球分拨”模式，提升跨境贸易效率。</w:t>
      </w:r>
    </w:p>
    <w:p w14:paraId="2A2AEF59">
      <w:pPr>
        <w:spacing w:before="260" w:after="260"/>
        <w:ind w:firstLine="640"/>
        <w:outlineLvl w:val="1"/>
        <w:rPr>
          <w:rFonts w:eastAsia="楷体" w:cs="楷体"/>
          <w:color w:val="000000"/>
          <w:szCs w:val="32"/>
        </w:rPr>
      </w:pPr>
      <w:bookmarkStart w:id="77" w:name="_Toc229673068"/>
      <w:r>
        <w:rPr>
          <w:rFonts w:hint="eastAsia" w:eastAsia="楷体" w:cs="楷体"/>
          <w:color w:val="000000"/>
          <w:szCs w:val="32"/>
        </w:rPr>
        <w:t>（三）建强开放平台</w:t>
      </w:r>
      <w:bookmarkEnd w:id="77"/>
    </w:p>
    <w:p w14:paraId="1DC21E19">
      <w:pPr>
        <w:overflowPunct w:val="0"/>
        <w:spacing w:before="120" w:after="120"/>
        <w:ind w:firstLine="640"/>
        <w:outlineLvl w:val="2"/>
        <w:rPr>
          <w:color w:val="000000"/>
          <w:szCs w:val="32"/>
        </w:rPr>
      </w:pPr>
      <w:bookmarkStart w:id="78" w:name="_Toc229673069"/>
      <w:r>
        <w:rPr>
          <w:rFonts w:hint="eastAsia"/>
          <w:color w:val="000000"/>
          <w:szCs w:val="32"/>
        </w:rPr>
        <w:t>1、提升口岸建设和开放水平</w:t>
      </w:r>
      <w:bookmarkEnd w:id="78"/>
    </w:p>
    <w:p w14:paraId="1814F9D1">
      <w:pPr>
        <w:ind w:firstLine="643"/>
        <w:rPr>
          <w:rFonts w:hint="eastAsia"/>
          <w:color w:val="000000"/>
        </w:rPr>
      </w:pPr>
      <w:r>
        <w:rPr>
          <w:rFonts w:hint="eastAsia" w:cs="仿宋_GB2312"/>
          <w:b/>
          <w:bCs/>
          <w:color w:val="000000"/>
          <w:szCs w:val="32"/>
        </w:rPr>
        <w:t>提升航空口岸功能。</w:t>
      </w:r>
      <w:r>
        <w:rPr>
          <w:rFonts w:hint="eastAsia" w:cs="仿宋_GB2312"/>
          <w:color w:val="000000"/>
          <w:szCs w:val="32"/>
        </w:rPr>
        <w:t>依托贵州“一局四中心”开放平台、贵阳龙洞堡国际机场航空口岸及双龙临空现代物流产业园资源，</w:t>
      </w:r>
      <w:bookmarkStart w:id="79" w:name="_Hlk217921622"/>
      <w:r>
        <w:rPr>
          <w:rFonts w:hint="eastAsia" w:cs="仿宋_GB2312"/>
          <w:color w:val="000000"/>
          <w:szCs w:val="32"/>
        </w:rPr>
        <w:t>充分发挥贵阳空港型国家物流枢纽功能，做大做强进境水果、冰鲜水产品、食用水生动物以及植物种苗指定监管场地进口规模，支持双龙航空港经济区建设贵州国际空港物流集配中心。</w:t>
      </w:r>
      <w:r>
        <w:rPr>
          <w:rFonts w:hint="eastAsia"/>
          <w:color w:val="000000"/>
        </w:rPr>
        <w:t>加快保税物流中心运营，发展跨境电商、保税仓储、流通性简单加工、保税展示交易等业态。实现国际跨境中心投用，提升航空货运服务保障能力，完善跨境电商专用仓储、通关查验等基础设施配套。提升综合服务中心能力，鼓励货代、物流、报关等功能主体入驻，提升外贸综合服务能力。优化航空口岸通关流程，提升进出境人员通关体验。推动在贵阳龙洞堡国际机场航空口岸建设“一站式移民事务服务中心”，提升口岸综合保障能力。推动贵阳龙洞堡机场口岸进境免税店设立运营，扩大口岸出境免税店运营规模，提升旅客购物体验，促进入境消费。</w:t>
      </w:r>
    </w:p>
    <w:bookmarkEnd w:id="79"/>
    <w:p w14:paraId="7209C6C1">
      <w:pPr>
        <w:pStyle w:val="2"/>
        <w:ind w:firstLine="643"/>
        <w:rPr>
          <w:rFonts w:cs="仿宋_GB2312"/>
          <w:color w:val="000000"/>
          <w:szCs w:val="32"/>
        </w:rPr>
      </w:pPr>
      <w:r>
        <w:rPr>
          <w:rFonts w:hint="eastAsia"/>
          <w:b/>
          <w:bCs/>
          <w:color w:val="000000"/>
        </w:rPr>
        <w:t>提升国际陆港功能。</w:t>
      </w:r>
      <w:bookmarkStart w:id="80" w:name="_Hlk217921067"/>
      <w:r>
        <w:rPr>
          <w:color w:val="000000"/>
        </w:rPr>
        <w:t>支持贵阳国际陆港与广州港、深圳港、北部湾港、湛江港、洋浦港等沿海港口共建</w:t>
      </w:r>
      <w:r>
        <w:rPr>
          <w:rFonts w:hint="eastAsia" w:ascii="仿宋_GB2312"/>
          <w:color w:val="000000"/>
        </w:rPr>
        <w:t>“组合港”</w:t>
      </w:r>
      <w:r>
        <w:rPr>
          <w:color w:val="000000"/>
        </w:rPr>
        <w:t>，推行铁海联运快速通关模式。</w:t>
      </w:r>
      <w:bookmarkEnd w:id="80"/>
      <w:r>
        <w:rPr>
          <w:rFonts w:hint="eastAsia"/>
          <w:color w:val="000000"/>
        </w:rPr>
        <w:t>依托“组合港”通道优势，推动轮胎、汽车、电视等规模性外贸货源在贵阳国际陆港集货上量。</w:t>
      </w:r>
      <w:r>
        <w:rPr>
          <w:rFonts w:hint="eastAsia" w:cs="仿宋_GB2312"/>
          <w:color w:val="000000"/>
          <w:szCs w:val="32"/>
        </w:rPr>
        <w:t>探索实行海关延伸监管。</w:t>
      </w:r>
    </w:p>
    <w:p w14:paraId="36AED6B5">
      <w:pPr>
        <w:pStyle w:val="2"/>
        <w:ind w:firstLine="643"/>
        <w:rPr>
          <w:rFonts w:hint="eastAsia"/>
          <w:color w:val="000000"/>
        </w:rPr>
      </w:pPr>
      <w:r>
        <w:rPr>
          <w:rFonts w:hint="eastAsia" w:cs="仿宋_GB2312"/>
          <w:b/>
          <w:bCs/>
          <w:color w:val="000000"/>
          <w:szCs w:val="32"/>
        </w:rPr>
        <w:t>推进智慧口岸建设。</w:t>
      </w:r>
      <w:r>
        <w:rPr>
          <w:rFonts w:hint="eastAsia"/>
          <w:color w:val="000000"/>
        </w:rPr>
        <w:t>以国际贸易“单一窗口”为基础，筑牢数字基础底座，推动智慧口岸与智慧海关、智慧边检等深度融合衔接，实现查验结果共享、跨省通关联动，打造一体化监管体系。优化升级口岸查验、卡口等设施设备。优化公共服务，推动“单一窗口”政务服务全程网办，健全协同机制与标准体系，完善运维、网络安全保障。</w:t>
      </w:r>
    </w:p>
    <w:p w14:paraId="14D90CA6">
      <w:pPr>
        <w:overflowPunct w:val="0"/>
        <w:spacing w:before="120" w:after="120"/>
        <w:ind w:firstLine="640"/>
        <w:outlineLvl w:val="2"/>
        <w:rPr>
          <w:color w:val="000000"/>
          <w:szCs w:val="32"/>
        </w:rPr>
      </w:pPr>
      <w:bookmarkStart w:id="81" w:name="_Toc229673070"/>
      <w:r>
        <w:rPr>
          <w:rFonts w:hint="eastAsia"/>
          <w:color w:val="000000"/>
          <w:szCs w:val="32"/>
        </w:rPr>
        <w:t>2、打造综保区开放主引擎</w:t>
      </w:r>
      <w:bookmarkEnd w:id="81"/>
    </w:p>
    <w:p w14:paraId="2120C181">
      <w:pPr>
        <w:pStyle w:val="2"/>
        <w:ind w:firstLine="643"/>
        <w:rPr>
          <w:rFonts w:ascii="仿宋_GB2312" w:hAnsi="仿宋_GB2312" w:cs="仿宋_GB2312"/>
          <w:color w:val="000000"/>
          <w:szCs w:val="32"/>
        </w:rPr>
      </w:pPr>
      <w:r>
        <w:rPr>
          <w:rFonts w:hint="eastAsia" w:ascii="仿宋_GB2312" w:hAnsi="仿宋_GB2312" w:cs="仿宋_GB2312"/>
          <w:b/>
          <w:bCs/>
          <w:color w:val="000000"/>
          <w:szCs w:val="32"/>
        </w:rPr>
        <w:t>做强贵阳综保区。</w:t>
      </w:r>
      <w:r>
        <w:rPr>
          <w:rFonts w:hint="eastAsia" w:ascii="仿宋_GB2312" w:hAnsi="仿宋_GB2312" w:cs="仿宋_GB2312"/>
          <w:color w:val="000000"/>
          <w:szCs w:val="32"/>
        </w:rPr>
        <w:t>推动贵阳综保区向功能多元化、产业高端化、贸易便利化、管理协同化转型升级，大力发展保税加工、保税物流、保税维修再制造等“保税+”产业，做强保税业务总量、推动保税业态创新突破，打造“保税+”产业创新发展示范区。建强贵阳综保区国家加工贸易产业园，围绕电子信息制造、先进装备制造、生态食品等产业，做大加工贸易规模。</w:t>
      </w:r>
      <w:bookmarkStart w:id="82" w:name="_Hlk217920626"/>
      <w:r>
        <w:rPr>
          <w:rFonts w:hint="eastAsia" w:ascii="仿宋_GB2312" w:hAnsi="仿宋_GB2312" w:cs="仿宋_GB2312"/>
          <w:color w:val="000000"/>
          <w:szCs w:val="32"/>
        </w:rPr>
        <w:t>推进国家进口贸易促进创新示范区建设</w:t>
      </w:r>
      <w:bookmarkEnd w:id="82"/>
      <w:r>
        <w:rPr>
          <w:rFonts w:hint="eastAsia" w:ascii="仿宋_GB2312" w:hAnsi="仿宋_GB2312" w:cs="仿宋_GB2312"/>
          <w:color w:val="000000"/>
          <w:szCs w:val="32"/>
        </w:rPr>
        <w:t>，支持国有企业做强大宗商品进口贸易示范平台，重点扩大矿产、橡胶、白糖等商品进口，积极拓展高端消费品、先进技术装备等多元化进口，着力扩大进口贸易。支持物流、供应链、报关、货代等企业集聚，</w:t>
      </w:r>
      <w:bookmarkStart w:id="83" w:name="_Hlk217920645"/>
      <w:r>
        <w:rPr>
          <w:rFonts w:hint="eastAsia" w:ascii="仿宋_GB2312" w:hAnsi="仿宋_GB2312" w:cs="仿宋_GB2312"/>
          <w:color w:val="000000"/>
          <w:szCs w:val="32"/>
        </w:rPr>
        <w:t>深入落实“区地联动”外贸工作协同机制，提升对全市乃至全省企业的外贸综合服务能力。</w:t>
      </w:r>
    </w:p>
    <w:bookmarkEnd w:id="83"/>
    <w:p w14:paraId="38039BDD">
      <w:pPr>
        <w:overflowPunct w:val="0"/>
        <w:spacing w:before="120" w:after="120"/>
        <w:ind w:firstLine="640"/>
        <w:outlineLvl w:val="2"/>
        <w:rPr>
          <w:color w:val="000000"/>
          <w:szCs w:val="32"/>
        </w:rPr>
      </w:pPr>
      <w:bookmarkStart w:id="84" w:name="_Toc229673071"/>
      <w:r>
        <w:rPr>
          <w:rFonts w:hint="eastAsia"/>
          <w:color w:val="000000"/>
          <w:szCs w:val="32"/>
        </w:rPr>
        <w:t>3、发挥开发区开放引领作用</w:t>
      </w:r>
      <w:bookmarkEnd w:id="84"/>
    </w:p>
    <w:p w14:paraId="0A3D7035">
      <w:pPr>
        <w:pStyle w:val="2"/>
        <w:ind w:firstLine="643"/>
        <w:rPr>
          <w:color w:val="000000"/>
        </w:rPr>
      </w:pPr>
      <w:r>
        <w:rPr>
          <w:rFonts w:hint="eastAsia"/>
          <w:b/>
          <w:bCs/>
          <w:color w:val="000000"/>
        </w:rPr>
        <w:t>做强双龙航空港经济区</w:t>
      </w:r>
      <w:r>
        <w:rPr>
          <w:rFonts w:hint="eastAsia"/>
          <w:color w:val="000000"/>
        </w:rPr>
        <w:t>。聚焦电子信息制造、先进装备制造业、生态食品等产业领域招引一批龙头企业，打造特色临空产业集群。完善跨境电商产业生态，推动跨境电商集聚化、规模化发展。引导电子信息制造、航空装备以及特色农产品等具有高附加值、高时效性要求产品出口，推动中高端消费品、高附加值生鲜等产品进口，做大做强</w:t>
      </w:r>
      <w:bookmarkStart w:id="85" w:name="_Hlk217920530"/>
      <w:r>
        <w:rPr>
          <w:rFonts w:hint="eastAsia"/>
          <w:color w:val="000000"/>
        </w:rPr>
        <w:t>航空偏好型产品</w:t>
      </w:r>
      <w:bookmarkEnd w:id="85"/>
      <w:r>
        <w:rPr>
          <w:rFonts w:hint="eastAsia"/>
          <w:color w:val="000000"/>
        </w:rPr>
        <w:t>规模。推动</w:t>
      </w:r>
      <w:r>
        <w:rPr>
          <w:rFonts w:hint="eastAsia" w:cs="仿宋_GB2312"/>
          <w:color w:val="000000"/>
          <w:szCs w:val="32"/>
        </w:rPr>
        <w:t>贵阳空港型国家物流枢纽建设，</w:t>
      </w:r>
      <w:bookmarkStart w:id="86" w:name="_Hlk217920469"/>
      <w:r>
        <w:rPr>
          <w:rFonts w:hint="eastAsia"/>
          <w:color w:val="000000"/>
        </w:rPr>
        <w:t>打造贵州国际空港物流集配中心</w:t>
      </w:r>
      <w:bookmarkEnd w:id="86"/>
      <w:r>
        <w:rPr>
          <w:rFonts w:hint="eastAsia"/>
          <w:color w:val="000000"/>
        </w:rPr>
        <w:t>，提升国际物流服务能力。</w:t>
      </w:r>
    </w:p>
    <w:p w14:paraId="08DC698D">
      <w:pPr>
        <w:pStyle w:val="2"/>
        <w:ind w:firstLine="643"/>
        <w:rPr>
          <w:color w:val="000000"/>
        </w:rPr>
      </w:pPr>
      <w:r>
        <w:rPr>
          <w:rFonts w:hint="eastAsia"/>
          <w:b/>
          <w:bCs/>
          <w:color w:val="000000"/>
        </w:rPr>
        <w:t>做强贵阳高新区。</w:t>
      </w:r>
      <w:r>
        <w:rPr>
          <w:rFonts w:hint="eastAsia"/>
          <w:color w:val="000000"/>
        </w:rPr>
        <w:t>加快建设航空航天国家外贸转型升级基地，围绕先进装备制造、电子信息制造、新能源、软件和信息服务“两主一特一软”产业，重点培育航空发动机零部件、新能源汽车零部件、电子信息制造、新材料等生产型外贸企业；壮大工程设计、软件研发、信息技术等服务外包规模，引进出海短剧、音乐、游戏等数字内容出口企业落地，丰富服务贸易类型；加强高技术产业领域外资企业招引力度。</w:t>
      </w:r>
    </w:p>
    <w:p w14:paraId="3EE0050E">
      <w:pPr>
        <w:pStyle w:val="2"/>
        <w:ind w:firstLine="643"/>
        <w:rPr>
          <w:color w:val="000000"/>
        </w:rPr>
      </w:pPr>
      <w:r>
        <w:rPr>
          <w:rFonts w:hint="eastAsia"/>
          <w:b/>
          <w:bCs/>
          <w:color w:val="000000"/>
        </w:rPr>
        <w:t>做强贵阳经开区。</w:t>
      </w:r>
      <w:r>
        <w:rPr>
          <w:rFonts w:hint="eastAsia"/>
          <w:color w:val="000000"/>
        </w:rPr>
        <w:t>加快建设装备制造国家外贸转型升级基地，围绕</w:t>
      </w:r>
      <w:r>
        <w:rPr>
          <w:color w:val="000000"/>
        </w:rPr>
        <w:t>电子信息制造、先进装备制造</w:t>
      </w:r>
      <w:r>
        <w:rPr>
          <w:rFonts w:hint="eastAsia"/>
          <w:color w:val="000000"/>
        </w:rPr>
        <w:t>、新能源汽车“两主一特”产业，重点培育航空航天、工程机械、智能终端、新能源汽车及零部件等生产型外贸企业，加强重点产品、潜力产品出口，持续提升外贸规模；大力发展数据服务、软件研发服务、信息技术服务等，推动服务贸易创新发展；强化外资企业引进。</w:t>
      </w:r>
    </w:p>
    <w:p w14:paraId="78AAF8E2">
      <w:pPr>
        <w:overflowPunct w:val="0"/>
        <w:spacing w:before="120" w:after="120"/>
        <w:ind w:firstLine="640"/>
        <w:outlineLvl w:val="2"/>
        <w:rPr>
          <w:color w:val="000000"/>
          <w:szCs w:val="32"/>
        </w:rPr>
      </w:pPr>
      <w:bookmarkStart w:id="87" w:name="_Toc229673072"/>
      <w:r>
        <w:rPr>
          <w:rFonts w:hint="eastAsia"/>
          <w:color w:val="000000"/>
          <w:szCs w:val="32"/>
        </w:rPr>
        <w:t>4、积极申建自由贸易试验区</w:t>
      </w:r>
      <w:bookmarkEnd w:id="87"/>
    </w:p>
    <w:p w14:paraId="4D937455">
      <w:pPr>
        <w:pStyle w:val="2"/>
        <w:ind w:firstLine="640"/>
        <w:rPr>
          <w:color w:val="000000"/>
        </w:rPr>
      </w:pPr>
      <w:r>
        <w:rPr>
          <w:rFonts w:hint="eastAsia"/>
          <w:color w:val="000000"/>
        </w:rPr>
        <w:t>复制推广自贸区试点经验和政策，</w:t>
      </w:r>
      <w:bookmarkStart w:id="88" w:name="_Hlk217919539"/>
      <w:r>
        <w:rPr>
          <w:rFonts w:hint="eastAsia"/>
          <w:color w:val="000000"/>
        </w:rPr>
        <w:t>配合推动中国（贵州）自由贸易试验区申建。</w:t>
      </w:r>
      <w:bookmarkEnd w:id="88"/>
      <w:r>
        <w:rPr>
          <w:rFonts w:hint="eastAsia"/>
          <w:color w:val="000000"/>
        </w:rPr>
        <w:t>将贵阳综保区作为全省自贸区布局中贵阳片区核心，支持贵阳综保区“先行先试、复制推广”自贸区经验，全面推进通关便利化、投资自由化、金融服务创新、监管创新等制度型开放。</w:t>
      </w:r>
    </w:p>
    <w:p w14:paraId="6BBB7D92">
      <w:pPr>
        <w:spacing w:before="260" w:after="260"/>
        <w:ind w:firstLine="640"/>
        <w:outlineLvl w:val="1"/>
        <w:rPr>
          <w:rFonts w:eastAsia="楷体" w:cs="楷体"/>
          <w:color w:val="000000"/>
          <w:szCs w:val="32"/>
        </w:rPr>
      </w:pPr>
      <w:bookmarkStart w:id="89" w:name="_Toc229673073"/>
      <w:r>
        <w:rPr>
          <w:rFonts w:hint="eastAsia" w:eastAsia="楷体" w:cs="楷体"/>
          <w:color w:val="000000"/>
          <w:szCs w:val="32"/>
        </w:rPr>
        <w:t>（四）壮大开放主体</w:t>
      </w:r>
      <w:bookmarkEnd w:id="89"/>
    </w:p>
    <w:p w14:paraId="03C85344">
      <w:pPr>
        <w:overflowPunct w:val="0"/>
        <w:spacing w:before="120" w:after="120"/>
        <w:ind w:firstLine="640"/>
        <w:outlineLvl w:val="2"/>
        <w:rPr>
          <w:color w:val="000000"/>
          <w:szCs w:val="32"/>
        </w:rPr>
      </w:pPr>
      <w:bookmarkStart w:id="90" w:name="_Toc229673074"/>
      <w:r>
        <w:rPr>
          <w:rFonts w:hint="eastAsia"/>
          <w:color w:val="000000"/>
          <w:szCs w:val="32"/>
        </w:rPr>
        <w:t>1、加快外贸主体增量提质</w:t>
      </w:r>
      <w:bookmarkEnd w:id="90"/>
    </w:p>
    <w:p w14:paraId="58482919">
      <w:pPr>
        <w:pStyle w:val="2"/>
        <w:ind w:firstLine="643"/>
        <w:rPr>
          <w:color w:val="000000"/>
        </w:rPr>
      </w:pPr>
      <w:r>
        <w:rPr>
          <w:rFonts w:hint="eastAsia"/>
          <w:b/>
          <w:bCs/>
          <w:color w:val="000000"/>
        </w:rPr>
        <w:t>培育壮大货物贸易市场主体。</w:t>
      </w:r>
      <w:bookmarkStart w:id="91" w:name="_Hlk217919480"/>
      <w:r>
        <w:rPr>
          <w:rFonts w:hint="eastAsia"/>
          <w:color w:val="000000"/>
        </w:rPr>
        <w:t>推动市场多元化和内外贸一体化，</w:t>
      </w:r>
      <w:bookmarkEnd w:id="91"/>
      <w:r>
        <w:rPr>
          <w:rFonts w:hint="eastAsia"/>
          <w:color w:val="000000"/>
        </w:rPr>
        <w:t>开展“外贸+产业”系列专项行动，构建“抓大、扶中、育小”外贸主体梯次培育机制。加强工贸联动，聚焦六大产业集群，建立“内转外”重点企业培育库，支持规上工业企业、高新技术企业、中小微制造企业拓展国际市场</w:t>
      </w:r>
      <w:r>
        <w:rPr>
          <w:color w:val="000000"/>
        </w:rPr>
        <w:t>，</w:t>
      </w:r>
      <w:r>
        <w:rPr>
          <w:rFonts w:hint="eastAsia"/>
          <w:color w:val="000000"/>
        </w:rPr>
        <w:t>形成</w:t>
      </w:r>
      <w:r>
        <w:rPr>
          <w:color w:val="000000"/>
        </w:rPr>
        <w:t>外贸</w:t>
      </w:r>
      <w:r>
        <w:rPr>
          <w:rFonts w:hint="eastAsia"/>
          <w:color w:val="000000"/>
        </w:rPr>
        <w:t>增量</w:t>
      </w:r>
      <w:r>
        <w:rPr>
          <w:color w:val="000000"/>
        </w:rPr>
        <w:t>。</w:t>
      </w:r>
      <w:r>
        <w:rPr>
          <w:rFonts w:hint="eastAsia"/>
          <w:color w:val="000000"/>
        </w:rPr>
        <w:t>围绕粤港澳大湾区、长三角地区等，聚焦加工贸易、大宗贸易、跨境电商等领域，开展外贸主体招引。引导外贸优势产业企业加快外贸单品研发生产，支持生产企业用好跨境电商平台，向工贸一体化转型。依托外贸综合服务平台为中小外贸企业提供营销、通关、境外参展、融资、知识产权、物流等“全链条”服务。</w:t>
      </w:r>
    </w:p>
    <w:p w14:paraId="18E30ED1">
      <w:pPr>
        <w:pStyle w:val="2"/>
        <w:ind w:firstLine="643"/>
        <w:rPr>
          <w:rFonts w:hint="eastAsia"/>
          <w:color w:val="000000"/>
        </w:rPr>
      </w:pPr>
      <w:r>
        <w:rPr>
          <w:rFonts w:hint="eastAsia"/>
          <w:b/>
          <w:bCs/>
          <w:color w:val="000000"/>
        </w:rPr>
        <w:t>培育壮大服务贸易市场主体。</w:t>
      </w:r>
      <w:r>
        <w:rPr>
          <w:color w:val="000000"/>
        </w:rPr>
        <w:t>深挖服务业潜力，</w:t>
      </w:r>
      <w:r>
        <w:rPr>
          <w:rFonts w:hint="eastAsia" w:ascii="仿宋_GB2312"/>
          <w:color w:val="000000"/>
        </w:rPr>
        <w:t>开展“出口破冰”</w:t>
      </w:r>
      <w:r>
        <w:rPr>
          <w:color w:val="000000"/>
        </w:rPr>
        <w:t>。聚焦贵阳服务业百强企业，推动服务出口；聚焦贵阳货物出口百强企业，推动服务出口剥离；聚焦贵阳软件和信息服务百强企业，推动开展离岸服务外包业务。大力开展专业化园区招商，瞄准在规模、能力、品牌、模式等维度优质的服务贸易产业园区运营商，带动招引集电子商务、互联网服务、支付结算于一体的互联网头部企业。积极探索实践</w:t>
      </w:r>
      <w:r>
        <w:rPr>
          <w:rFonts w:hint="eastAsia" w:ascii="仿宋_GB2312"/>
          <w:color w:val="000000"/>
        </w:rPr>
        <w:t>“政策吸引结算，交付逐步转移”模式，招引一批以企业结算、交付业务为核心的服务贸易企业贵阳结算交付中心落地，推动服务贸易产业交易额“增量”汇集。</w:t>
      </w:r>
    </w:p>
    <w:p w14:paraId="01767AF8">
      <w:pPr>
        <w:overflowPunct w:val="0"/>
        <w:spacing w:before="120" w:after="120"/>
        <w:ind w:firstLine="640"/>
        <w:outlineLvl w:val="2"/>
        <w:rPr>
          <w:color w:val="000000"/>
          <w:szCs w:val="32"/>
        </w:rPr>
      </w:pPr>
      <w:bookmarkStart w:id="92" w:name="_Toc229673075"/>
      <w:r>
        <w:rPr>
          <w:rFonts w:hint="eastAsia"/>
          <w:color w:val="000000"/>
          <w:szCs w:val="32"/>
        </w:rPr>
        <w:t>2、突出重点领域外资招引</w:t>
      </w:r>
      <w:bookmarkEnd w:id="92"/>
    </w:p>
    <w:p w14:paraId="5E93546B">
      <w:pPr>
        <w:pStyle w:val="2"/>
        <w:ind w:firstLine="643"/>
        <w:rPr>
          <w:color w:val="000000"/>
        </w:rPr>
      </w:pPr>
      <w:r>
        <w:rPr>
          <w:rFonts w:hint="eastAsia"/>
          <w:b/>
          <w:bCs/>
          <w:color w:val="000000"/>
        </w:rPr>
        <w:t>扩大外资准入领域。</w:t>
      </w:r>
      <w:r>
        <w:rPr>
          <w:rFonts w:hint="eastAsia"/>
          <w:color w:val="000000"/>
        </w:rPr>
        <w:t>落实“准入又准营”和外资准入负面清单，推动中高端制造、商贸服务、现代农业、教育、医疗等领域外资利用，引导外资投向“六大产业集群”，优化外资结构。探索外资投资新领域，全面落实《</w:t>
      </w:r>
      <w:r>
        <w:rPr>
          <w:color w:val="000000"/>
        </w:rPr>
        <w:t>外商投资准入特别管理措施</w:t>
      </w:r>
      <w:r>
        <w:rPr>
          <w:rFonts w:hint="eastAsia"/>
          <w:color w:val="000000"/>
        </w:rPr>
        <w:t>（</w:t>
      </w:r>
      <w:r>
        <w:rPr>
          <w:color w:val="000000"/>
        </w:rPr>
        <w:t>负面清单</w:t>
      </w:r>
      <w:r>
        <w:rPr>
          <w:rFonts w:hint="eastAsia"/>
          <w:color w:val="000000"/>
        </w:rPr>
        <w:t>）》，按照《鼓励外商投资产业目录》，围绕电信、医疗、教育、文化等领域吸引外资，推动贸易投资一体化。</w:t>
      </w:r>
    </w:p>
    <w:p w14:paraId="3D7F372C">
      <w:pPr>
        <w:pStyle w:val="2"/>
        <w:ind w:firstLine="643"/>
        <w:rPr>
          <w:rFonts w:hint="eastAsia"/>
          <w:color w:val="000000"/>
        </w:rPr>
      </w:pPr>
      <w:r>
        <w:rPr>
          <w:rFonts w:hint="eastAsia"/>
          <w:b/>
          <w:bCs/>
          <w:color w:val="000000"/>
        </w:rPr>
        <w:t>创新外资招引方式。</w:t>
      </w:r>
      <w:r>
        <w:rPr>
          <w:rFonts w:hint="eastAsia"/>
          <w:color w:val="000000"/>
        </w:rPr>
        <w:t>实施外资招引“六大工程”，建立内外资一体化招商机制，通过境外招商、展会招商、“请进来”招商、中介招商、驻外机构招商等，持续丰富外资招引方式，稳定外资规模。推进港澳投资者扩大在筑投资，拓展东南亚、中东等地区外商投资。组织开展经贸活动，借助</w:t>
      </w:r>
      <w:r>
        <w:rPr>
          <w:color w:val="000000"/>
        </w:rPr>
        <w:t>国际</w:t>
      </w:r>
      <w:r>
        <w:rPr>
          <w:rFonts w:hint="eastAsia"/>
          <w:color w:val="000000"/>
        </w:rPr>
        <w:t>性</w:t>
      </w:r>
      <w:r>
        <w:rPr>
          <w:color w:val="000000"/>
        </w:rPr>
        <w:t>高层次对外经贸合作平台</w:t>
      </w:r>
      <w:r>
        <w:rPr>
          <w:rFonts w:hint="eastAsia"/>
          <w:color w:val="000000"/>
        </w:rPr>
        <w:t>，</w:t>
      </w:r>
      <w:r>
        <w:rPr>
          <w:color w:val="000000"/>
        </w:rPr>
        <w:t>搭建外资招引</w:t>
      </w:r>
      <w:r>
        <w:rPr>
          <w:rFonts w:hint="eastAsia"/>
          <w:color w:val="000000"/>
        </w:rPr>
        <w:t>信息交流渠道</w:t>
      </w:r>
      <w:r>
        <w:rPr>
          <w:color w:val="000000"/>
        </w:rPr>
        <w:t>，促成外资项目落地。</w:t>
      </w:r>
    </w:p>
    <w:p w14:paraId="03C68C18">
      <w:pPr>
        <w:pStyle w:val="2"/>
        <w:ind w:firstLine="643"/>
        <w:rPr>
          <w:color w:val="000000"/>
        </w:rPr>
      </w:pPr>
      <w:r>
        <w:rPr>
          <w:rFonts w:hint="eastAsia"/>
          <w:b/>
          <w:bCs/>
          <w:color w:val="000000"/>
        </w:rPr>
        <w:t>做强利用外资平台。</w:t>
      </w:r>
      <w:r>
        <w:rPr>
          <w:rFonts w:hint="eastAsia"/>
          <w:color w:val="000000"/>
        </w:rPr>
        <w:t>发挥开发区吸引和利用外资的主力军作用，支持“4+10”平台引进总部经济和优质项目，做好东中部地区外资产业转移承接工作，提升利用外资质量。用好省、市支持开发区开放型经济发展的政策，积极推荐省级开发区申报全省开放型经济示范区。对外向型经济优势明显的开发区，推荐成为国家级开发区培育对象。</w:t>
      </w:r>
    </w:p>
    <w:p w14:paraId="085813B9">
      <w:pPr>
        <w:pStyle w:val="2"/>
        <w:ind w:firstLine="643"/>
        <w:rPr>
          <w:color w:val="000000"/>
        </w:rPr>
      </w:pPr>
      <w:r>
        <w:rPr>
          <w:rFonts w:hint="eastAsia"/>
          <w:b/>
          <w:bCs/>
          <w:color w:val="000000"/>
        </w:rPr>
        <w:t>做好外资企业服务。</w:t>
      </w:r>
      <w:r>
        <w:rPr>
          <w:rFonts w:hint="eastAsia"/>
          <w:color w:val="000000"/>
        </w:rPr>
        <w:t>保障外商投资平等适用我市支持企业发展的各项政策，在政府资金安排、土地供应、税费减免、资质许可、政府采购、标准制定和人力资源政策等方面依法享受同等待遇，提高服务外资水平。充分发挥外资企业圆桌会议、外商投资企业联系服务机制作用，用好“贵商易”“招商易”等服务平台，优化外商投资服务体系。</w:t>
      </w:r>
    </w:p>
    <w:p w14:paraId="6F977885">
      <w:pPr>
        <w:overflowPunct w:val="0"/>
        <w:spacing w:before="120" w:after="120"/>
        <w:ind w:firstLine="640"/>
        <w:outlineLvl w:val="2"/>
        <w:rPr>
          <w:color w:val="000000"/>
          <w:szCs w:val="32"/>
        </w:rPr>
      </w:pPr>
      <w:bookmarkStart w:id="93" w:name="_Toc229673076"/>
      <w:r>
        <w:rPr>
          <w:rFonts w:hint="eastAsia"/>
          <w:color w:val="000000"/>
          <w:szCs w:val="32"/>
        </w:rPr>
        <w:t>3、引导支持企业“走出去”</w:t>
      </w:r>
      <w:bookmarkEnd w:id="93"/>
    </w:p>
    <w:p w14:paraId="617BD39C">
      <w:pPr>
        <w:pStyle w:val="2"/>
        <w:ind w:firstLine="643"/>
        <w:rPr>
          <w:color w:val="000000"/>
        </w:rPr>
      </w:pPr>
      <w:r>
        <w:rPr>
          <w:rFonts w:hint="eastAsia"/>
          <w:b/>
          <w:bCs/>
          <w:color w:val="000000"/>
        </w:rPr>
        <w:t>扩大对外投资规模。</w:t>
      </w:r>
      <w:r>
        <w:rPr>
          <w:rFonts w:hint="eastAsia"/>
          <w:color w:val="000000"/>
        </w:rPr>
        <w:t>有效实施对外投资管理，推动大数据、建筑设计、工程建设、制造等领域外经企业规模化、品牌化发展。支持企业通过海外并购、海外绿地投资、援外合作、抱团出海等方式开展对外投资合作，支持在海外布局建设一批研发中心、生产基地、营销网络、仓储设施等。</w:t>
      </w:r>
      <w:r>
        <w:rPr>
          <w:color w:val="000000"/>
        </w:rPr>
        <w:t>聚焦</w:t>
      </w:r>
      <w:r>
        <w:rPr>
          <w:rFonts w:hint="eastAsia"/>
          <w:color w:val="000000"/>
        </w:rPr>
        <w:t>先进装备制造、</w:t>
      </w:r>
      <w:r>
        <w:rPr>
          <w:color w:val="000000"/>
        </w:rPr>
        <w:t>新能源等优势产业，鼓励企业通过合资、参股、并购等多元化方式建立海外资源保供基地。</w:t>
      </w:r>
      <w:r>
        <w:rPr>
          <w:rFonts w:hint="eastAsia"/>
          <w:color w:val="000000"/>
        </w:rPr>
        <w:t>依托海外项目等产能布局，支持企业通过带料加工等方式带动中间品、设备等出口，推广“境内采购+境外生产+全球销售”模式。</w:t>
      </w:r>
    </w:p>
    <w:p w14:paraId="29C394ED">
      <w:pPr>
        <w:pStyle w:val="2"/>
        <w:ind w:firstLine="643"/>
        <w:rPr>
          <w:color w:val="000000"/>
        </w:rPr>
      </w:pPr>
      <w:r>
        <w:rPr>
          <w:rFonts w:hint="eastAsia"/>
          <w:b/>
          <w:bCs/>
          <w:color w:val="000000"/>
        </w:rPr>
        <w:t>推动对外工程承包转型升级。</w:t>
      </w:r>
      <w:r>
        <w:rPr>
          <w:color w:val="000000"/>
        </w:rPr>
        <w:t>积极借助央企资源，对接国际需求，</w:t>
      </w:r>
      <w:r>
        <w:rPr>
          <w:rFonts w:hint="eastAsia"/>
          <w:color w:val="000000"/>
        </w:rPr>
        <w:t>鼓励发展道路桥梁、电力设施、矿产开发</w:t>
      </w:r>
      <w:r>
        <w:rPr>
          <w:color w:val="000000"/>
        </w:rPr>
        <w:t>等</w:t>
      </w:r>
      <w:r>
        <w:rPr>
          <w:rFonts w:hint="eastAsia"/>
          <w:color w:val="000000"/>
        </w:rPr>
        <w:t>对外</w:t>
      </w:r>
      <w:r>
        <w:rPr>
          <w:color w:val="000000"/>
        </w:rPr>
        <w:t>工程承包</w:t>
      </w:r>
      <w:r>
        <w:rPr>
          <w:rFonts w:hint="eastAsia"/>
          <w:color w:val="000000"/>
        </w:rPr>
        <w:t>，</w:t>
      </w:r>
      <w:r>
        <w:rPr>
          <w:color w:val="000000"/>
        </w:rPr>
        <w:t>支持企业由分包向</w:t>
      </w:r>
      <w:r>
        <w:rPr>
          <w:rFonts w:hint="eastAsia" w:ascii="仿宋_GB2312"/>
          <w:color w:val="000000"/>
        </w:rPr>
        <w:t>“投建营一体化”</w:t>
      </w:r>
      <w:r>
        <w:rPr>
          <w:color w:val="000000"/>
        </w:rPr>
        <w:t>及EPC总承包转型</w:t>
      </w:r>
      <w:r>
        <w:rPr>
          <w:rFonts w:hint="eastAsia"/>
          <w:color w:val="000000"/>
        </w:rPr>
        <w:t>。</w:t>
      </w:r>
      <w:r>
        <w:rPr>
          <w:color w:val="000000"/>
        </w:rPr>
        <w:t>以交通基建为龙头推动设计、施工、运营企业抱团出海，带动勘察设计、技术咨询等</w:t>
      </w:r>
      <w:r>
        <w:rPr>
          <w:rFonts w:hint="eastAsia"/>
          <w:color w:val="000000"/>
        </w:rPr>
        <w:t>服务</w:t>
      </w:r>
      <w:r>
        <w:rPr>
          <w:rFonts w:hint="eastAsia" w:ascii="仿宋_GB2312"/>
          <w:color w:val="000000"/>
        </w:rPr>
        <w:t>“走出去”</w:t>
      </w:r>
      <w:r>
        <w:rPr>
          <w:color w:val="000000"/>
        </w:rPr>
        <w:t>。</w:t>
      </w:r>
    </w:p>
    <w:p w14:paraId="36AB1ED5">
      <w:pPr>
        <w:overflowPunct w:val="0"/>
        <w:spacing w:before="120" w:after="120"/>
        <w:ind w:firstLine="640"/>
        <w:outlineLvl w:val="2"/>
        <w:rPr>
          <w:color w:val="000000"/>
          <w:szCs w:val="32"/>
        </w:rPr>
      </w:pPr>
      <w:bookmarkStart w:id="94" w:name="_Toc229673077"/>
      <w:r>
        <w:rPr>
          <w:rFonts w:hint="eastAsia"/>
          <w:color w:val="000000"/>
          <w:szCs w:val="32"/>
        </w:rPr>
        <w:t>4、培育内贸外一体化主体</w:t>
      </w:r>
      <w:bookmarkEnd w:id="94"/>
    </w:p>
    <w:p w14:paraId="182002C5">
      <w:pPr>
        <w:pStyle w:val="2"/>
        <w:ind w:firstLine="640"/>
        <w:rPr>
          <w:rFonts w:hint="eastAsia"/>
          <w:color w:val="000000"/>
        </w:rPr>
      </w:pPr>
      <w:r>
        <w:rPr>
          <w:color w:val="000000"/>
        </w:rPr>
        <w:t>支持企业统筹国内国际两个市场，</w:t>
      </w:r>
      <w:r>
        <w:rPr>
          <w:bCs/>
          <w:color w:val="000000"/>
        </w:rPr>
        <w:t>对传统外贸企业，提供国内渠道对接、品牌培育、营销培训等服务，助力适配国内电商、线下零售的运营规则。对有潜力的内贸企业，提供海外合规、跨境电商、海外仓资源对接服务，支持拓展国际市场。培育一体化龙头企业，支持有实力的企业搭建双向供应链平台，整合上下游资源，带动中小微企业同步拓展两个市场。</w:t>
      </w:r>
      <w:r>
        <w:rPr>
          <w:rFonts w:hint="eastAsia"/>
          <w:bCs/>
          <w:color w:val="000000"/>
        </w:rPr>
        <w:t>鼓励企业对标国际先进标准，</w:t>
      </w:r>
      <w:r>
        <w:rPr>
          <w:rFonts w:hint="eastAsia"/>
          <w:color w:val="000000"/>
        </w:rPr>
        <w:t>发展“同线同标同质”产品。以乡村外贸为抓手，培育更多出口适销产品。在商品交易市场开设“外贸优品”内销专区，鼓励企业参加“外贸优品中华行”，促进内外贸共同发展。</w:t>
      </w:r>
    </w:p>
    <w:p w14:paraId="61B66115">
      <w:pPr>
        <w:spacing w:before="260" w:after="260"/>
        <w:ind w:firstLine="640"/>
        <w:outlineLvl w:val="1"/>
        <w:rPr>
          <w:rFonts w:eastAsia="楷体" w:cs="楷体"/>
          <w:color w:val="000000"/>
          <w:szCs w:val="32"/>
        </w:rPr>
      </w:pPr>
      <w:bookmarkStart w:id="95" w:name="_Toc229673078"/>
      <w:r>
        <w:rPr>
          <w:rFonts w:hint="eastAsia" w:eastAsia="楷体" w:cs="楷体"/>
          <w:color w:val="000000"/>
          <w:szCs w:val="32"/>
        </w:rPr>
        <w:t>（五）培育开放业态</w:t>
      </w:r>
      <w:bookmarkEnd w:id="95"/>
    </w:p>
    <w:p w14:paraId="2761F5DA">
      <w:pPr>
        <w:overflowPunct w:val="0"/>
        <w:spacing w:before="120" w:after="120"/>
        <w:ind w:firstLine="640"/>
        <w:outlineLvl w:val="2"/>
        <w:rPr>
          <w:color w:val="000000"/>
          <w:szCs w:val="32"/>
        </w:rPr>
      </w:pPr>
      <w:bookmarkStart w:id="96" w:name="_Toc229673079"/>
      <w:r>
        <w:rPr>
          <w:rFonts w:hint="eastAsia"/>
          <w:color w:val="000000"/>
          <w:szCs w:val="32"/>
        </w:rPr>
        <w:t>1、优化升级货物贸易</w:t>
      </w:r>
      <w:bookmarkEnd w:id="96"/>
    </w:p>
    <w:p w14:paraId="5D718D38">
      <w:pPr>
        <w:pStyle w:val="2"/>
        <w:ind w:firstLine="643"/>
        <w:rPr>
          <w:color w:val="000000"/>
        </w:rPr>
      </w:pPr>
      <w:r>
        <w:rPr>
          <w:rFonts w:hint="eastAsia"/>
          <w:b/>
          <w:bCs/>
          <w:color w:val="000000"/>
        </w:rPr>
        <w:t>培育出口竞争优势。</w:t>
      </w:r>
      <w:r>
        <w:rPr>
          <w:rFonts w:hint="eastAsia"/>
          <w:color w:val="000000"/>
        </w:rPr>
        <w:t>强化六大产业集群集聚创新发展对外贸的支撑作用，优化出口产品结构，健全产业与外贸联动互促机制。提高</w:t>
      </w:r>
      <w:r>
        <w:rPr>
          <w:color w:val="000000"/>
        </w:rPr>
        <w:t>磷化工、</w:t>
      </w:r>
      <w:r>
        <w:rPr>
          <w:rFonts w:hint="eastAsia"/>
          <w:color w:val="000000"/>
        </w:rPr>
        <w:t>生态</w:t>
      </w:r>
      <w:r>
        <w:rPr>
          <w:color w:val="000000"/>
        </w:rPr>
        <w:t>食品、</w:t>
      </w:r>
      <w:r>
        <w:rPr>
          <w:rFonts w:hint="eastAsia"/>
          <w:color w:val="000000"/>
        </w:rPr>
        <w:t>轮胎、</w:t>
      </w:r>
      <w:r>
        <w:rPr>
          <w:color w:val="000000"/>
        </w:rPr>
        <w:t>铝型材</w:t>
      </w:r>
      <w:r>
        <w:rPr>
          <w:rFonts w:hint="eastAsia"/>
          <w:color w:val="000000"/>
        </w:rPr>
        <w:t>及劳动密集型</w:t>
      </w:r>
      <w:r>
        <w:rPr>
          <w:color w:val="000000"/>
        </w:rPr>
        <w:t>产品</w:t>
      </w:r>
      <w:r>
        <w:rPr>
          <w:rFonts w:hint="eastAsia"/>
          <w:color w:val="000000"/>
        </w:rPr>
        <w:t>技术含量和附加值，培育壮大传统优势出口产业。扩大智能终端、</w:t>
      </w:r>
      <w:bookmarkStart w:id="97" w:name="_Hlk217919267"/>
      <w:r>
        <w:rPr>
          <w:rFonts w:hint="eastAsia"/>
          <w:color w:val="000000"/>
        </w:rPr>
        <w:t>新能源汽车及零部件、新能源电池及材料</w:t>
      </w:r>
      <w:bookmarkEnd w:id="97"/>
      <w:r>
        <w:rPr>
          <w:rFonts w:hint="eastAsia"/>
          <w:color w:val="000000"/>
        </w:rPr>
        <w:t>、航空零部件、电线电缆等机电产品和高新技术产品出口，提升产品国际竞争力。积极开展出口品牌建设，</w:t>
      </w:r>
      <w:r>
        <w:rPr>
          <w:color w:val="000000"/>
        </w:rPr>
        <w:t>围绕</w:t>
      </w:r>
      <w:r>
        <w:rPr>
          <w:rFonts w:hint="eastAsia"/>
          <w:color w:val="000000"/>
        </w:rPr>
        <w:t>产业集群</w:t>
      </w:r>
      <w:r>
        <w:rPr>
          <w:color w:val="000000"/>
        </w:rPr>
        <w:t>注册一批海外公共品牌，</w:t>
      </w:r>
      <w:r>
        <w:rPr>
          <w:rFonts w:hint="eastAsia"/>
          <w:color w:val="000000"/>
        </w:rPr>
        <w:t>提升“贵阳制造”</w:t>
      </w:r>
      <w:r>
        <w:rPr>
          <w:color w:val="000000"/>
        </w:rPr>
        <w:t>品牌影响力。</w:t>
      </w:r>
      <w:r>
        <w:rPr>
          <w:rFonts w:hint="eastAsia"/>
          <w:color w:val="000000"/>
        </w:rPr>
        <w:t>加大“经认证的经营者”（AEO）和经核准的出口商的认证政策支持，鼓励企业积极申请AEO认证。</w:t>
      </w:r>
      <w:r>
        <w:rPr>
          <w:rFonts w:hint="eastAsia"/>
          <w:color w:val="000000"/>
          <w:szCs w:val="32"/>
        </w:rPr>
        <w:t>积极应对国际贸易环境，拓展中间品贸易，推动先进装备制造、新能源新材料等工业中间品出海，鼓励企业加大原材料、零部件、半成品类中间品出口力度，深度融入全球产业链、供应链体系。</w:t>
      </w:r>
    </w:p>
    <w:p w14:paraId="45E0141C">
      <w:pPr>
        <w:pStyle w:val="2"/>
        <w:ind w:firstLine="643"/>
        <w:rPr>
          <w:color w:val="000000"/>
        </w:rPr>
      </w:pPr>
      <w:r>
        <w:rPr>
          <w:rFonts w:hint="eastAsia"/>
          <w:b/>
          <w:bCs/>
          <w:color w:val="000000"/>
        </w:rPr>
        <w:t>扩大优质产品进口。</w:t>
      </w:r>
      <w:r>
        <w:rPr>
          <w:rFonts w:hint="eastAsia"/>
          <w:color w:val="000000"/>
        </w:rPr>
        <w:t>推动进口平衡发展，建设国际优质</w:t>
      </w:r>
      <w:bookmarkStart w:id="98" w:name="_Hlk217919290"/>
      <w:r>
        <w:rPr>
          <w:rFonts w:hint="eastAsia"/>
          <w:color w:val="000000"/>
        </w:rPr>
        <w:t>大宗商品、农产品、消费品</w:t>
      </w:r>
      <w:bookmarkEnd w:id="98"/>
      <w:r>
        <w:rPr>
          <w:rFonts w:hint="eastAsia"/>
          <w:color w:val="000000"/>
        </w:rPr>
        <w:t>进口集散中心。</w:t>
      </w:r>
      <w:r>
        <w:rPr>
          <w:color w:val="000000"/>
        </w:rPr>
        <w:t>扩大大宗贸易进口，</w:t>
      </w:r>
      <w:r>
        <w:rPr>
          <w:rFonts w:hint="eastAsia"/>
          <w:color w:val="000000"/>
        </w:rPr>
        <w:t>推动锰矿、镍硫、重晶石等重要矿产品和粮食、肉类、水果、冰鲜</w:t>
      </w:r>
      <w:r>
        <w:rPr>
          <w:color w:val="000000"/>
        </w:rPr>
        <w:t>等大宗</w:t>
      </w:r>
      <w:r>
        <w:rPr>
          <w:rFonts w:hint="eastAsia"/>
          <w:color w:val="000000"/>
        </w:rPr>
        <w:t>农产品进口</w:t>
      </w:r>
      <w:r>
        <w:rPr>
          <w:color w:val="000000"/>
        </w:rPr>
        <w:t>。</w:t>
      </w:r>
      <w:r>
        <w:rPr>
          <w:rFonts w:hint="eastAsia"/>
          <w:color w:val="000000"/>
        </w:rPr>
        <w:t>围绕新兴产业和未来产业发展需求，支持企业扩大先进技术、设备和关键零部件进口，用好进口贴息政策，服务产业转型升级。加快贵阳综保区国家进口贸易促进创新示范区建设，</w:t>
      </w:r>
      <w:r>
        <w:rPr>
          <w:color w:val="000000"/>
        </w:rPr>
        <w:t>构建辐射全省的母婴保健、日化快消等优质消费品供应链</w:t>
      </w:r>
      <w:r>
        <w:rPr>
          <w:rFonts w:hint="eastAsia"/>
          <w:color w:val="000000"/>
        </w:rPr>
        <w:t>，打造</w:t>
      </w:r>
      <w:r>
        <w:rPr>
          <w:color w:val="000000"/>
        </w:rPr>
        <w:t>全省优质进口消费品分销平台</w:t>
      </w:r>
      <w:r>
        <w:rPr>
          <w:rFonts w:hint="eastAsia"/>
          <w:color w:val="000000"/>
        </w:rPr>
        <w:t>。依托双龙航空港经济区，完善临空经济服务体系，构建农产品进口集散中心</w:t>
      </w:r>
      <w:r>
        <w:rPr>
          <w:color w:val="000000"/>
        </w:rPr>
        <w:t>。</w:t>
      </w:r>
    </w:p>
    <w:p w14:paraId="1C64747B">
      <w:pPr>
        <w:pStyle w:val="2"/>
        <w:ind w:firstLine="643"/>
        <w:rPr>
          <w:color w:val="000000"/>
        </w:rPr>
      </w:pPr>
      <w:r>
        <w:rPr>
          <w:rFonts w:hint="eastAsia"/>
          <w:b/>
          <w:bCs/>
          <w:color w:val="000000"/>
        </w:rPr>
        <w:t>做优加工贸易。</w:t>
      </w:r>
      <w:r>
        <w:rPr>
          <w:rFonts w:hint="eastAsia"/>
          <w:color w:val="000000"/>
        </w:rPr>
        <w:t>承接加工贸易梯度转移，强化“加工贸易+特色产业”融合，形成梯度互补的加工贸易产业生态。贵阳经开区重点推动“加工贸易+先进制造业”，发展装备制造、机电产品等加工；贵阳高新区重点推动“加工贸易+高新产业”，发展航空航天等高新技术加工；双龙航空港经济区重点推动“加工贸易+大宗贸易”，发展高端水果、冰鲜水产品加工；加快贵阳综保区国家加工贸易产业园建设，围绕电子信息制造、先进装备制造、生态食品等产业积极承接加工贸易梯度转移，打造加工贸易发展集聚区。</w:t>
      </w:r>
    </w:p>
    <w:p w14:paraId="544D1DA1">
      <w:pPr>
        <w:pStyle w:val="2"/>
        <w:ind w:firstLine="643"/>
        <w:rPr>
          <w:rFonts w:hint="eastAsia"/>
          <w:color w:val="000000"/>
          <w:szCs w:val="32"/>
        </w:rPr>
      </w:pPr>
      <w:r>
        <w:rPr>
          <w:rFonts w:hint="eastAsia"/>
          <w:b/>
          <w:bCs/>
          <w:color w:val="000000"/>
          <w:szCs w:val="32"/>
        </w:rPr>
        <w:t>拓展绿色贸易。</w:t>
      </w:r>
      <w:r>
        <w:rPr>
          <w:rFonts w:hint="eastAsia"/>
          <w:color w:val="000000"/>
          <w:szCs w:val="32"/>
        </w:rPr>
        <w:t>提升外贸企业绿色低碳发展能力，支持外贸企业推行绿色设计、开展绿色产品认证，促进外贸大宗货物和集装箱长途运输“公转铁”“公转水”。拓展绿色低碳相关产品和技术进出口，推进新能源汽车、动力电池等绿色产品贸易发展，探索发展再制造产品进出口。加快建立与国际接轨的绿色低碳产品、技术和服务标准体系。鼓励外贸企业积极使用可再生能源，加快推进绿电直连，扩大绿证绿电交易规模，降低外贸产品碳排放量。</w:t>
      </w:r>
    </w:p>
    <w:p w14:paraId="393BBBDC">
      <w:pPr>
        <w:overflowPunct w:val="0"/>
        <w:spacing w:before="120" w:after="120"/>
        <w:ind w:firstLine="640"/>
        <w:outlineLvl w:val="2"/>
        <w:rPr>
          <w:color w:val="000000"/>
          <w:szCs w:val="32"/>
        </w:rPr>
      </w:pPr>
      <w:bookmarkStart w:id="99" w:name="_Toc229673080"/>
      <w:r>
        <w:rPr>
          <w:rFonts w:hint="eastAsia"/>
          <w:color w:val="000000"/>
          <w:szCs w:val="32"/>
        </w:rPr>
        <w:t>2、大力发展服务贸易</w:t>
      </w:r>
      <w:bookmarkEnd w:id="99"/>
    </w:p>
    <w:p w14:paraId="32F59285">
      <w:pPr>
        <w:pStyle w:val="2"/>
        <w:ind w:firstLine="643"/>
        <w:rPr>
          <w:color w:val="000000"/>
        </w:rPr>
      </w:pPr>
      <w:r>
        <w:rPr>
          <w:rFonts w:hint="eastAsia"/>
          <w:b/>
          <w:bCs/>
          <w:color w:val="000000"/>
        </w:rPr>
        <w:t>促进服务贸易开放创新发展。</w:t>
      </w:r>
      <w:r>
        <w:rPr>
          <w:rFonts w:hint="eastAsia"/>
          <w:color w:val="000000"/>
        </w:rPr>
        <w:t>落实跨境服务贸易负面清单管理制度，</w:t>
      </w:r>
      <w:r>
        <w:rPr>
          <w:color w:val="000000"/>
        </w:rPr>
        <w:t>放宽特定服务领域自然人移动模式下的服务贸易市场准入限制措施</w:t>
      </w:r>
      <w:r>
        <w:rPr>
          <w:rFonts w:hint="eastAsia"/>
          <w:color w:val="000000"/>
        </w:rPr>
        <w:t>。积极申建国家服务贸易创新发展示范区，在跨境服务贸易市场准入、跨境服务贸易全链条监管、建立风险管理和监测预警机制等方面加大探索力度。</w:t>
      </w:r>
    </w:p>
    <w:p w14:paraId="7B47EF2E">
      <w:pPr>
        <w:pStyle w:val="2"/>
        <w:ind w:firstLine="643"/>
        <w:rPr>
          <w:rFonts w:hint="eastAsia"/>
          <w:color w:val="000000"/>
        </w:rPr>
      </w:pPr>
      <w:r>
        <w:rPr>
          <w:rFonts w:hint="eastAsia"/>
          <w:b/>
          <w:bCs/>
          <w:color w:val="000000"/>
        </w:rPr>
        <w:t>鼓励优势服务出口。</w:t>
      </w:r>
      <w:r>
        <w:rPr>
          <w:color w:val="000000"/>
        </w:rPr>
        <w:t>做优建筑服务</w:t>
      </w:r>
      <w:r>
        <w:rPr>
          <w:rFonts w:hint="eastAsia"/>
          <w:color w:val="000000"/>
        </w:rPr>
        <w:t>，</w:t>
      </w:r>
      <w:r>
        <w:rPr>
          <w:color w:val="000000"/>
        </w:rPr>
        <w:t>发挥贵阳在桥梁设计、建筑及工程设计领域内的优势资源，支持企业聚焦东南亚、非洲等重点区域，承接公路、桥梁、水利、市政等领域工程建设项目，推动建筑服务贸易向设计咨询、</w:t>
      </w:r>
      <w:r>
        <w:rPr>
          <w:rFonts w:hint="eastAsia"/>
          <w:color w:val="000000"/>
        </w:rPr>
        <w:t>运营维护管理</w:t>
      </w:r>
      <w:r>
        <w:rPr>
          <w:color w:val="000000"/>
        </w:rPr>
        <w:t>等高附加值领域拓展。</w:t>
      </w:r>
      <w:r>
        <w:rPr>
          <w:rFonts w:hint="eastAsia"/>
          <w:color w:val="000000"/>
        </w:rPr>
        <w:t>提升旅行服务，加快建设具有国际影响力的旅游名城</w:t>
      </w:r>
      <w:r>
        <w:rPr>
          <w:color w:val="000000"/>
        </w:rPr>
        <w:t>，</w:t>
      </w:r>
      <w:r>
        <w:rPr>
          <w:rFonts w:hint="eastAsia"/>
          <w:color w:val="000000"/>
        </w:rPr>
        <w:t>瞄准港澳台、东南亚、“一带一路”沿线城市，“一城一策”精准开展旅游推介，加密国际客运航线，持续</w:t>
      </w:r>
      <w:r>
        <w:rPr>
          <w:color w:val="000000"/>
        </w:rPr>
        <w:t>丰</w:t>
      </w:r>
      <w:r>
        <w:rPr>
          <w:rFonts w:hint="eastAsia"/>
          <w:color w:val="000000"/>
        </w:rPr>
        <w:t>富旅游产品、国际化餐饮供给，</w:t>
      </w:r>
      <w:r>
        <w:rPr>
          <w:color w:val="000000"/>
          <w:szCs w:val="32"/>
        </w:rPr>
        <w:t>推进国际化消费环境建设，</w:t>
      </w:r>
      <w:r>
        <w:rPr>
          <w:rFonts w:hint="eastAsia"/>
          <w:color w:val="000000"/>
        </w:rPr>
        <w:t>提升国际旅游服务水平。</w:t>
      </w:r>
    </w:p>
    <w:p w14:paraId="17317CD3">
      <w:pPr>
        <w:pStyle w:val="2"/>
        <w:ind w:firstLine="643"/>
        <w:rPr>
          <w:color w:val="000000"/>
        </w:rPr>
      </w:pPr>
      <w:r>
        <w:rPr>
          <w:rFonts w:hint="eastAsia"/>
          <w:b/>
          <w:bCs/>
          <w:color w:val="000000"/>
        </w:rPr>
        <w:t>支持其他服务贸易发展。</w:t>
      </w:r>
      <w:r>
        <w:rPr>
          <w:rFonts w:hint="eastAsia"/>
          <w:color w:val="000000"/>
        </w:rPr>
        <w:t>大力发展教育服务，发挥中国—东盟教育交流周平台作用，吸引东盟国家学生来筑留学，扩大汉语培训、职业教育等服务出口。依托先进装备制造、新能源新材料等高端制造业，促进技术服务贸易发展。</w:t>
      </w:r>
      <w:r>
        <w:rPr>
          <w:color w:val="000000"/>
        </w:rPr>
        <w:t>推动加工服务、金融服务、保险服务及个人、文化和娱乐服务等做大规模。发展绿色服务贸易，依法依规为绿色货物贸易发展提供认证和标识、知识产权等服务。</w:t>
      </w:r>
    </w:p>
    <w:p w14:paraId="371860D7">
      <w:pPr>
        <w:pStyle w:val="2"/>
        <w:ind w:firstLine="643"/>
        <w:rPr>
          <w:rFonts w:hint="eastAsia"/>
          <w:b/>
          <w:bCs/>
          <w:color w:val="000000"/>
        </w:rPr>
      </w:pPr>
      <w:r>
        <w:rPr>
          <w:rFonts w:hint="eastAsia"/>
          <w:b/>
          <w:bCs/>
          <w:color w:val="000000"/>
        </w:rPr>
        <w:t>加快服务外包高端化发展。</w:t>
      </w:r>
      <w:r>
        <w:rPr>
          <w:rFonts w:hint="eastAsia"/>
          <w:color w:val="000000"/>
        </w:rPr>
        <w:t>推进高标准建设中国服务外包示范城市，加快贵阳高新区省级服务外包示范园区等平台建设，持续开展服务外包人才培训机构认定，加大服务外包人才培养力度。实施国际接包竞争力提升工程，加快发展以软件研发、云计算、人工智能、电子商务、信息技术运营和维护服务等为主的新一代信息技术外包，提升发展以工程技术、检验检测、医药与生物技术研发服务为主的高技术含量知识流程外包，积极发展以供应链管理、互联网营销推广、金融后台服务等为主的高附加值业务流程外包，延伸拓展工程设计、工业设计等“设计+”产业链。以在岸服务外包促进离岸服务外包发展</w:t>
      </w:r>
      <w:r>
        <w:rPr>
          <w:color w:val="000000"/>
        </w:rPr>
        <w:t>，</w:t>
      </w:r>
      <w:r>
        <w:rPr>
          <w:rFonts w:hint="eastAsia"/>
          <w:color w:val="000000"/>
        </w:rPr>
        <w:t>推动服务外包企业与国际工程承包企业携手“走出去”，扩大离岸服务外包业务规模。</w:t>
      </w:r>
    </w:p>
    <w:p w14:paraId="5E6ADC3A">
      <w:pPr>
        <w:pStyle w:val="2"/>
        <w:ind w:firstLine="643"/>
        <w:rPr>
          <w:color w:val="000000"/>
          <w:szCs w:val="32"/>
        </w:rPr>
      </w:pPr>
      <w:r>
        <w:rPr>
          <w:rFonts w:hint="eastAsia"/>
          <w:b/>
          <w:bCs/>
          <w:color w:val="000000"/>
          <w:szCs w:val="32"/>
        </w:rPr>
        <w:t>推动数字贸易创新发展。</w:t>
      </w:r>
      <w:r>
        <w:rPr>
          <w:rFonts w:hint="eastAsia"/>
          <w:color w:val="000000"/>
          <w:szCs w:val="32"/>
        </w:rPr>
        <w:t>扩大数字技术贸易，</w:t>
      </w:r>
      <w:r>
        <w:rPr>
          <w:color w:val="000000"/>
          <w:szCs w:val="32"/>
        </w:rPr>
        <w:t>依托</w:t>
      </w:r>
      <w:r>
        <w:rPr>
          <w:rFonts w:hint="eastAsia"/>
          <w:color w:val="000000"/>
          <w:szCs w:val="32"/>
        </w:rPr>
        <w:t>贵阳贵安</w:t>
      </w:r>
      <w:r>
        <w:rPr>
          <w:color w:val="000000"/>
          <w:szCs w:val="32"/>
        </w:rPr>
        <w:t>算力优势，加强与港澳、东盟在智算领域合作，</w:t>
      </w:r>
      <w:r>
        <w:rPr>
          <w:rFonts w:hint="eastAsia"/>
          <w:color w:val="000000"/>
          <w:szCs w:val="32"/>
        </w:rPr>
        <w:t>积极发展云计算、人工智能、大数据服务等领域对外贸易。大力发展数字产品贸易，</w:t>
      </w:r>
      <w:r>
        <w:rPr>
          <w:bCs/>
          <w:color w:val="000000"/>
        </w:rPr>
        <w:t>推动游戏动漫</w:t>
      </w:r>
      <w:r>
        <w:rPr>
          <w:rFonts w:hint="eastAsia"/>
          <w:bCs/>
          <w:color w:val="000000"/>
        </w:rPr>
        <w:t>、创意设计</w:t>
      </w:r>
      <w:r>
        <w:rPr>
          <w:bCs/>
          <w:color w:val="000000"/>
        </w:rPr>
        <w:t>服务发展</w:t>
      </w:r>
      <w:r>
        <w:rPr>
          <w:rFonts w:hint="eastAsia"/>
          <w:bCs/>
          <w:color w:val="000000"/>
        </w:rPr>
        <w:t>，</w:t>
      </w:r>
      <w:r>
        <w:rPr>
          <w:rFonts w:hint="eastAsia"/>
          <w:color w:val="000000"/>
          <w:szCs w:val="32"/>
        </w:rPr>
        <w:t>加强数字应用场景和模式创新，提升数字内容制作质量和水平。积极发展数字服务贸易，支持发展数字金融、数字物流、在线教育等数字服务贸易模式。做大数字订购贸易，鼓励电商平台、经营者、配套服务商等各类主体做大做强，扩大特色产品出口，</w:t>
      </w:r>
      <w:r>
        <w:rPr>
          <w:color w:val="000000"/>
          <w:szCs w:val="32"/>
        </w:rPr>
        <w:t>推动货物贸易与数字贸易融合发展</w:t>
      </w:r>
      <w:r>
        <w:rPr>
          <w:rFonts w:hint="eastAsia"/>
          <w:color w:val="000000"/>
          <w:szCs w:val="32"/>
        </w:rPr>
        <w:t>。</w:t>
      </w:r>
      <w:r>
        <w:rPr>
          <w:color w:val="000000"/>
          <w:szCs w:val="32"/>
        </w:rPr>
        <w:t>探索开展数据贸易</w:t>
      </w:r>
      <w:r>
        <w:rPr>
          <w:rFonts w:hint="eastAsia"/>
          <w:color w:val="000000"/>
          <w:szCs w:val="32"/>
        </w:rPr>
        <w:t>，</w:t>
      </w:r>
      <w:r>
        <w:rPr>
          <w:color w:val="000000"/>
          <w:szCs w:val="32"/>
        </w:rPr>
        <w:t>在国家数据分类分级保护制度框架下，支持企业依法依规开展数据要素跨境流通交易，在风险可控的前提下，探索数据资产质押融资等创新模式。培育壮</w:t>
      </w:r>
      <w:bookmarkStart w:id="110" w:name="_GoBack"/>
      <w:bookmarkEnd w:id="110"/>
      <w:r>
        <w:rPr>
          <w:color w:val="000000"/>
          <w:szCs w:val="32"/>
        </w:rPr>
        <w:t>大数据采集、数据传输、数据储存、数据应用等数据服务贸易。</w:t>
      </w:r>
      <w:r>
        <w:rPr>
          <w:rFonts w:hint="eastAsia"/>
          <w:color w:val="000000"/>
          <w:szCs w:val="32"/>
        </w:rPr>
        <w:t>积极申建国家数字贸易发展示范区。</w:t>
      </w:r>
    </w:p>
    <w:p w14:paraId="0C80C311">
      <w:pPr>
        <w:overflowPunct w:val="0"/>
        <w:spacing w:before="120" w:after="120"/>
        <w:ind w:firstLine="640"/>
        <w:outlineLvl w:val="2"/>
        <w:rPr>
          <w:color w:val="000000"/>
          <w:szCs w:val="32"/>
        </w:rPr>
      </w:pPr>
      <w:bookmarkStart w:id="100" w:name="_Toc229673081"/>
      <w:r>
        <w:rPr>
          <w:rFonts w:hint="eastAsia"/>
          <w:color w:val="000000"/>
          <w:szCs w:val="32"/>
        </w:rPr>
        <w:t>3、加快发展跨境电商</w:t>
      </w:r>
      <w:bookmarkEnd w:id="100"/>
    </w:p>
    <w:p w14:paraId="27726307">
      <w:pPr>
        <w:pStyle w:val="2"/>
        <w:ind w:firstLine="643"/>
        <w:rPr>
          <w:color w:val="000000"/>
        </w:rPr>
      </w:pPr>
      <w:r>
        <w:rPr>
          <w:rFonts w:hint="eastAsia"/>
          <w:b/>
          <w:bCs/>
          <w:color w:val="000000"/>
        </w:rPr>
        <w:t>培育壮大跨境电商主体。</w:t>
      </w:r>
      <w:r>
        <w:rPr>
          <w:rFonts w:hint="eastAsia"/>
          <w:color w:val="000000"/>
        </w:rPr>
        <w:t>开展“产业电商惠企对接”活动，鼓励传统外贸、制造和商贸流通企业通过跨境电商开展国际贸易，鼓励企业通过第三方平台上线运营、自建平台开展跨境贸易，利用跨境电商平台、国际搜索引擎及自建独立站等渠道开拓国际市场。依托贵阳市高校人才资源和园区平台，加大跨境电商创新创业孵化力度，培育壮大中小微跨境电商企业。加大对品牌卖家、平台型企业等类型跨境电商主体的引进力度。</w:t>
      </w:r>
    </w:p>
    <w:p w14:paraId="0B0FCC1E">
      <w:pPr>
        <w:pStyle w:val="2"/>
        <w:ind w:firstLine="643"/>
        <w:rPr>
          <w:color w:val="000000"/>
        </w:rPr>
      </w:pPr>
      <w:r>
        <w:rPr>
          <w:rFonts w:hint="eastAsia"/>
          <w:b/>
          <w:bCs/>
          <w:color w:val="000000"/>
        </w:rPr>
        <w:t>积极发展跨境电商新业态。</w:t>
      </w:r>
      <w:r>
        <w:rPr>
          <w:rFonts w:hint="eastAsia"/>
          <w:color w:val="000000"/>
        </w:rPr>
        <w:t>开展“跨境电商+产业带”培育工程，分类培育生态食品、汽摩配件等特色产业带。</w:t>
      </w:r>
      <w:r>
        <w:rPr>
          <w:rFonts w:hint="eastAsia" w:cs="仿宋_GB2312"/>
          <w:color w:val="000000"/>
          <w:szCs w:val="32"/>
        </w:rPr>
        <w:t>依托贵阳</w:t>
      </w:r>
      <w:r>
        <w:rPr>
          <w:rFonts w:cs="仿宋_GB2312"/>
          <w:color w:val="000000"/>
          <w:szCs w:val="32"/>
        </w:rPr>
        <w:t>综合保税区和</w:t>
      </w:r>
      <w:r>
        <w:rPr>
          <w:rFonts w:hint="eastAsia" w:cs="仿宋_GB2312"/>
          <w:color w:val="000000"/>
          <w:szCs w:val="32"/>
        </w:rPr>
        <w:t>双龙保税物流中心（B型）</w:t>
      </w:r>
      <w:r>
        <w:rPr>
          <w:rFonts w:cs="仿宋_GB2312"/>
          <w:color w:val="000000"/>
          <w:szCs w:val="32"/>
        </w:rPr>
        <w:t>，</w:t>
      </w:r>
      <w:r>
        <w:rPr>
          <w:rFonts w:hint="eastAsia" w:ascii="仿宋_GB2312" w:hAnsi="仿宋_GB2312" w:cs="仿宋_GB2312"/>
          <w:color w:val="000000"/>
          <w:szCs w:val="32"/>
        </w:rPr>
        <w:t>支持跨境监管仓开展国际仓认证，引入更多进口跨境电商主体。</w:t>
      </w:r>
      <w:r>
        <w:rPr>
          <w:rFonts w:cs="仿宋_GB2312"/>
          <w:color w:val="000000"/>
          <w:szCs w:val="32"/>
        </w:rPr>
        <w:t>扩大跨境电商保税进口</w:t>
      </w:r>
      <w:r>
        <w:rPr>
          <w:rFonts w:hint="eastAsia" w:cs="仿宋_GB2312"/>
          <w:color w:val="000000"/>
          <w:szCs w:val="32"/>
        </w:rPr>
        <w:t>（1210模式）</w:t>
      </w:r>
      <w:r>
        <w:rPr>
          <w:rFonts w:cs="仿宋_GB2312"/>
          <w:color w:val="000000"/>
          <w:szCs w:val="32"/>
        </w:rPr>
        <w:t>规模</w:t>
      </w:r>
      <w:r>
        <w:rPr>
          <w:rFonts w:hint="eastAsia" w:cs="仿宋_GB2312"/>
          <w:color w:val="000000"/>
          <w:szCs w:val="32"/>
        </w:rPr>
        <w:t>，大力发展“保税仓+直播”“体验店+直播”等新业态，</w:t>
      </w:r>
      <w:r>
        <w:rPr>
          <w:rFonts w:cs="仿宋_GB2312"/>
          <w:color w:val="000000"/>
          <w:szCs w:val="32"/>
        </w:rPr>
        <w:t>鼓励电商企业在海外建设直采基地</w:t>
      </w:r>
      <w:r>
        <w:rPr>
          <w:rFonts w:hint="eastAsia" w:cs="仿宋_GB2312"/>
          <w:color w:val="000000"/>
          <w:szCs w:val="32"/>
        </w:rPr>
        <w:t>。</w:t>
      </w:r>
      <w:r>
        <w:rPr>
          <w:rFonts w:hint="eastAsia"/>
          <w:color w:val="000000"/>
        </w:rPr>
        <w:t>引导企业优化海外仓布局，在RCEP成员国、“一带一路”沿线国家和地区、欧美国家扩大海外仓建设，探索在贵阳国际陆港运行班列沿线建设专用海外仓。鼓励企业以海外仓为依托，布局集商品展示、仓储物流、售后服务为一体的海外营销网络和公共服务仓，建成覆盖全市主要出口市场的公共海外仓体系。探索发展</w:t>
      </w:r>
      <w:r>
        <w:rPr>
          <w:rFonts w:hint="eastAsia" w:ascii="仿宋_GB2312"/>
          <w:color w:val="000000"/>
        </w:rPr>
        <w:t>“中欧班列+跨境电商”</w:t>
      </w:r>
      <w:r>
        <w:rPr>
          <w:rFonts w:hint="eastAsia"/>
          <w:color w:val="000000"/>
        </w:rPr>
        <w:t>模式。</w:t>
      </w:r>
    </w:p>
    <w:p w14:paraId="6DBB38B7">
      <w:pPr>
        <w:pStyle w:val="2"/>
        <w:ind w:firstLine="643"/>
        <w:rPr>
          <w:color w:val="000000"/>
        </w:rPr>
      </w:pPr>
      <w:r>
        <w:rPr>
          <w:rFonts w:hint="eastAsia"/>
          <w:b/>
          <w:bCs/>
          <w:color w:val="000000"/>
        </w:rPr>
        <w:t>健全跨境电商产业配套。</w:t>
      </w:r>
      <w:r>
        <w:rPr>
          <w:rFonts w:hint="eastAsia"/>
          <w:color w:val="000000"/>
        </w:rPr>
        <w:t>指导中国（贵阳）跨境电商综合服务平台加快建设跨境电商全产业链生态服务中心，推动公共服务平台加强与相关部门系统对接和数据共享、完善功能，为企业提供注册、商品备案、业务申报、资质查询等一站式服务。培育引进品牌营销、网站运营、软件开发、国际物流、跨境结算、税务保险等跨境电商专业服务企业，提供全产业链一站式解决方案。高标准推进国家跨境电商综合试验区建设，</w:t>
      </w:r>
      <w:r>
        <w:rPr>
          <w:color w:val="000000"/>
        </w:rPr>
        <w:t>开展品牌培育、规则标准建设、平台和卖家出海等专项行动</w:t>
      </w:r>
      <w:r>
        <w:rPr>
          <w:rFonts w:hint="eastAsia"/>
          <w:color w:val="000000"/>
        </w:rPr>
        <w:t>，加快建设双龙跨境电商产业园，提升南明区跨境电商产业园等园区运营能力，构建以贵阳综保区、双龙航空港经济区为核心的产业集聚区。</w:t>
      </w:r>
    </w:p>
    <w:p w14:paraId="635A1D37">
      <w:pPr>
        <w:overflowPunct w:val="0"/>
        <w:spacing w:before="120" w:after="120"/>
        <w:ind w:firstLine="640"/>
        <w:outlineLvl w:val="2"/>
        <w:rPr>
          <w:color w:val="000000"/>
          <w:szCs w:val="32"/>
        </w:rPr>
      </w:pPr>
      <w:bookmarkStart w:id="101" w:name="_Toc229673082"/>
      <w:r>
        <w:rPr>
          <w:rFonts w:hint="eastAsia"/>
          <w:color w:val="000000"/>
          <w:szCs w:val="32"/>
        </w:rPr>
        <w:t>4、集聚发展保税业态</w:t>
      </w:r>
      <w:bookmarkEnd w:id="101"/>
    </w:p>
    <w:p w14:paraId="2A136D94">
      <w:pPr>
        <w:pStyle w:val="2"/>
        <w:ind w:firstLine="643"/>
        <w:rPr>
          <w:rFonts w:hint="eastAsia"/>
          <w:color w:val="000000"/>
        </w:rPr>
      </w:pPr>
      <w:r>
        <w:rPr>
          <w:rFonts w:hint="eastAsia"/>
          <w:b/>
          <w:bCs/>
          <w:color w:val="000000"/>
        </w:rPr>
        <w:t>做大保税加工。</w:t>
      </w:r>
      <w:r>
        <w:rPr>
          <w:rFonts w:hint="eastAsia"/>
          <w:color w:val="000000"/>
        </w:rPr>
        <w:t>大力发展光电显示、智能终端制造、芯片封测等产业，构建“核心部件保税加工－整机组装－检测销售”产业体系。围绕先进装备制造，整合境外高端核心部件及境内配套组件资源，开展高端装备核心部件、低空装备配套部件等保税加工。联动省内农特产品种植基地、进境粮食供应商、跨境电商销售平台等资源，打通保税加工产品市场流通链路，大力发展绿色农特产品精深加工。鼓励企业开展咖啡生豆进口、保税业务、产品出口。</w:t>
      </w:r>
    </w:p>
    <w:p w14:paraId="0DBBA3D8">
      <w:pPr>
        <w:pStyle w:val="2"/>
        <w:ind w:firstLine="643"/>
        <w:rPr>
          <w:color w:val="000000"/>
        </w:rPr>
      </w:pPr>
      <w:r>
        <w:rPr>
          <w:rFonts w:hint="eastAsia"/>
          <w:b/>
          <w:bCs/>
          <w:color w:val="000000"/>
        </w:rPr>
        <w:t>做强保税物流。</w:t>
      </w:r>
      <w:r>
        <w:rPr>
          <w:rFonts w:hint="eastAsia"/>
          <w:color w:val="000000"/>
        </w:rPr>
        <w:t>加强保税仓、物流仓储中心、国际商品馆和线下展示交易中心等建设。探索建设贵州国际现代物流保税综合信息服务系统，发展“互联网+”智慧物流。</w:t>
      </w:r>
    </w:p>
    <w:p w14:paraId="5C15D618">
      <w:pPr>
        <w:pStyle w:val="2"/>
        <w:ind w:firstLine="643"/>
        <w:rPr>
          <w:color w:val="000000"/>
        </w:rPr>
      </w:pPr>
      <w:r>
        <w:rPr>
          <w:rFonts w:hint="eastAsia"/>
          <w:b/>
          <w:bCs/>
          <w:color w:val="000000"/>
        </w:rPr>
        <w:t>突破保税维修。</w:t>
      </w:r>
      <w:r>
        <w:rPr>
          <w:rFonts w:hint="eastAsia"/>
          <w:color w:val="000000"/>
        </w:rPr>
        <w:t>聚焦电子信息制造、先进装备制造等产业，探索“检测+维修+复出口”模式，丰富保税维修产品品类。依托通关便利化改革举措，推行数字化监管，优化保税维修货物查验、复运流程。推动保税维修业务与制造、跨境电商协同发展。</w:t>
      </w:r>
    </w:p>
    <w:p w14:paraId="4D397702">
      <w:pPr>
        <w:pStyle w:val="2"/>
        <w:ind w:firstLine="643"/>
        <w:rPr>
          <w:color w:val="000000"/>
        </w:rPr>
      </w:pPr>
      <w:r>
        <w:rPr>
          <w:rFonts w:hint="eastAsia"/>
          <w:b/>
          <w:bCs/>
          <w:color w:val="000000"/>
        </w:rPr>
        <w:t>探索发展保税新业态。</w:t>
      </w:r>
      <w:r>
        <w:rPr>
          <w:rFonts w:hint="eastAsia"/>
          <w:color w:val="000000"/>
        </w:rPr>
        <w:t>支持开展保税研发业务，加强生产研发型、专业研发型企业招引。</w:t>
      </w:r>
      <w:r>
        <w:rPr>
          <w:rFonts w:hint="eastAsia" w:ascii="仿宋_GB2312" w:hAnsi="仿宋_GB2312" w:cs="仿宋_GB2312"/>
          <w:color w:val="000000"/>
          <w:szCs w:val="32"/>
        </w:rPr>
        <w:t>依托省内具备融资租赁资质的机构，围绕高端医疗设备、科研实验装置、航空金融及重大技术装备等，探索开展保税融资租赁业务，</w:t>
      </w:r>
      <w:r>
        <w:rPr>
          <w:color w:val="000000"/>
        </w:rPr>
        <w:t>探索</w:t>
      </w:r>
      <w:r>
        <w:rPr>
          <w:rFonts w:hint="eastAsia"/>
          <w:color w:val="000000"/>
        </w:rPr>
        <w:t>开展</w:t>
      </w:r>
      <w:r>
        <w:rPr>
          <w:color w:val="000000"/>
        </w:rPr>
        <w:t>先进技术、装备保税展示交易。</w:t>
      </w:r>
    </w:p>
    <w:p w14:paraId="1FF400A1">
      <w:pPr>
        <w:overflowPunct w:val="0"/>
        <w:spacing w:before="120" w:after="120"/>
        <w:ind w:firstLine="640"/>
        <w:outlineLvl w:val="2"/>
        <w:rPr>
          <w:color w:val="000000"/>
          <w:szCs w:val="32"/>
        </w:rPr>
      </w:pPr>
      <w:bookmarkStart w:id="102" w:name="_Toc229673083"/>
      <w:r>
        <w:rPr>
          <w:rFonts w:hint="eastAsia"/>
          <w:color w:val="000000"/>
          <w:szCs w:val="32"/>
        </w:rPr>
        <w:t>5、积极培育其他新业态</w:t>
      </w:r>
      <w:bookmarkEnd w:id="102"/>
    </w:p>
    <w:p w14:paraId="45445F8E">
      <w:pPr>
        <w:pStyle w:val="2"/>
        <w:ind w:firstLine="643"/>
        <w:rPr>
          <w:rFonts w:cs="仿宋_GB2312"/>
          <w:color w:val="000000"/>
          <w:szCs w:val="32"/>
          <w:shd w:val="clear" w:color="auto" w:fill="FFFFFF"/>
        </w:rPr>
      </w:pPr>
      <w:r>
        <w:rPr>
          <w:rFonts w:hint="eastAsia"/>
          <w:b/>
          <w:bCs/>
          <w:color w:val="000000"/>
          <w:szCs w:val="32"/>
        </w:rPr>
        <w:t>健全外贸综合服务体系。</w:t>
      </w:r>
      <w:r>
        <w:rPr>
          <w:rFonts w:hint="eastAsia" w:cs="仿宋_GB2312"/>
          <w:color w:val="000000"/>
          <w:szCs w:val="32"/>
          <w:shd w:val="clear" w:color="auto" w:fill="FFFFFF"/>
        </w:rPr>
        <w:t>加快贵阳市外贸公共服务平台建设，完善外贸综合服务生态。以“一个综合门户网站”为窗口，融合“外贸综合服务平台”与“跨境电商公共服务平台”两大核心引擎，集成出口、进口、物流、信保、金融服务、数据大屏等“N”个功能模块，开展报关、报检、物流、退税、结汇、融资、信保等综合服务，为省、市工贸企业提供高效便捷的外贸业务一站式综合解决方案。出台市级外综服企业认定支持办法和配套政策，联动海关、税务、财政、融资、保险等部门构建更加完善便捷的外综服体系。</w:t>
      </w:r>
    </w:p>
    <w:p w14:paraId="1D7D0F49">
      <w:pPr>
        <w:ind w:firstLine="643"/>
        <w:rPr>
          <w:b/>
          <w:bCs/>
          <w:color w:val="000000"/>
          <w:szCs w:val="32"/>
        </w:rPr>
      </w:pPr>
      <w:r>
        <w:rPr>
          <w:rFonts w:hint="eastAsia"/>
          <w:b/>
          <w:bCs/>
          <w:color w:val="000000"/>
          <w:szCs w:val="32"/>
        </w:rPr>
        <w:t>推动二手车出口健康发展。</w:t>
      </w:r>
      <w:r>
        <w:rPr>
          <w:rFonts w:hint="eastAsia"/>
          <w:color w:val="000000"/>
        </w:rPr>
        <w:t>进一步完善中国（贵阳）二手车出口基地功能，建设整备中心、展示中心、一站式服务大厅、公共服务平台、跨境电商独立站等。开展二手车出口整备、检测、报关、物流等全链条服务，在国外重点市场建立贵阳二手车海外公共营销服务中心，完善二手车物流、金融、第三方质保等出口配套体系。鼓励孟关、石板等二手汽车交易市场主体，探索发展二手车出口业务。</w:t>
      </w:r>
    </w:p>
    <w:p w14:paraId="2FDD7E6A">
      <w:pPr>
        <w:pStyle w:val="2"/>
        <w:ind w:firstLine="643"/>
        <w:rPr>
          <w:color w:val="000000"/>
        </w:rPr>
      </w:pPr>
      <w:r>
        <w:rPr>
          <w:rFonts w:hint="eastAsia"/>
          <w:b/>
          <w:bCs/>
          <w:color w:val="000000"/>
          <w:szCs w:val="32"/>
        </w:rPr>
        <w:t>积极争取市场采购贸易方式试点。</w:t>
      </w:r>
      <w:r>
        <w:rPr>
          <w:rFonts w:hint="eastAsia"/>
          <w:color w:val="000000"/>
        </w:rPr>
        <w:t>支持西南商贸城联合贵阳综保区申报国家市场采购贸易方式试点，</w:t>
      </w:r>
      <w:r>
        <w:rPr>
          <w:color w:val="000000"/>
        </w:rPr>
        <w:t>引入外贸综合服务企业，开展市场采购出口、跨境电商业务</w:t>
      </w:r>
      <w:r>
        <w:rPr>
          <w:rFonts w:hint="eastAsia"/>
          <w:color w:val="000000"/>
        </w:rPr>
        <w:t>，打造西南地区小商品集散中心。探索推行“市场聚商聚货+综保便利通关+陆港全球直发”模式，以点带面形成辐射引领，推动烟、酒、茶、轮胎等特色贵产贵品走出国门。</w:t>
      </w:r>
    </w:p>
    <w:p w14:paraId="3DF1F6DD">
      <w:pPr>
        <w:pStyle w:val="2"/>
        <w:ind w:firstLine="640"/>
        <w:rPr>
          <w:rFonts w:hint="eastAsia"/>
          <w:color w:val="000000"/>
        </w:rPr>
        <w:sectPr>
          <w:pgSz w:w="11906" w:h="16838"/>
          <w:pgMar w:top="1440" w:right="1800" w:bottom="1440" w:left="1800" w:header="851" w:footer="992" w:gutter="0"/>
          <w:cols w:space="425" w:num="1"/>
          <w:docGrid w:type="lines" w:linePitch="312" w:charSpace="0"/>
        </w:sectPr>
      </w:pPr>
    </w:p>
    <w:p w14:paraId="4248F7AF">
      <w:pPr>
        <w:spacing w:before="260" w:after="260"/>
        <w:ind w:firstLine="640"/>
        <w:outlineLvl w:val="0"/>
        <w:rPr>
          <w:rFonts w:eastAsia="黑体" w:cs="黑体"/>
          <w:color w:val="000000"/>
          <w:szCs w:val="32"/>
        </w:rPr>
      </w:pPr>
      <w:bookmarkStart w:id="103" w:name="_Toc229673084"/>
      <w:r>
        <w:rPr>
          <w:rFonts w:hint="eastAsia" w:eastAsia="黑体" w:cs="黑体"/>
          <w:color w:val="000000"/>
          <w:szCs w:val="32"/>
        </w:rPr>
        <w:t>五、保障措施</w:t>
      </w:r>
      <w:bookmarkEnd w:id="103"/>
    </w:p>
    <w:p w14:paraId="491F0CF2">
      <w:pPr>
        <w:spacing w:before="260" w:after="260"/>
        <w:ind w:firstLine="640"/>
        <w:outlineLvl w:val="1"/>
        <w:rPr>
          <w:rFonts w:eastAsia="楷体" w:cs="楷体"/>
          <w:color w:val="000000"/>
          <w:szCs w:val="32"/>
        </w:rPr>
      </w:pPr>
      <w:bookmarkStart w:id="104" w:name="_Toc229673085"/>
      <w:r>
        <w:rPr>
          <w:rFonts w:hint="eastAsia" w:eastAsia="楷体" w:cs="楷体"/>
          <w:color w:val="000000"/>
          <w:szCs w:val="32"/>
        </w:rPr>
        <w:t>（一）强化组织实施</w:t>
      </w:r>
      <w:bookmarkEnd w:id="104"/>
    </w:p>
    <w:p w14:paraId="4E0D29C4">
      <w:pPr>
        <w:pStyle w:val="2"/>
        <w:ind w:firstLine="640"/>
        <w:rPr>
          <w:rFonts w:cs="楷体"/>
          <w:color w:val="000000"/>
          <w:szCs w:val="32"/>
        </w:rPr>
      </w:pPr>
      <w:r>
        <w:rPr>
          <w:rFonts w:hint="eastAsia" w:cs="楷体"/>
          <w:color w:val="000000"/>
          <w:szCs w:val="32"/>
        </w:rPr>
        <w:t>充分发挥商务系统党委领导核心作用，落实全面从严治党主体责任，完善党委研究商务发展战略、分析经济形势、研究重大方针政策的工作体制机制，以高质量党的建设引领和推动商务高质量发展。强化全市商务工作发展统筹协调，明确部门责任、任务分工，加强市区联动、部门协同，形成高效运行的工作机制和工作合力，确保规划主要任务高效落实到位。加强商务领域关键数据的统计、监测、分析，健全网络消费、服务消费、数字贸易等新业态、新模式的运行监测，精准掌握贵阳市商务发展新特点和新趋势。建立“十五五”商务发展规划定期评估机制，健全年度监测分析—中期评估—终期评估的全过程动态规划评估体系，统筹研究规划实施中出现的新情况、新问题，有针对性地优化调整规划，推进规划有效实施。</w:t>
      </w:r>
    </w:p>
    <w:p w14:paraId="36316959">
      <w:pPr>
        <w:spacing w:before="260" w:after="260"/>
        <w:ind w:firstLine="640"/>
        <w:outlineLvl w:val="1"/>
        <w:rPr>
          <w:rFonts w:eastAsia="楷体" w:cs="楷体"/>
          <w:color w:val="000000"/>
          <w:szCs w:val="32"/>
        </w:rPr>
      </w:pPr>
      <w:bookmarkStart w:id="105" w:name="_Toc229673086"/>
      <w:r>
        <w:rPr>
          <w:rFonts w:hint="eastAsia" w:eastAsia="楷体" w:cs="楷体"/>
          <w:color w:val="000000"/>
          <w:szCs w:val="32"/>
        </w:rPr>
        <w:t>（二）加大资金支持</w:t>
      </w:r>
      <w:bookmarkEnd w:id="105"/>
    </w:p>
    <w:p w14:paraId="23C6F8A5">
      <w:pPr>
        <w:pStyle w:val="2"/>
        <w:ind w:firstLine="640"/>
        <w:rPr>
          <w:b/>
          <w:bCs/>
          <w:color w:val="000000"/>
        </w:rPr>
      </w:pPr>
      <w:r>
        <w:rPr>
          <w:rFonts w:hint="eastAsia"/>
          <w:color w:val="000000"/>
        </w:rPr>
        <w:t>积极争取国家和省级层面商务领域各项试点示范项目和资金支持，加大市级财政资金对商务领域的支持力度，重点投向提振消费、商贸流通、对外贸易、外资等领域，以奖励、贴息、补助等方式支持商务创新发展。鼓励有条件的</w:t>
      </w:r>
      <w:r>
        <w:rPr>
          <w:color w:val="000000"/>
        </w:rPr>
        <w:t>区</w:t>
      </w:r>
      <w:r>
        <w:rPr>
          <w:rFonts w:hint="eastAsia"/>
          <w:color w:val="000000"/>
        </w:rPr>
        <w:t>（</w:t>
      </w:r>
      <w:r>
        <w:rPr>
          <w:color w:val="000000"/>
        </w:rPr>
        <w:t>市、县</w:t>
      </w:r>
      <w:r>
        <w:rPr>
          <w:rFonts w:hint="eastAsia"/>
          <w:color w:val="000000"/>
        </w:rPr>
        <w:t>）研究出台支持商务高质量发展的政策措施。落实好重点企业外汇结算、银行信贷、出口退税等“绿色通道”政策，建立惠企资金直达机制。常态化开展“政银保企”对接，用好“黔贸贷”政策，向金融机构推送有融资需求的企业和项目“白名单”。鼓励金融机构创新金融产品和服务，发展供应链融资、应收账款质押贷款、融资租赁、融资担保、贷款保证保险等业务。</w:t>
      </w:r>
      <w:r>
        <w:rPr>
          <w:color w:val="000000"/>
        </w:rPr>
        <w:t>探索设立</w:t>
      </w:r>
      <w:r>
        <w:rPr>
          <w:rFonts w:hint="eastAsia"/>
          <w:color w:val="000000"/>
        </w:rPr>
        <w:t>“投—贷—保”</w:t>
      </w:r>
      <w:r>
        <w:rPr>
          <w:color w:val="000000"/>
        </w:rPr>
        <w:t>一体化开放型经济基金，提供融资增信支持。</w:t>
      </w:r>
      <w:r>
        <w:rPr>
          <w:rFonts w:hint="eastAsia"/>
          <w:color w:val="000000"/>
        </w:rPr>
        <w:t>加大出口信用保险、关税保证保险等产品支持力度。</w:t>
      </w:r>
      <w:r>
        <w:rPr>
          <w:color w:val="000000"/>
        </w:rPr>
        <w:t>发挥中小企业融资综合信用服务平台作用，拓展外商投资中小企业融资渠道。</w:t>
      </w:r>
    </w:p>
    <w:p w14:paraId="20DB344B">
      <w:pPr>
        <w:spacing w:before="260" w:after="260"/>
        <w:ind w:firstLine="640"/>
        <w:outlineLvl w:val="1"/>
        <w:rPr>
          <w:rFonts w:eastAsia="楷体" w:cs="楷体"/>
          <w:color w:val="000000"/>
          <w:szCs w:val="32"/>
        </w:rPr>
      </w:pPr>
      <w:bookmarkStart w:id="106" w:name="_Toc229673087"/>
      <w:r>
        <w:rPr>
          <w:rFonts w:hint="eastAsia" w:eastAsia="楷体" w:cs="楷体"/>
          <w:color w:val="000000"/>
          <w:szCs w:val="32"/>
        </w:rPr>
        <w:t>（三）加快人才建设</w:t>
      </w:r>
      <w:bookmarkEnd w:id="106"/>
    </w:p>
    <w:p w14:paraId="11D39AD8">
      <w:pPr>
        <w:pStyle w:val="2"/>
        <w:ind w:firstLine="640"/>
        <w:rPr>
          <w:color w:val="000000"/>
        </w:rPr>
      </w:pPr>
      <w:r>
        <w:rPr>
          <w:rFonts w:hint="eastAsia"/>
          <w:color w:val="000000"/>
        </w:rPr>
        <w:t>擦亮“筑才”品牌，打好“卡钱户房岗”人才政策组合拳，大力“引育用留”商务领域人才。加大复合型创新型商务人才引进力度，重点引进紧缺的商业运营管理、新零售、餐饮、电子商务、家政、外贸等领域高端专业人才，做好子女入学、配偶就业、社会保险、医疗保障、落户安居等服务。引导全市高等院校、行业协会、人力资源服务机构等建立商务人才培养基地，因地制宜开设相关专业，整合各类优质培训交流资源，对企业所需人才进行订单式、菜单式培养。支持商务人才“走出去”，打造从事国际商务合作的社会化专业人才队伍。</w:t>
      </w:r>
    </w:p>
    <w:p w14:paraId="1D427F4C">
      <w:pPr>
        <w:spacing w:before="260" w:after="260"/>
        <w:ind w:firstLine="640"/>
        <w:outlineLvl w:val="1"/>
        <w:rPr>
          <w:rFonts w:eastAsia="楷体" w:cs="楷体"/>
          <w:color w:val="000000"/>
          <w:szCs w:val="32"/>
        </w:rPr>
      </w:pPr>
      <w:bookmarkStart w:id="107" w:name="_Toc229673088"/>
      <w:r>
        <w:rPr>
          <w:rFonts w:hint="eastAsia" w:eastAsia="楷体" w:cs="楷体"/>
          <w:color w:val="000000"/>
          <w:szCs w:val="32"/>
        </w:rPr>
        <w:t>（四）完善用地保障</w:t>
      </w:r>
      <w:bookmarkEnd w:id="107"/>
    </w:p>
    <w:p w14:paraId="7D357F3F">
      <w:pPr>
        <w:pStyle w:val="2"/>
        <w:ind w:firstLine="640"/>
        <w:rPr>
          <w:color w:val="000000"/>
        </w:rPr>
      </w:pPr>
      <w:r>
        <w:rPr>
          <w:rFonts w:hint="eastAsia"/>
          <w:color w:val="000000"/>
        </w:rPr>
        <w:t>加强商业基础设施与国土空间规划衔接，保障商业网点、加油站、再生资源分拣中心、口岸、通道建设等必要的基础设施用地需求。鼓励企业盘活存量土地，更加集约节约利用土地。加快推进商务领域城市更新，通过“棚改”“旧改”和活化老旧街区、老旧厂区等空间，培育新兴消费场景。</w:t>
      </w:r>
    </w:p>
    <w:p w14:paraId="13264319">
      <w:pPr>
        <w:spacing w:before="260" w:after="260"/>
        <w:ind w:firstLine="640"/>
        <w:outlineLvl w:val="1"/>
        <w:rPr>
          <w:rFonts w:eastAsia="楷体" w:cs="楷体"/>
          <w:color w:val="000000"/>
          <w:szCs w:val="32"/>
        </w:rPr>
      </w:pPr>
      <w:bookmarkStart w:id="108" w:name="_Toc229673089"/>
      <w:r>
        <w:rPr>
          <w:rFonts w:hint="eastAsia" w:eastAsia="楷体" w:cs="楷体"/>
          <w:color w:val="000000"/>
          <w:szCs w:val="32"/>
        </w:rPr>
        <w:t>（五）优化发展环境</w:t>
      </w:r>
      <w:bookmarkEnd w:id="108"/>
    </w:p>
    <w:p w14:paraId="13081D7E">
      <w:pPr>
        <w:pStyle w:val="2"/>
        <w:ind w:firstLine="640"/>
        <w:rPr>
          <w:color w:val="000000"/>
        </w:rPr>
      </w:pPr>
      <w:r>
        <w:rPr>
          <w:rFonts w:hint="eastAsia" w:cs="楷体"/>
          <w:color w:val="000000"/>
          <w:szCs w:val="32"/>
        </w:rPr>
        <w:t>用好</w:t>
      </w:r>
      <w:r>
        <w:rPr>
          <w:rFonts w:hint="eastAsia" w:cs="楷体"/>
          <w:color w:val="000000"/>
          <w:szCs w:val="32"/>
          <w:lang w:val="en-US" w:eastAsia="zh-CN"/>
        </w:rPr>
        <w:t>国家单方面免签政策及</w:t>
      </w:r>
      <w:r>
        <w:rPr>
          <w:rFonts w:hint="eastAsia" w:cs="楷体"/>
          <w:color w:val="000000"/>
          <w:szCs w:val="32"/>
        </w:rPr>
        <w:t>240小时过境免签政策，加强对企业出境参展、招商以及境外商务人员来筑采购、洽谈等出入境的服务保障，便利跨境商务人员往来。</w:t>
      </w:r>
      <w:r>
        <w:rPr>
          <w:rFonts w:hint="eastAsia"/>
          <w:color w:val="000000"/>
        </w:rPr>
        <w:t>统筹考虑线上线下、商品服务等不同业态特点，制定合理的支持政策和监管标准，综合整治“内卷式”竞争，建立公正平等、创新自由的营商环境。深化“一表办、一网办、一窗办、一次办、一站办”，推进“人工智能+政务服务”，健全“高效办成一件事”常态化推进机制。构建以信用为基础的新型监管机制，强化知识产权保护，健全消费者投诉处理和监督评价机制，推动企业诚信经营、消费者放心消费。</w:t>
      </w:r>
    </w:p>
    <w:p w14:paraId="660D2C10">
      <w:pPr>
        <w:spacing w:before="260" w:after="260"/>
        <w:ind w:firstLine="640"/>
        <w:outlineLvl w:val="1"/>
        <w:rPr>
          <w:rFonts w:eastAsia="楷体" w:cs="楷体"/>
          <w:color w:val="000000"/>
          <w:szCs w:val="32"/>
        </w:rPr>
      </w:pPr>
      <w:bookmarkStart w:id="109" w:name="_Toc229673090"/>
      <w:r>
        <w:rPr>
          <w:rFonts w:hint="eastAsia" w:eastAsia="楷体" w:cs="楷体"/>
          <w:color w:val="000000"/>
          <w:szCs w:val="32"/>
        </w:rPr>
        <w:t>（六）筑牢安全屏障</w:t>
      </w:r>
      <w:bookmarkEnd w:id="109"/>
    </w:p>
    <w:p w14:paraId="066708E9">
      <w:pPr>
        <w:pStyle w:val="2"/>
        <w:ind w:firstLine="640"/>
        <w:rPr>
          <w:color w:val="000000"/>
        </w:rPr>
      </w:pPr>
      <w:r>
        <w:rPr>
          <w:rFonts w:hint="eastAsia"/>
          <w:color w:val="000000"/>
        </w:rPr>
        <w:t>统筹传统业态风险管控与新业态新模式安全，针对成品油流通、报废机动车回收拆解、大型商超、餐饮等传统高危及人员密集领域，严格落实企业主体责任与部门监管责任，健全全员安全生产责任制和隐患闭环管理机制。常态化开展隐患排查整治，强化人防物防技防，加强应急培训与安全警示宣传。建立健全应对国际贸易摩擦预警机制，</w:t>
      </w:r>
      <w:r>
        <w:rPr>
          <w:color w:val="000000"/>
        </w:rPr>
        <w:t>密切跟踪国际经贸规则变化及重点市场贸易政策动向，</w:t>
      </w:r>
      <w:r>
        <w:rPr>
          <w:rFonts w:hint="eastAsia"/>
          <w:color w:val="000000"/>
        </w:rPr>
        <w:t>加强全市产业链、供应链安全监测</w:t>
      </w:r>
      <w:r>
        <w:rPr>
          <w:color w:val="000000"/>
        </w:rPr>
        <w:t>，指导企业积极防范应对国外不合理贸易限制措施。</w:t>
      </w:r>
      <w:r>
        <w:rPr>
          <w:rFonts w:hint="eastAsia"/>
          <w:color w:val="000000"/>
        </w:rPr>
        <w:t>加强涉外经贸风险应对服务能力建设，严格执行“危地不去、乱地不往”原则，压实企业境外风险防控主体责任，</w:t>
      </w:r>
      <w:r>
        <w:rPr>
          <w:color w:val="000000"/>
        </w:rPr>
        <w:t>充分利用海外综合服务平台，依托驻外使领馆、海外商协会及海外综合服务站</w:t>
      </w:r>
      <w:r>
        <w:rPr>
          <w:rFonts w:hint="eastAsia"/>
          <w:color w:val="000000"/>
        </w:rPr>
        <w:t>等</w:t>
      </w:r>
      <w:r>
        <w:rPr>
          <w:color w:val="000000"/>
        </w:rPr>
        <w:t>，为企业提供合规指导与风险预警服务。</w:t>
      </w:r>
    </w:p>
    <w:p w14:paraId="471FF228">
      <w:pPr>
        <w:pStyle w:val="2"/>
        <w:ind w:firstLine="640"/>
        <w:rPr>
          <w:rFonts w:cs="楷体"/>
          <w:color w:val="000000"/>
          <w:szCs w:val="32"/>
        </w:rPr>
      </w:pPr>
    </w:p>
    <w:p w14:paraId="44ACB1AE">
      <w:pPr>
        <w:pStyle w:val="2"/>
        <w:ind w:firstLine="640"/>
        <w:rPr>
          <w:rFonts w:hint="eastAsia" w:cs="楷体"/>
          <w:color w:val="000000"/>
          <w:szCs w:val="32"/>
        </w:rPr>
      </w:pPr>
    </w:p>
    <w:p w14:paraId="69564BC2">
      <w:pPr>
        <w:pStyle w:val="2"/>
        <w:ind w:firstLine="640"/>
        <w:rPr>
          <w:rFonts w:hint="eastAsia" w:cs="楷体"/>
          <w:color w:val="000000"/>
          <w:szCs w:val="32"/>
        </w:rPr>
      </w:pPr>
    </w:p>
    <w:p w14:paraId="1C0BD27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22929-A6D1-41EF-B6B0-19B3CD7B26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39B708-85D3-4172-A23E-1C85720EEAE0}"/>
  </w:font>
  <w:font w:name="仿宋_GB2312">
    <w:altName w:val="仿宋"/>
    <w:panose1 w:val="02010609030101010101"/>
    <w:charset w:val="86"/>
    <w:family w:val="modern"/>
    <w:pitch w:val="default"/>
    <w:sig w:usb0="00000000" w:usb1="00000000" w:usb2="00000000" w:usb3="00000000" w:csb0="00040000" w:csb1="00000000"/>
    <w:embedRegular r:id="rId3" w:fontKey="{80EBD6E2-3A9F-4D1F-A0E8-3336317EFC80}"/>
  </w:font>
  <w:font w:name="楷体">
    <w:panose1 w:val="02010609060101010101"/>
    <w:charset w:val="86"/>
    <w:family w:val="modern"/>
    <w:pitch w:val="default"/>
    <w:sig w:usb0="800002BF" w:usb1="38CF7CFA" w:usb2="00000016" w:usb3="00000000" w:csb0="00040001" w:csb1="00000000"/>
    <w:embedRegular r:id="rId4" w:fontKey="{97845423-F66D-4B1A-98C0-B27F514B1961}"/>
  </w:font>
  <w:font w:name="方正小标宋简体">
    <w:panose1 w:val="02000000000000000000"/>
    <w:charset w:val="86"/>
    <w:family w:val="script"/>
    <w:pitch w:val="default"/>
    <w:sig w:usb0="00000001" w:usb1="08000000" w:usb2="00000000" w:usb3="00000000" w:csb0="00040000" w:csb1="00000000"/>
    <w:embedRegular r:id="rId5" w:fontKey="{4AE071E5-53A1-4899-B1B1-64B2B3DA1C54}"/>
  </w:font>
  <w:font w:name="等线">
    <w:panose1 w:val="02010600030101010101"/>
    <w:charset w:val="86"/>
    <w:family w:val="auto"/>
    <w:pitch w:val="default"/>
    <w:sig w:usb0="A00002BF" w:usb1="38CF7CFA" w:usb2="00000016" w:usb3="00000000" w:csb0="0004000F" w:csb1="00000000"/>
    <w:embedRegular r:id="rId6" w:fontKey="{5DB1CB10-1BDF-4FA4-A87D-9A11A4C1B6BE}"/>
  </w:font>
  <w:font w:name="微软雅黑">
    <w:panose1 w:val="020B0503020204020204"/>
    <w:charset w:val="86"/>
    <w:family w:val="swiss"/>
    <w:pitch w:val="default"/>
    <w:sig w:usb0="80000287" w:usb1="2ACF3C50" w:usb2="00000016" w:usb3="00000000" w:csb0="0004001F" w:csb1="00000000"/>
    <w:embedRegular r:id="rId7" w:fontKey="{09E0BDBE-5D54-4CC1-BE47-5E005937E6CB}"/>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889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191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1636">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2191">
    <w:pPr>
      <w:pStyle w:val="4"/>
      <w:ind w:firstLine="360"/>
      <w:jc w:val="center"/>
      <w:rPr>
        <w:rFonts w:hint="eastAsia"/>
      </w:rPr>
    </w:pPr>
    <w:r>
      <w:fldChar w:fldCharType="begin"/>
    </w:r>
    <w:r>
      <w:instrText xml:space="preserve">PAGE   \* MERGEFORMAT</w:instrText>
    </w:r>
    <w:r>
      <w:fldChar w:fldCharType="separate"/>
    </w:r>
    <w:r>
      <w:rPr>
        <w:lang w:val="zh-CN"/>
      </w:rPr>
      <w:t>2</w:t>
    </w:r>
    <w:r>
      <w:fldChar w:fldCharType="end"/>
    </w:r>
  </w:p>
  <w:p w14:paraId="5F17C894">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B465">
    <w:pPr>
      <w:pStyle w:val="4"/>
      <w:ind w:firstLine="360"/>
      <w:jc w:val="center"/>
      <w:rPr>
        <w:rFonts w:hint="eastAsia"/>
      </w:rPr>
    </w:pPr>
    <w:r>
      <w:fldChar w:fldCharType="begin"/>
    </w:r>
    <w:r>
      <w:instrText xml:space="preserve">PAGE   \* MERGEFORMAT</w:instrText>
    </w:r>
    <w:r>
      <w:fldChar w:fldCharType="separate"/>
    </w:r>
    <w:r>
      <w:rPr>
        <w:lang w:val="zh-CN"/>
      </w:rPr>
      <w:t>2</w:t>
    </w:r>
    <w:r>
      <w:fldChar w:fldCharType="end"/>
    </w:r>
  </w:p>
  <w:p w14:paraId="5F218E02">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29C8">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41A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9AB5">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B682B"/>
    <w:rsid w:val="00153B11"/>
    <w:rsid w:val="00254C02"/>
    <w:rsid w:val="00C953F9"/>
    <w:rsid w:val="01115263"/>
    <w:rsid w:val="012B1361"/>
    <w:rsid w:val="01402C47"/>
    <w:rsid w:val="017B0090"/>
    <w:rsid w:val="01AA0B7A"/>
    <w:rsid w:val="01D5708E"/>
    <w:rsid w:val="020228C4"/>
    <w:rsid w:val="028E2A19"/>
    <w:rsid w:val="028E3073"/>
    <w:rsid w:val="02A723F3"/>
    <w:rsid w:val="03497701"/>
    <w:rsid w:val="035A2B33"/>
    <w:rsid w:val="03F55A6B"/>
    <w:rsid w:val="03FD5BA2"/>
    <w:rsid w:val="0442255C"/>
    <w:rsid w:val="045F5F18"/>
    <w:rsid w:val="04A41E2C"/>
    <w:rsid w:val="04C21409"/>
    <w:rsid w:val="05094764"/>
    <w:rsid w:val="052503D3"/>
    <w:rsid w:val="052C1BAB"/>
    <w:rsid w:val="053C1F5E"/>
    <w:rsid w:val="05577FD1"/>
    <w:rsid w:val="056D687E"/>
    <w:rsid w:val="05935A4F"/>
    <w:rsid w:val="06550402"/>
    <w:rsid w:val="06575E4C"/>
    <w:rsid w:val="06A879EA"/>
    <w:rsid w:val="06AE75FE"/>
    <w:rsid w:val="06BD7428"/>
    <w:rsid w:val="06E1648A"/>
    <w:rsid w:val="07055D34"/>
    <w:rsid w:val="070E1E90"/>
    <w:rsid w:val="071A66AF"/>
    <w:rsid w:val="075632AF"/>
    <w:rsid w:val="075A757B"/>
    <w:rsid w:val="07727C77"/>
    <w:rsid w:val="07AB007A"/>
    <w:rsid w:val="07B63DD1"/>
    <w:rsid w:val="08080CFD"/>
    <w:rsid w:val="08101E7F"/>
    <w:rsid w:val="08103D2F"/>
    <w:rsid w:val="08122C2B"/>
    <w:rsid w:val="081640A4"/>
    <w:rsid w:val="08460093"/>
    <w:rsid w:val="086462BB"/>
    <w:rsid w:val="08960EC7"/>
    <w:rsid w:val="089F3A2F"/>
    <w:rsid w:val="090F1C0A"/>
    <w:rsid w:val="091117AF"/>
    <w:rsid w:val="09812F44"/>
    <w:rsid w:val="09E73EFD"/>
    <w:rsid w:val="09E94C27"/>
    <w:rsid w:val="0A444EBA"/>
    <w:rsid w:val="0AF36DD6"/>
    <w:rsid w:val="0B0479C1"/>
    <w:rsid w:val="0B280CCA"/>
    <w:rsid w:val="0B7902D8"/>
    <w:rsid w:val="0B8E6558"/>
    <w:rsid w:val="0B9020EC"/>
    <w:rsid w:val="0BAD5701"/>
    <w:rsid w:val="0BD03CD3"/>
    <w:rsid w:val="0C0B0E6B"/>
    <w:rsid w:val="0C1700F6"/>
    <w:rsid w:val="0C707C95"/>
    <w:rsid w:val="0C902352"/>
    <w:rsid w:val="0C9C3347"/>
    <w:rsid w:val="0D593A01"/>
    <w:rsid w:val="0D7C10B1"/>
    <w:rsid w:val="0DF80B68"/>
    <w:rsid w:val="0E3B7AB0"/>
    <w:rsid w:val="0E3F4731"/>
    <w:rsid w:val="0E485941"/>
    <w:rsid w:val="0E79342B"/>
    <w:rsid w:val="0E915527"/>
    <w:rsid w:val="0EAE1726"/>
    <w:rsid w:val="0EE43736"/>
    <w:rsid w:val="0EED1FBD"/>
    <w:rsid w:val="0EF107BC"/>
    <w:rsid w:val="0F4357DE"/>
    <w:rsid w:val="0F6F180B"/>
    <w:rsid w:val="0F721068"/>
    <w:rsid w:val="0F847EA4"/>
    <w:rsid w:val="10337905"/>
    <w:rsid w:val="103542AE"/>
    <w:rsid w:val="10486461"/>
    <w:rsid w:val="105960B9"/>
    <w:rsid w:val="1082323B"/>
    <w:rsid w:val="110E4AC1"/>
    <w:rsid w:val="11960F93"/>
    <w:rsid w:val="11A51595"/>
    <w:rsid w:val="11F92897"/>
    <w:rsid w:val="126F0E88"/>
    <w:rsid w:val="127F5AFD"/>
    <w:rsid w:val="13051351"/>
    <w:rsid w:val="13065054"/>
    <w:rsid w:val="130D77E6"/>
    <w:rsid w:val="13510FA5"/>
    <w:rsid w:val="13603EB5"/>
    <w:rsid w:val="13B10C78"/>
    <w:rsid w:val="13FA06B5"/>
    <w:rsid w:val="14094C2F"/>
    <w:rsid w:val="14253B98"/>
    <w:rsid w:val="142877E9"/>
    <w:rsid w:val="14376742"/>
    <w:rsid w:val="14956DF8"/>
    <w:rsid w:val="14991881"/>
    <w:rsid w:val="14E5226D"/>
    <w:rsid w:val="14F72795"/>
    <w:rsid w:val="151731DF"/>
    <w:rsid w:val="151F7826"/>
    <w:rsid w:val="15354D6A"/>
    <w:rsid w:val="15424442"/>
    <w:rsid w:val="15D57449"/>
    <w:rsid w:val="15FD4589"/>
    <w:rsid w:val="16122F56"/>
    <w:rsid w:val="16215E66"/>
    <w:rsid w:val="166856B6"/>
    <w:rsid w:val="167076F2"/>
    <w:rsid w:val="167C315B"/>
    <w:rsid w:val="16835D08"/>
    <w:rsid w:val="16875520"/>
    <w:rsid w:val="17030E72"/>
    <w:rsid w:val="175131FB"/>
    <w:rsid w:val="175B1467"/>
    <w:rsid w:val="178A46FF"/>
    <w:rsid w:val="189A18A9"/>
    <w:rsid w:val="18BD0404"/>
    <w:rsid w:val="18BD6CA7"/>
    <w:rsid w:val="18E222D5"/>
    <w:rsid w:val="18E820D7"/>
    <w:rsid w:val="18F539B1"/>
    <w:rsid w:val="18FC6D60"/>
    <w:rsid w:val="19AF6A83"/>
    <w:rsid w:val="19D61FF6"/>
    <w:rsid w:val="19F453C6"/>
    <w:rsid w:val="1A1F3CE5"/>
    <w:rsid w:val="1A2C04BE"/>
    <w:rsid w:val="1A2D3B5A"/>
    <w:rsid w:val="1A601D1E"/>
    <w:rsid w:val="1A614B7A"/>
    <w:rsid w:val="1A895FA6"/>
    <w:rsid w:val="1A8D4EBD"/>
    <w:rsid w:val="1AA2514F"/>
    <w:rsid w:val="1B137FA5"/>
    <w:rsid w:val="1B3A6BD4"/>
    <w:rsid w:val="1B5E5848"/>
    <w:rsid w:val="1BC6058D"/>
    <w:rsid w:val="1BCA3E9B"/>
    <w:rsid w:val="1C36431C"/>
    <w:rsid w:val="1C716ECD"/>
    <w:rsid w:val="1CA0198A"/>
    <w:rsid w:val="1CE62059"/>
    <w:rsid w:val="1D555012"/>
    <w:rsid w:val="1D755A89"/>
    <w:rsid w:val="1DD11DE8"/>
    <w:rsid w:val="1DDB091C"/>
    <w:rsid w:val="1E9276FC"/>
    <w:rsid w:val="1EAC22BC"/>
    <w:rsid w:val="1F811A59"/>
    <w:rsid w:val="1FAC1E63"/>
    <w:rsid w:val="1FD86DE4"/>
    <w:rsid w:val="2027567E"/>
    <w:rsid w:val="204236F2"/>
    <w:rsid w:val="207046EF"/>
    <w:rsid w:val="20895D9D"/>
    <w:rsid w:val="20D6616D"/>
    <w:rsid w:val="20DC1828"/>
    <w:rsid w:val="20E96CAA"/>
    <w:rsid w:val="211A52EA"/>
    <w:rsid w:val="213952CE"/>
    <w:rsid w:val="21A51C47"/>
    <w:rsid w:val="21BE5893"/>
    <w:rsid w:val="21F02B64"/>
    <w:rsid w:val="221962C7"/>
    <w:rsid w:val="227E5C47"/>
    <w:rsid w:val="22A71518"/>
    <w:rsid w:val="22D9524B"/>
    <w:rsid w:val="22EC1088"/>
    <w:rsid w:val="22FA0E33"/>
    <w:rsid w:val="22FD3EDE"/>
    <w:rsid w:val="22FE38A1"/>
    <w:rsid w:val="23227EB8"/>
    <w:rsid w:val="23300896"/>
    <w:rsid w:val="23506159"/>
    <w:rsid w:val="236B5871"/>
    <w:rsid w:val="236D2A1F"/>
    <w:rsid w:val="239A7CCC"/>
    <w:rsid w:val="23C230F1"/>
    <w:rsid w:val="23CB03A8"/>
    <w:rsid w:val="24281A58"/>
    <w:rsid w:val="242B042A"/>
    <w:rsid w:val="24604CC7"/>
    <w:rsid w:val="25283B57"/>
    <w:rsid w:val="25572151"/>
    <w:rsid w:val="255D1A89"/>
    <w:rsid w:val="256606C7"/>
    <w:rsid w:val="2628075D"/>
    <w:rsid w:val="265F1C8E"/>
    <w:rsid w:val="266C496D"/>
    <w:rsid w:val="269A55C8"/>
    <w:rsid w:val="26A60979"/>
    <w:rsid w:val="26D45A3C"/>
    <w:rsid w:val="26ED7707"/>
    <w:rsid w:val="271272A7"/>
    <w:rsid w:val="274E2EA5"/>
    <w:rsid w:val="277C5D7C"/>
    <w:rsid w:val="278C28C3"/>
    <w:rsid w:val="27933323"/>
    <w:rsid w:val="2796510F"/>
    <w:rsid w:val="28106AE6"/>
    <w:rsid w:val="285E6EE1"/>
    <w:rsid w:val="287B1091"/>
    <w:rsid w:val="28DB1B62"/>
    <w:rsid w:val="293C6030"/>
    <w:rsid w:val="294449CA"/>
    <w:rsid w:val="295703BD"/>
    <w:rsid w:val="2958029D"/>
    <w:rsid w:val="2962238B"/>
    <w:rsid w:val="29695F14"/>
    <w:rsid w:val="29767F59"/>
    <w:rsid w:val="29A5481E"/>
    <w:rsid w:val="29A901F5"/>
    <w:rsid w:val="2A1D77AA"/>
    <w:rsid w:val="2A3C4469"/>
    <w:rsid w:val="2A421306"/>
    <w:rsid w:val="2A4C45D1"/>
    <w:rsid w:val="2A771640"/>
    <w:rsid w:val="2A8224F6"/>
    <w:rsid w:val="2A82723E"/>
    <w:rsid w:val="2A8379B5"/>
    <w:rsid w:val="2A8E0C31"/>
    <w:rsid w:val="2AEA61ED"/>
    <w:rsid w:val="2B1B1918"/>
    <w:rsid w:val="2B467F11"/>
    <w:rsid w:val="2B5F65CD"/>
    <w:rsid w:val="2BD16F6E"/>
    <w:rsid w:val="2BFA69F4"/>
    <w:rsid w:val="2C103B4E"/>
    <w:rsid w:val="2C350F12"/>
    <w:rsid w:val="2C623C4E"/>
    <w:rsid w:val="2C7471F8"/>
    <w:rsid w:val="2CCD7323"/>
    <w:rsid w:val="2CCF0424"/>
    <w:rsid w:val="2CE264BB"/>
    <w:rsid w:val="2CF357C2"/>
    <w:rsid w:val="2D85332D"/>
    <w:rsid w:val="2DB341A2"/>
    <w:rsid w:val="2DBB5D08"/>
    <w:rsid w:val="2DC179D3"/>
    <w:rsid w:val="2DDD62CA"/>
    <w:rsid w:val="2DFD3D18"/>
    <w:rsid w:val="2E144707"/>
    <w:rsid w:val="2E284088"/>
    <w:rsid w:val="2E2E33A9"/>
    <w:rsid w:val="2E3E49A3"/>
    <w:rsid w:val="2E423657"/>
    <w:rsid w:val="2EA362D0"/>
    <w:rsid w:val="2EB86D2E"/>
    <w:rsid w:val="2EDB7CF5"/>
    <w:rsid w:val="2EEF0F07"/>
    <w:rsid w:val="2F320016"/>
    <w:rsid w:val="2F5154FD"/>
    <w:rsid w:val="2F76496E"/>
    <w:rsid w:val="303A2CC9"/>
    <w:rsid w:val="306A6EC5"/>
    <w:rsid w:val="307D0768"/>
    <w:rsid w:val="309A08C5"/>
    <w:rsid w:val="30B8349F"/>
    <w:rsid w:val="31132F1D"/>
    <w:rsid w:val="312D4F6D"/>
    <w:rsid w:val="315D25DF"/>
    <w:rsid w:val="31643D95"/>
    <w:rsid w:val="31F0457B"/>
    <w:rsid w:val="31F95580"/>
    <w:rsid w:val="3200462D"/>
    <w:rsid w:val="32280F07"/>
    <w:rsid w:val="325A1057"/>
    <w:rsid w:val="32861562"/>
    <w:rsid w:val="329D2C87"/>
    <w:rsid w:val="32F14651"/>
    <w:rsid w:val="32F30AFC"/>
    <w:rsid w:val="33157777"/>
    <w:rsid w:val="33274B65"/>
    <w:rsid w:val="337B0DF5"/>
    <w:rsid w:val="33DC5185"/>
    <w:rsid w:val="33E26DB1"/>
    <w:rsid w:val="33F31D17"/>
    <w:rsid w:val="34606293"/>
    <w:rsid w:val="34751523"/>
    <w:rsid w:val="34C36998"/>
    <w:rsid w:val="350B7720"/>
    <w:rsid w:val="35217243"/>
    <w:rsid w:val="35861769"/>
    <w:rsid w:val="35EE05E6"/>
    <w:rsid w:val="35EE12B2"/>
    <w:rsid w:val="360E07A1"/>
    <w:rsid w:val="361C5373"/>
    <w:rsid w:val="363248ED"/>
    <w:rsid w:val="367A49C1"/>
    <w:rsid w:val="36F547F7"/>
    <w:rsid w:val="36FC7E57"/>
    <w:rsid w:val="370B36CB"/>
    <w:rsid w:val="3714784D"/>
    <w:rsid w:val="373948AE"/>
    <w:rsid w:val="374C3E3D"/>
    <w:rsid w:val="377266A0"/>
    <w:rsid w:val="37957F6C"/>
    <w:rsid w:val="37A22F5D"/>
    <w:rsid w:val="37A311A7"/>
    <w:rsid w:val="37B56806"/>
    <w:rsid w:val="37DC1A76"/>
    <w:rsid w:val="37FE72A8"/>
    <w:rsid w:val="382D22C9"/>
    <w:rsid w:val="3852622A"/>
    <w:rsid w:val="385839CE"/>
    <w:rsid w:val="38A8141B"/>
    <w:rsid w:val="39453EEE"/>
    <w:rsid w:val="39716D9E"/>
    <w:rsid w:val="39B64D8E"/>
    <w:rsid w:val="39FB6643"/>
    <w:rsid w:val="39FF2B20"/>
    <w:rsid w:val="3A40481A"/>
    <w:rsid w:val="3AA65169"/>
    <w:rsid w:val="3B3819C3"/>
    <w:rsid w:val="3B8F7036"/>
    <w:rsid w:val="3BB01659"/>
    <w:rsid w:val="3BCC621E"/>
    <w:rsid w:val="3BDB671B"/>
    <w:rsid w:val="3BE46F74"/>
    <w:rsid w:val="3C0F34C3"/>
    <w:rsid w:val="3C3D39F8"/>
    <w:rsid w:val="3C451075"/>
    <w:rsid w:val="3C467DBA"/>
    <w:rsid w:val="3D1329CF"/>
    <w:rsid w:val="3D3626A9"/>
    <w:rsid w:val="3D4045B0"/>
    <w:rsid w:val="3DBC5BFD"/>
    <w:rsid w:val="3DC841A2"/>
    <w:rsid w:val="3DCC4CA6"/>
    <w:rsid w:val="3DDA356A"/>
    <w:rsid w:val="3E530557"/>
    <w:rsid w:val="3E580ADA"/>
    <w:rsid w:val="3E6E60EC"/>
    <w:rsid w:val="3E9206EE"/>
    <w:rsid w:val="3E9E5BF5"/>
    <w:rsid w:val="3EA35513"/>
    <w:rsid w:val="3EAA688C"/>
    <w:rsid w:val="3EAE5DD4"/>
    <w:rsid w:val="3EF1088E"/>
    <w:rsid w:val="3F503298"/>
    <w:rsid w:val="3F891903"/>
    <w:rsid w:val="3F8C6D74"/>
    <w:rsid w:val="3F991641"/>
    <w:rsid w:val="3FF16AF2"/>
    <w:rsid w:val="40067C02"/>
    <w:rsid w:val="40080794"/>
    <w:rsid w:val="4053418A"/>
    <w:rsid w:val="407348DA"/>
    <w:rsid w:val="40A16C2D"/>
    <w:rsid w:val="40BA74C6"/>
    <w:rsid w:val="40DB66AC"/>
    <w:rsid w:val="40E72110"/>
    <w:rsid w:val="4119342A"/>
    <w:rsid w:val="41541ED4"/>
    <w:rsid w:val="4178534E"/>
    <w:rsid w:val="417C2159"/>
    <w:rsid w:val="41A95C7B"/>
    <w:rsid w:val="41E42172"/>
    <w:rsid w:val="42141D89"/>
    <w:rsid w:val="42660451"/>
    <w:rsid w:val="42661045"/>
    <w:rsid w:val="42F146DF"/>
    <w:rsid w:val="432C3046"/>
    <w:rsid w:val="435E2E33"/>
    <w:rsid w:val="4366515A"/>
    <w:rsid w:val="43D017C8"/>
    <w:rsid w:val="43DE6D6F"/>
    <w:rsid w:val="43E41DDE"/>
    <w:rsid w:val="4441745D"/>
    <w:rsid w:val="44A25A89"/>
    <w:rsid w:val="44D827A5"/>
    <w:rsid w:val="45317F13"/>
    <w:rsid w:val="45360D1A"/>
    <w:rsid w:val="45362CBB"/>
    <w:rsid w:val="45D95A9C"/>
    <w:rsid w:val="465E62F2"/>
    <w:rsid w:val="469567AB"/>
    <w:rsid w:val="46CE05E7"/>
    <w:rsid w:val="470D7B3E"/>
    <w:rsid w:val="478B682B"/>
    <w:rsid w:val="47A059C1"/>
    <w:rsid w:val="47AB0316"/>
    <w:rsid w:val="47C56338"/>
    <w:rsid w:val="47D96230"/>
    <w:rsid w:val="480C4F00"/>
    <w:rsid w:val="486301CD"/>
    <w:rsid w:val="48AF5457"/>
    <w:rsid w:val="48CE2BF3"/>
    <w:rsid w:val="48E37EF6"/>
    <w:rsid w:val="492F6802"/>
    <w:rsid w:val="494679A3"/>
    <w:rsid w:val="49A64BEA"/>
    <w:rsid w:val="49BC7F51"/>
    <w:rsid w:val="49C31056"/>
    <w:rsid w:val="4A6E79F7"/>
    <w:rsid w:val="4A82692C"/>
    <w:rsid w:val="4B3A4C01"/>
    <w:rsid w:val="4B4F68D2"/>
    <w:rsid w:val="4BB855C0"/>
    <w:rsid w:val="4BFB13A6"/>
    <w:rsid w:val="4C002CB6"/>
    <w:rsid w:val="4C226924"/>
    <w:rsid w:val="4C2511E0"/>
    <w:rsid w:val="4C4B14D6"/>
    <w:rsid w:val="4C511A7B"/>
    <w:rsid w:val="4C6A3537"/>
    <w:rsid w:val="4C815C11"/>
    <w:rsid w:val="4CA850AC"/>
    <w:rsid w:val="4D465C63"/>
    <w:rsid w:val="4D6267B2"/>
    <w:rsid w:val="4D694D0B"/>
    <w:rsid w:val="4D840739"/>
    <w:rsid w:val="4D945610"/>
    <w:rsid w:val="4DC6463F"/>
    <w:rsid w:val="4DDD6CB4"/>
    <w:rsid w:val="4E1270B7"/>
    <w:rsid w:val="4E2A7BF6"/>
    <w:rsid w:val="4E464E42"/>
    <w:rsid w:val="4EA56EEC"/>
    <w:rsid w:val="4EB51BE6"/>
    <w:rsid w:val="4FB80FBE"/>
    <w:rsid w:val="4FC611BA"/>
    <w:rsid w:val="500B3358"/>
    <w:rsid w:val="50180A3F"/>
    <w:rsid w:val="505C3AE6"/>
    <w:rsid w:val="50923E59"/>
    <w:rsid w:val="509276B1"/>
    <w:rsid w:val="509A00EC"/>
    <w:rsid w:val="50D17AC3"/>
    <w:rsid w:val="50D50F0D"/>
    <w:rsid w:val="511E4824"/>
    <w:rsid w:val="518C603B"/>
    <w:rsid w:val="5193373B"/>
    <w:rsid w:val="52543048"/>
    <w:rsid w:val="527A0455"/>
    <w:rsid w:val="527A6CA4"/>
    <w:rsid w:val="52AA6835"/>
    <w:rsid w:val="52DD4466"/>
    <w:rsid w:val="531E1DA1"/>
    <w:rsid w:val="53211E1A"/>
    <w:rsid w:val="533741DE"/>
    <w:rsid w:val="535166AE"/>
    <w:rsid w:val="536C6CC9"/>
    <w:rsid w:val="53C70957"/>
    <w:rsid w:val="53F500A3"/>
    <w:rsid w:val="541801BD"/>
    <w:rsid w:val="542D3202"/>
    <w:rsid w:val="5431563D"/>
    <w:rsid w:val="544F39B5"/>
    <w:rsid w:val="54561869"/>
    <w:rsid w:val="546664D8"/>
    <w:rsid w:val="546C4ECB"/>
    <w:rsid w:val="54B22255"/>
    <w:rsid w:val="54B61E3D"/>
    <w:rsid w:val="54F568EE"/>
    <w:rsid w:val="555D4C81"/>
    <w:rsid w:val="557E4980"/>
    <w:rsid w:val="55904771"/>
    <w:rsid w:val="55C03613"/>
    <w:rsid w:val="5618503C"/>
    <w:rsid w:val="562A1349"/>
    <w:rsid w:val="563809D8"/>
    <w:rsid w:val="565C78A2"/>
    <w:rsid w:val="568E46D1"/>
    <w:rsid w:val="56F9735B"/>
    <w:rsid w:val="572844D1"/>
    <w:rsid w:val="575F39FC"/>
    <w:rsid w:val="57625AB5"/>
    <w:rsid w:val="57ED62DA"/>
    <w:rsid w:val="5839668B"/>
    <w:rsid w:val="585B4C49"/>
    <w:rsid w:val="58600CAE"/>
    <w:rsid w:val="58600DA0"/>
    <w:rsid w:val="58766782"/>
    <w:rsid w:val="588124BF"/>
    <w:rsid w:val="58B64426"/>
    <w:rsid w:val="595C336B"/>
    <w:rsid w:val="597E6507"/>
    <w:rsid w:val="598C4EA7"/>
    <w:rsid w:val="599B5762"/>
    <w:rsid w:val="59CC0C60"/>
    <w:rsid w:val="59CE58F6"/>
    <w:rsid w:val="59D26A95"/>
    <w:rsid w:val="59EA0FD5"/>
    <w:rsid w:val="59FA5268"/>
    <w:rsid w:val="5A012A47"/>
    <w:rsid w:val="5A53499E"/>
    <w:rsid w:val="5AA617F2"/>
    <w:rsid w:val="5AEB703C"/>
    <w:rsid w:val="5B5F55CD"/>
    <w:rsid w:val="5B6767E0"/>
    <w:rsid w:val="5B9F1E8A"/>
    <w:rsid w:val="5BB6048B"/>
    <w:rsid w:val="5BDB5B36"/>
    <w:rsid w:val="5BE031B5"/>
    <w:rsid w:val="5BED2311"/>
    <w:rsid w:val="5C1C3DA7"/>
    <w:rsid w:val="5C615BD6"/>
    <w:rsid w:val="5C852477"/>
    <w:rsid w:val="5CAA2522"/>
    <w:rsid w:val="5CBA209B"/>
    <w:rsid w:val="5CD14ED9"/>
    <w:rsid w:val="5CEC3A11"/>
    <w:rsid w:val="5CFA6496"/>
    <w:rsid w:val="5CFA7D81"/>
    <w:rsid w:val="5D0F0663"/>
    <w:rsid w:val="5D3778A1"/>
    <w:rsid w:val="5D5034D0"/>
    <w:rsid w:val="5D5D782B"/>
    <w:rsid w:val="5DE51D52"/>
    <w:rsid w:val="5DFC501E"/>
    <w:rsid w:val="5E0124EE"/>
    <w:rsid w:val="5E0523CF"/>
    <w:rsid w:val="5E7C4572"/>
    <w:rsid w:val="5EB650B1"/>
    <w:rsid w:val="5ED01A60"/>
    <w:rsid w:val="5EE211E2"/>
    <w:rsid w:val="5EE355DB"/>
    <w:rsid w:val="5F313E12"/>
    <w:rsid w:val="5F3351A7"/>
    <w:rsid w:val="5F546E82"/>
    <w:rsid w:val="5F894129"/>
    <w:rsid w:val="5F9B2655"/>
    <w:rsid w:val="5F9F712A"/>
    <w:rsid w:val="601701A6"/>
    <w:rsid w:val="60411E59"/>
    <w:rsid w:val="60474B64"/>
    <w:rsid w:val="605E2A72"/>
    <w:rsid w:val="605F7323"/>
    <w:rsid w:val="607D763E"/>
    <w:rsid w:val="60845ACB"/>
    <w:rsid w:val="609C3C04"/>
    <w:rsid w:val="60A57FDB"/>
    <w:rsid w:val="60D07B45"/>
    <w:rsid w:val="60E9166C"/>
    <w:rsid w:val="61666F4E"/>
    <w:rsid w:val="61720F27"/>
    <w:rsid w:val="61D42890"/>
    <w:rsid w:val="623C31DB"/>
    <w:rsid w:val="628D1273"/>
    <w:rsid w:val="62BC075A"/>
    <w:rsid w:val="635A7A70"/>
    <w:rsid w:val="636249C6"/>
    <w:rsid w:val="63843B13"/>
    <w:rsid w:val="63864085"/>
    <w:rsid w:val="63C45B0E"/>
    <w:rsid w:val="641D18C2"/>
    <w:rsid w:val="641F32C3"/>
    <w:rsid w:val="6451702C"/>
    <w:rsid w:val="64EC1065"/>
    <w:rsid w:val="650978DD"/>
    <w:rsid w:val="65440727"/>
    <w:rsid w:val="654F5156"/>
    <w:rsid w:val="657C2293"/>
    <w:rsid w:val="65DD51EC"/>
    <w:rsid w:val="65E3545A"/>
    <w:rsid w:val="65FA7DC1"/>
    <w:rsid w:val="66022853"/>
    <w:rsid w:val="661C6F8B"/>
    <w:rsid w:val="6641229D"/>
    <w:rsid w:val="666279F3"/>
    <w:rsid w:val="66B54FE4"/>
    <w:rsid w:val="66C24952"/>
    <w:rsid w:val="6701421A"/>
    <w:rsid w:val="67022D42"/>
    <w:rsid w:val="671E206C"/>
    <w:rsid w:val="67315823"/>
    <w:rsid w:val="67B462E7"/>
    <w:rsid w:val="67DA7A0C"/>
    <w:rsid w:val="67F538D1"/>
    <w:rsid w:val="67FB5D3E"/>
    <w:rsid w:val="68080249"/>
    <w:rsid w:val="682F2C90"/>
    <w:rsid w:val="68577A13"/>
    <w:rsid w:val="686C7776"/>
    <w:rsid w:val="6885793F"/>
    <w:rsid w:val="68B14F57"/>
    <w:rsid w:val="68B87013"/>
    <w:rsid w:val="68F36CCC"/>
    <w:rsid w:val="68FA4A9F"/>
    <w:rsid w:val="6938084C"/>
    <w:rsid w:val="694A0F0B"/>
    <w:rsid w:val="694B55DC"/>
    <w:rsid w:val="6954066B"/>
    <w:rsid w:val="69901B1F"/>
    <w:rsid w:val="69E779B4"/>
    <w:rsid w:val="6A173DE4"/>
    <w:rsid w:val="6A4845EF"/>
    <w:rsid w:val="6A8420C5"/>
    <w:rsid w:val="6AB5463B"/>
    <w:rsid w:val="6AC04D6A"/>
    <w:rsid w:val="6B134862"/>
    <w:rsid w:val="6B24408F"/>
    <w:rsid w:val="6B2A61E1"/>
    <w:rsid w:val="6B3A4A53"/>
    <w:rsid w:val="6B541DDC"/>
    <w:rsid w:val="6B9047C5"/>
    <w:rsid w:val="6B9766BF"/>
    <w:rsid w:val="6BC770E5"/>
    <w:rsid w:val="6BE671E3"/>
    <w:rsid w:val="6C0205EF"/>
    <w:rsid w:val="6C3F2A8F"/>
    <w:rsid w:val="6C482F06"/>
    <w:rsid w:val="6C533821"/>
    <w:rsid w:val="6C5D1798"/>
    <w:rsid w:val="6C7A5947"/>
    <w:rsid w:val="6C7B4185"/>
    <w:rsid w:val="6C8C4788"/>
    <w:rsid w:val="6C8D1F82"/>
    <w:rsid w:val="6C9B4E31"/>
    <w:rsid w:val="6CAB6982"/>
    <w:rsid w:val="6CB00A2C"/>
    <w:rsid w:val="6CD255D6"/>
    <w:rsid w:val="6DA54719"/>
    <w:rsid w:val="6DB75A33"/>
    <w:rsid w:val="6DBA360F"/>
    <w:rsid w:val="6DC102D2"/>
    <w:rsid w:val="6DF81BFB"/>
    <w:rsid w:val="6E8D5EC1"/>
    <w:rsid w:val="6EA13D91"/>
    <w:rsid w:val="6EA219A2"/>
    <w:rsid w:val="6ED075BF"/>
    <w:rsid w:val="6EE02D7B"/>
    <w:rsid w:val="6EF474BB"/>
    <w:rsid w:val="6EFC7606"/>
    <w:rsid w:val="6F103837"/>
    <w:rsid w:val="6F1F40E2"/>
    <w:rsid w:val="6F4F60FE"/>
    <w:rsid w:val="6F534728"/>
    <w:rsid w:val="6F613398"/>
    <w:rsid w:val="6FC2367B"/>
    <w:rsid w:val="6FED15DA"/>
    <w:rsid w:val="704E36E5"/>
    <w:rsid w:val="70A74944"/>
    <w:rsid w:val="70BB1AB4"/>
    <w:rsid w:val="70EF2EF2"/>
    <w:rsid w:val="71166EE6"/>
    <w:rsid w:val="714A4CCA"/>
    <w:rsid w:val="71B33514"/>
    <w:rsid w:val="71F7254A"/>
    <w:rsid w:val="7217668C"/>
    <w:rsid w:val="7236474A"/>
    <w:rsid w:val="725F6AD9"/>
    <w:rsid w:val="729175EC"/>
    <w:rsid w:val="72D02107"/>
    <w:rsid w:val="72E01CF3"/>
    <w:rsid w:val="72E11152"/>
    <w:rsid w:val="730932A6"/>
    <w:rsid w:val="733C1A33"/>
    <w:rsid w:val="73E441AA"/>
    <w:rsid w:val="740B247B"/>
    <w:rsid w:val="74501EB3"/>
    <w:rsid w:val="745F69FE"/>
    <w:rsid w:val="74CF7916"/>
    <w:rsid w:val="74F2752B"/>
    <w:rsid w:val="75135BD5"/>
    <w:rsid w:val="75627604"/>
    <w:rsid w:val="75D15D67"/>
    <w:rsid w:val="75E136CB"/>
    <w:rsid w:val="760E0AED"/>
    <w:rsid w:val="76AC28F4"/>
    <w:rsid w:val="76F774A3"/>
    <w:rsid w:val="770B17B8"/>
    <w:rsid w:val="776D4612"/>
    <w:rsid w:val="7789341C"/>
    <w:rsid w:val="778C6E34"/>
    <w:rsid w:val="77D462D3"/>
    <w:rsid w:val="77D919B0"/>
    <w:rsid w:val="78C36415"/>
    <w:rsid w:val="78DB0322"/>
    <w:rsid w:val="79F128C5"/>
    <w:rsid w:val="7A601D93"/>
    <w:rsid w:val="7A8B5D47"/>
    <w:rsid w:val="7A930C18"/>
    <w:rsid w:val="7AB51325"/>
    <w:rsid w:val="7AD86A5B"/>
    <w:rsid w:val="7AED77BF"/>
    <w:rsid w:val="7B1401AF"/>
    <w:rsid w:val="7B474CB7"/>
    <w:rsid w:val="7B514C4D"/>
    <w:rsid w:val="7B6408BD"/>
    <w:rsid w:val="7B7865B3"/>
    <w:rsid w:val="7B9A198B"/>
    <w:rsid w:val="7BE03CCA"/>
    <w:rsid w:val="7C676F86"/>
    <w:rsid w:val="7CCD3B76"/>
    <w:rsid w:val="7CD862BD"/>
    <w:rsid w:val="7D1E2667"/>
    <w:rsid w:val="7D222199"/>
    <w:rsid w:val="7D3E4641"/>
    <w:rsid w:val="7D770FA9"/>
    <w:rsid w:val="7DEE19FE"/>
    <w:rsid w:val="7DF13D33"/>
    <w:rsid w:val="7E1150A3"/>
    <w:rsid w:val="7E254AC2"/>
    <w:rsid w:val="7E5C17E9"/>
    <w:rsid w:val="7E6A6E73"/>
    <w:rsid w:val="7E7D54A7"/>
    <w:rsid w:val="7EED79C6"/>
    <w:rsid w:val="7F0D2D48"/>
    <w:rsid w:val="7F2E3210"/>
    <w:rsid w:val="7F396844"/>
    <w:rsid w:val="7F692A30"/>
    <w:rsid w:val="7F6A1338"/>
    <w:rsid w:val="7F874D65"/>
    <w:rsid w:val="7FB35B01"/>
    <w:rsid w:val="7FC426F9"/>
    <w:rsid w:val="7FD3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1120" w:firstLineChars="200"/>
      <w:jc w:val="both"/>
    </w:pPr>
    <w:rPr>
      <w:rFonts w:ascii="Times New Roman" w:hAnsi="Times New Roman"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toc 3"/>
    <w:basedOn w:val="1"/>
    <w:next w:val="1"/>
    <w:unhideWhenUsed/>
    <w:qFormat/>
    <w:uiPriority w:val="39"/>
    <w:pPr>
      <w:ind w:left="400" w:leftChars="400" w:firstLine="0" w:firstLineChars="0"/>
    </w:p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paragraph" w:styleId="6">
    <w:name w:val="toc 1"/>
    <w:basedOn w:val="1"/>
    <w:next w:val="1"/>
    <w:unhideWhenUsed/>
    <w:qFormat/>
    <w:uiPriority w:val="39"/>
    <w:pPr>
      <w:ind w:firstLine="0" w:firstLineChars="0"/>
    </w:pPr>
    <w:rPr>
      <w:rFonts w:eastAsia="黑体"/>
    </w:rPr>
  </w:style>
  <w:style w:type="paragraph" w:styleId="7">
    <w:name w:val="toc 2"/>
    <w:basedOn w:val="1"/>
    <w:next w:val="1"/>
    <w:unhideWhenUsed/>
    <w:qFormat/>
    <w:uiPriority w:val="39"/>
    <w:pPr>
      <w:ind w:left="200" w:leftChars="200" w:firstLine="0" w:firstLineChars="0"/>
    </w:pPr>
    <w:rPr>
      <w:rFonts w:eastAsia="楷体"/>
    </w:rPr>
  </w:style>
  <w:style w:type="character" w:styleId="10">
    <w:name w:val="Hyperlink"/>
    <w:unhideWhenUsed/>
    <w:qFormat/>
    <w:uiPriority w:val="99"/>
    <w:rPr>
      <w:color w:val="467886"/>
      <w:u w:val="single"/>
    </w:rPr>
  </w:style>
  <w:style w:type="paragraph" w:customStyle="1" w:styleId="11">
    <w:name w:val="正文 New New New New New New New New"/>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ab65c98b-3b11-41ee-9456-115f795c86ad</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7410EDC2</paraID>
      <start>0</start>
      <end>3</end>
      <status>modified</status>
      <modifiedWord>二○二</modifiedWord>
      <trackRevisions>false</trackRevisions>
    </reviewItem>
    <reviewItem>
      <errorID>3cfb0ee8-1712-4068-8b74-5e3488e86b72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423F759A</paraID>
      <start>153</start>
      <end>154</end>
      <status>unmodified</status>
      <modifiedWord/>
      <trackRevisions>false</trackRevisions>
    </reviewItem>
    <reviewItem>
      <errorID>f32704d6-212c-4db2-9490-0e16c43b9ff8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28AE276E</paraID>
      <start>0</start>
      <end>2</end>
      <status>unmodified</status>
      <modifiedWord/>
      <trackRevisions>false</trackRevisions>
    </reviewItem>
    <reviewItem>
      <errorID>a753275d-8f74-4ef0-bc9b-10e3a0c8aef2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53681DC7</paraID>
      <start>15</start>
      <end>16</end>
      <status>unmodified</status>
      <modifiedWord/>
      <trackRevisions>false</trackRevisions>
    </reviewItem>
    <reviewItem>
      <errorID>745cc323-d0fd-4242-902d-44383672b099</errorID>
      <errorWord>、阿</errorWord>
      <group>L1_Word</group>
      <groupName>字词问题</groupName>
      <ability>L2_Typo</ability>
      <abilityName>字词错误</abilityName>
      <candidateList>
        <item>、</item>
      </candidateList>
      <explain/>
      <paraID>58ADB18F</paraID>
      <start>107</start>
      <end>109</end>
      <status>unmodified</status>
      <modifiedWord/>
      <trackRevisions>false</trackRevisions>
    </reviewItem>
    <reviewItem>
      <errorID>9d8cc16e-b0d5-4358-8439-b4832f007bf6</errorID>
      <errorWord>国家级夜间文化和旅游消费集聚区</errorWord>
      <group>L1_Political</group>
      <groupName>政治性问题</groupName>
      <ability>L2_Keyword</ability>
      <abilityName>固定表述</abilityName>
      <candidateList>
        <item>有国家级夜间文化和旅游消费集聚区</item>
      </candidateList>
      <explain>此处内容疑似含有固定表述相关错误，建议核查。</explain>
      <paraID>4A4A4972</paraID>
      <start>102</start>
      <end>117</end>
      <status>unmodified</status>
      <modifiedWord/>
      <trackRevisions>false</trackRevisions>
    </reviewItem>
    <reviewItem>
      <errorID>6f588fce-bf28-4ff9-b779-15753d6827ec</errorID>
      <errorWord>消费聚集区</errorWord>
      <group>L1_Political</group>
      <groupName>政治性问题</groupName>
      <ability>L2_Keyword</ability>
      <abilityName>固定表述</abilityName>
      <candidateList>
        <item>消费集聚区</item>
      </candidateList>
      <explain>此处内容疑似含有固定表述相关错误，建议核查。</explain>
      <paraID>4A4A4972</paraID>
      <start>124</start>
      <end>129</end>
      <status>modified</status>
      <modifiedWord>消费集聚区</modifiedWord>
      <trackRevisions>false</trackRevisions>
    </reviewItem>
    <reviewItem>
      <errorID>a177f1c3-ee67-4321-9d61-b4e4c43401f8</errorID>
      <errorWord>2、</errorWord>
      <group>L1_Format</group>
      <groupName>格式问题</groupName>
      <ability>L2_Ordinal</ability>
      <abilityName>序号格式</abilityName>
      <candidateList>
        <item>2. </item>
      </candidateList>
      <explain>标题顺序错误，请检查标题顺序是否合理。</explain>
      <paraID> 3A298C2</paraID>
      <start>0</start>
      <end>2</end>
      <status>unmodified</status>
      <modifiedWord/>
      <trackRevisions>false</trackRevisions>
    </reviewItem>
    <reviewItem>
      <errorID>b42b582c-a94b-4f50-b7d6-8e0bdac9b5a4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700AD4A2</paraID>
      <start>46</start>
      <end>47</end>
      <status>unmodified</status>
      <modifiedWord/>
      <trackRevisions>false</trackRevisions>
    </reviewItem>
    <reviewItem>
      <errorID>f699681f-878d-4abd-9948-9834e6823ca6</errorID>
      <errorWord>巴塞罗那大数据展览会博览会</errorWord>
      <group>L1_Other</group>
      <groupName>其他问题</groupName>
      <ability>L2_Consistency</ability>
      <abilityName>一致性检查</abilityName>
      <candidateList>
        <item>巴塞罗那大数据展览会</item>
      </candidateList>
      <explain>实体一致性问题，表述重复啰嗦，应统一为规范表述</explain>
      <paraID>700AD4A2</paraID>
      <start>174</start>
      <end>187</end>
      <status>unmodified</status>
      <modifiedWord/>
      <trackRevisions>false</trackRevisions>
    </reviewItem>
    <reviewItem>
      <errorID>2c1e28db-814c-4672-b6f3-0b693d4601f8</errorID>
      <errorWord>新三样</errorWord>
      <group>L1_Political</group>
      <groupName>政治性问题</groupName>
      <ability>L2_Keyword</ability>
      <abilityName>固定表述</abilityName>
      <candidateList>
        <item>‘新三样’</item>
      </candidateList>
      <explain>注意检查当前固定表述标点是否使用规范。</explain>
      <paraID>700AD4A2</paraID>
      <start>228</start>
      <end>231</end>
      <status>unmodified</status>
      <modifiedWord/>
      <trackRevisions>false</trackRevisions>
    </reviewItem>
    <reviewItem>
      <errorID>1ba2e8b0-575d-474d-9dc6-b82c41538054</errorID>
      <errorWord>-</errorWord>
      <group>L1_Format</group>
      <groupName>格式问题</groupName>
      <ability>L2_HalfPunc</ability>
      <abilityName>全半角检查</abilityName>
      <candidateList>
        <item>－</item>
      </candidateList>
      <explain>文本全半角错误。</explain>
      <paraID>38A037A1</paraID>
      <start>91</start>
      <end>92</end>
      <status>unmodified</status>
      <modifiedWord/>
      <trackRevisions>false</trackRevisions>
    </reviewItem>
    <reviewItem>
      <errorID>60a2fdca-8d6b-4d1a-a1bf-b573f845461a</errorID>
      <errorWord>-</errorWord>
      <group>L1_Format</group>
      <groupName>格式问题</groupName>
      <ability>L2_HalfPunc</ability>
      <abilityName>全半角检查</abilityName>
      <candidateList>
        <item>－</item>
      </candidateList>
      <explain>文本全半角错误。</explain>
      <paraID>38A037A1</paraID>
      <start>97</start>
      <end>98</end>
      <status>unmodified</status>
      <modifiedWord/>
      <trackRevisions>false</trackRevisions>
    </reviewItem>
    <reviewItem>
      <errorID>f95531ca-097b-462a-9c80-6a183f41a4b0</errorID>
      <errorWord>“一带一路”建设</errorWord>
      <group>L1_Political</group>
      <groupName>政治性问题</groupName>
      <ability>L2_Keyword</ability>
      <abilityName>固定表述</abilityName>
      <candidateList>
        <item>“一带一路”倡议</item>
      </candidateList>
      <explain>此处内容疑似含有固定表述相关错误，建议核查。</explain>
      <paraID>2BDD8CB4</paraID>
      <start>258</start>
      <end>266</end>
      <status>unmodified</status>
      <modifiedWord/>
      <trackRevisions>false</trackRevisions>
    </reviewItem>
    <reviewItem>
      <errorID>d4046a58-b581-46dd-bd59-514d5bf9966b</errorID>
      <errorWord>重要</errorWord>
      <group>L1_Punc</group>
      <groupName>标点问题</groupName>
      <ability>L2_Punc</ability>
      <abilityName>标点符号检查</abilityName>
      <candidateList>
        <item>、重要</item>
      </candidateList>
      <explain/>
      <paraID>2BD32D18</paraID>
      <start>127</start>
      <end>129</end>
      <status>unmodified</status>
      <modifiedWord/>
      <trackRevisions>false</trackRevisions>
    </reviewItem>
    <reviewItem>
      <errorID>4231e5e9-fe50-4ed6-b268-5af2a3998768</errorID>
      <errorWord>，</errorWord>
      <group>L1_Grammar</group>
      <groupName>语法问题</groupName>
      <ability>L2_Grammar</ability>
      <abilityName>语法错误</abilityName>
      <candidateList>
        <item>重大战略，</item>
      </candidateList>
      <explain/>
      <paraID>2BD32D18</paraID>
      <start>210</start>
      <end>211</end>
      <status>unmodified</status>
      <modifiedWord/>
      <trackRevisions>false</trackRevisions>
    </reviewItem>
    <reviewItem>
      <errorID>b4c5c88d-a673-4085-9a51-1cf49d6fca4b</errorID>
      <errorWord>、</errorWord>
      <group>L1_Punc</group>
      <groupName>标点问题</groupName>
      <ability>L2_Punc</ability>
      <abilityName>标点符号检查</abilityName>
      <candidateList>
        <item>，</item>
      </candidateList>
      <explain/>
      <paraID>38C89081</paraID>
      <start>105</start>
      <end>106</end>
      <status>unmodified</status>
      <modifiedWord/>
      <trackRevisions>false</trackRevisions>
    </reviewItem>
    <reviewItem>
      <errorID>85fa2b61-9c0c-4371-9e38-4d77ca5b9a72</errorID>
      <errorWord>、</errorWord>
      <group>L1_Punc</group>
      <groupName>标点问题</groupName>
      <ability>L2_Punc</ability>
      <abilityName>标点符号检查</abilityName>
      <candidateList>
        <item>，</item>
      </candidateList>
      <explain/>
      <paraID>38C89081</paraID>
      <start>114</start>
      <end>115</end>
      <status>unmodified</status>
      <modifiedWord/>
      <trackRevisions>false</trackRevisions>
    </reviewItem>
    <reviewItem>
      <errorID>c783b8b2-dbc0-44c8-b2b7-e3f094307d54</errorID>
      <errorWord>美好生活需求</errorWord>
      <group>L1_Word</group>
      <groupName>字词问题</groupName>
      <ability>L2_Typo</ability>
      <abilityName>字词错误</abilityName>
      <candidateList>
        <item>美好生活需要</item>
      </candidateList>
      <explain/>
      <paraID>38C89081</paraID>
      <start>178</start>
      <end>184</end>
      <status>unmodified</status>
      <modifiedWord/>
      <trackRevisions>false</trackRevisions>
    </reviewItem>
    <reviewItem>
      <errorID>dfe0f752-8639-4d69-a6a3-656d5d7ef4e3</errorID>
      <errorWord>，，</errorWord>
      <group>L1_Punc</group>
      <groupName>标点问题</groupName>
      <ability>L2_Punc</ability>
      <abilityName>标点符号检查</abilityName>
      <candidateList>
        <item>，</item>
      </candidateList>
      <explain/>
      <paraID>722F04E7</paraID>
      <start>72</start>
      <end>74</end>
      <status>unmodified</status>
      <modifiedWord/>
      <trackRevisions>false</trackRevisions>
    </reviewItem>
    <reviewItem>
      <errorID>a6220ada-3a0d-45a8-85c4-ee1874614b5a</errorID>
      <errorWord>体现</errorWord>
      <group>L1_Punc</group>
      <groupName>标点问题</groupName>
      <ability>L2_Punc</ability>
      <abilityName>标点符号检查</abilityName>
      <candidateList>
        <item>，体现</item>
      </candidateList>
      <explain/>
      <paraID>722F04E7</paraID>
      <start>368</start>
      <end>370</end>
      <status>unmodified</status>
      <modifiedWord/>
      <trackRevisions>false</trackRevisions>
    </reviewItem>
    <reviewItem>
      <errorID>2fd01008-0122-482f-97b7-6ba32654c643</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7DBC1DD5</paraID>
      <start>34</start>
      <end>40</end>
      <status>modified</status>
      <modifiedWord>省委、省政府</modifiedWord>
      <trackRevisions>false</trackRevisions>
    </reviewItem>
    <reviewItem>
      <errorID>b7865904-c203-4e5e-aef4-2512ececf1a2</errorID>
      <errorWord>市委市政府</errorWord>
      <group>L1_Word</group>
      <groupName>字词问题</groupName>
      <ability>L2_Typo</ability>
      <abilityName>字词错误</abilityName>
      <candidateList>
        <item>市委、市政府</item>
      </candidateList>
      <explain/>
      <paraID>7DBC1DD5</paraID>
      <start>41</start>
      <end>47</end>
      <status>modified</status>
      <modifiedWord>市委、市政府</modifiedWord>
      <trackRevisions>false</trackRevisions>
    </reviewItem>
    <reviewItem>
      <errorID>84a36524-5f94-4465-b78e-961902878dfd</errorID>
      <errorWord>西部大开发建设</errorWord>
      <group>L1_Political</group>
      <groupName>政治性问题</groupName>
      <ability>L2_Keyword</ability>
      <abilityName>固定表述</abilityName>
      <candidateList>
        <item>西部大开发战略建设</item>
      </candidateList>
      <explain>此处内容疑似含有固定表述相关错误，建议核查。</explain>
      <paraID>7C181685</paraID>
      <start>80</start>
      <end>87</end>
      <status>unmodified</status>
      <modifiedWord/>
      <trackRevisions>false</trackRevisions>
    </reviewItem>
    <reviewItem>
      <errorID>1eb08024-f3e5-467e-b697-d0d8547b5bd0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15FD3E84</paraID>
      <start>0</start>
      <end>2</end>
      <status>unmodified</status>
      <modifiedWord/>
      <trackRevisions>false</trackRevisions>
    </reviewItem>
    <reviewItem>
      <errorID>864d35ef-4942-462b-aa69-c27c663f02ac</errorID>
      <errorWord>打造为</errorWord>
      <group>L1_Word</group>
      <groupName>字词问题</groupName>
      <ability>L2_Typo</ability>
      <abilityName>字词错误</abilityName>
      <candidateList>
        <item>打造</item>
      </candidateList>
      <explain/>
      <paraID>72474C51</paraID>
      <start>148</start>
      <end>151</end>
      <status>unmodified</status>
      <modifiedWord/>
      <trackRevisions>false</trackRevisions>
    </reviewItem>
    <reviewItem>
      <errorID>24ee92a1-3561-4102-9ad6-60098afa2522</errorID>
      <errorWord>2、</errorWord>
      <group>L1_Format</group>
      <groupName>格式问题</groupName>
      <ability>L2_Ordinal</ability>
      <abilityName>序号格式</abilityName>
      <candidateList>
        <item>2. </item>
      </candidateList>
      <explain>标题顺序错误，请检查标题顺序是否合理。</explain>
      <paraID> 7E87089</paraID>
      <start>0</start>
      <end>2</end>
      <status>unmodified</status>
      <modifiedWord/>
      <trackRevisions>false</trackRevisions>
    </reviewItem>
    <reviewItem>
      <errorID>e214915f-ca1c-4430-806a-5efbdc2437ad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333E2632</paraID>
      <start>0</start>
      <end>2</end>
      <status>unmodified</status>
      <modifiedWord/>
      <trackRevisions>false</trackRevisions>
    </reviewItem>
    <reviewItem>
      <errorID>e5438c29-198f-47d8-bfcd-617fc092bfba</errorID>
      <errorWord>4、</errorWord>
      <group>L1_Format</group>
      <groupName>格式问题</groupName>
      <ability>L2_Ordinal</ability>
      <abilityName>序号格式</abilityName>
      <candidateList>
        <item>4. </item>
      </candidateList>
      <explain>标题顺序错误，请检查标题顺序是否合理。</explain>
      <paraID>1DE3B239</paraID>
      <start>0</start>
      <end>2</end>
      <status>unmodified</status>
      <modifiedWord/>
      <trackRevisions>false</trackRevisions>
    </reviewItem>
    <reviewItem>
      <errorID>32be9b6c-c9c4-4ba1-a7be-30f2406c0f30</errorID>
      <errorWord>5、</errorWord>
      <group>L1_Format</group>
      <groupName>格式问题</groupName>
      <ability>L2_Ordinal</ability>
      <abilityName>序号格式</abilityName>
      <candidateList>
        <item>5. </item>
      </candidateList>
      <explain>标题顺序错误，请检查标题顺序是否合理。</explain>
      <paraID>52A3ED49</paraID>
      <start>0</start>
      <end>2</end>
      <status>unmodified</status>
      <modifiedWord/>
      <trackRevisions>false</trackRevisions>
    </reviewItem>
    <reviewItem>
      <errorID>315064cf-d920-4260-b20b-8a4871d49bad</errorID>
      <errorWord>集</errorWord>
      <group>L1_Word</group>
      <groupName>字词问题</groupName>
      <ability>L2_Typo</ability>
      <abilityName>字词错误</abilityName>
      <candidateList>
        <item>街</item>
      </candidateList>
      <explain>存在发音相近字词的误用。</explain>
      <paraID>61A4425D</paraID>
      <start>31</start>
      <end>32</end>
      <status>unmodified</status>
      <modifiedWord/>
      <trackRevisions>false</trackRevisions>
    </reviewItem>
    <reviewItem>
      <errorID>c427c1ca-4277-4cde-8809-de8e377d4a62</errorID>
      <errorWord> </errorWord>
      <group>L1_Punc</group>
      <groupName>标点问题</groupName>
      <ability>L2_Punc</ability>
      <abilityName>标点符号检查</abilityName>
      <candidateList>
        <item/>
      </candidateList>
      <explain>此处空格冗余，建议删除。</explain>
      <paraID>61A4425D</paraID>
      <start>172</start>
      <end>173</end>
      <status>unmodified</status>
      <modifiedWord/>
      <trackRevisions>false</trackRevisions>
    </reviewItem>
    <reviewItem>
      <errorID>ff55d2e4-ebf3-4b8b-9cb8-6cb645e11e46</errorID>
      <errorWord>1、</errorWord>
      <group>L1_Format</group>
      <groupName>格式问题</groupName>
      <ability>L2_Ordinal</ability>
      <abilityName>序号格式</abilityName>
      <candidateList>
        <item>1. </item>
      </candidateList>
      <explain>标题顺序错误，请检查标题顺序是否合理。</explain>
      <paraID>4919888A</paraID>
      <start>0</start>
      <end>2</end>
      <status>unmodified</status>
      <modifiedWord/>
      <trackRevisions>false</trackRevisions>
    </reviewItem>
    <reviewItem>
      <errorID>d53f42e6-cd2b-4e34-9439-428a7768ffdc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39DB86FE</paraID>
      <start>50</start>
      <end>53</end>
      <status>unmodified</status>
      <modifiedWord/>
      <trackRevisions>false</trackRevisions>
    </reviewItem>
    <reviewItem>
      <errorID>c70fb145-b38f-4130-8f5c-5e53496c7dc5</errorID>
      <errorWord>季活动</errorWord>
      <group>L1_Grammar</group>
      <groupName>语法问题</groupName>
      <ability>L2_Grammar</ability>
      <abilityName>语法错误</abilityName>
      <candidateList>
        <item>季</item>
      </candidateList>
      <explain/>
      <paraID>49A30D33</paraID>
      <start>144</start>
      <end>147</end>
      <status>unmodified</status>
      <modifiedWord/>
      <trackRevisions>false</trackRevisions>
    </reviewItem>
    <reviewItem>
      <errorID>415ac23a-f639-439f-a202-9a653c66f8f1</errorID>
      <errorWord>季节</errorWord>
      <group>L1_Word</group>
      <groupName>字词问题</groupName>
      <ability>L2_Typo</ability>
      <abilityName>字词错误</abilityName>
      <candidateList>
        <item>季节性</item>
      </candidateList>
      <explain/>
      <paraID>49A30D33</paraID>
      <start>161</start>
      <end>163</end>
      <status>unmodified</status>
      <modifiedWord/>
      <trackRevisions>false</trackRevisions>
    </reviewItem>
    <reviewItem>
      <errorID>27f56c28-e94e-4539-987f-f2d9e08264a5</errorID>
      <errorWord>2、</errorWord>
      <group>L1_Format</group>
      <groupName>格式问题</groupName>
      <ability>L2_Ordinal</ability>
      <abilityName>序号格式</abilityName>
      <candidateList>
        <item>2. </item>
      </candidateList>
      <explain>标题顺序错误，请检查标题顺序是否合理。</explain>
      <paraID>71373A6E</paraID>
      <start>0</start>
      <end>2</end>
      <status>unmodified</status>
      <modifiedWord/>
      <trackRevisions>false</trackRevisions>
    </reviewItem>
    <reviewItem>
      <errorID>727728d3-6db9-452c-a30d-6c91fe5f4223</errorID>
      <errorWord>式</errorWord>
      <group>L1_Word</group>
      <groupName>字词问题</groupName>
      <ability>L2_Typo</ability>
      <abilityName>字词错误</abilityName>
      <candidateList>
        <item>式等</item>
      </candidateList>
      <explain/>
      <paraID>23A2103B</paraID>
      <start>155</start>
      <end>156</end>
      <status>unmodified</status>
      <modifiedWord/>
      <trackRevisions>false</trackRevisions>
    </reviewItem>
    <reviewItem>
      <errorID>3801138b-10d6-4fa4-bf3a-7626da6dd856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31D62F21</paraID>
      <start>0</start>
      <end>2</end>
      <status>unmodified</status>
      <modifiedWord/>
      <trackRevisions>false</trackRevisions>
    </reviewItem>
    <reviewItem>
      <errorID>f0f8add4-22c8-4b84-b7e3-8f66cc7f7f44</errorID>
      <errorWord>4、</errorWord>
      <group>L1_Format</group>
      <groupName>格式问题</groupName>
      <ability>L2_Ordinal</ability>
      <abilityName>序号格式</abilityName>
      <candidateList>
        <item>4. </item>
      </candidateList>
      <explain>标题顺序错误，请检查标题顺序是否合理。</explain>
      <paraID> 8B96323</paraID>
      <start>0</start>
      <end>2</end>
      <status>unmodified</status>
      <modifiedWord/>
      <trackRevisions>false</trackRevisions>
    </reviewItem>
    <reviewItem>
      <errorID>b66928b2-532f-4ea3-850c-f18d034621e9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2B0EA5A5</paraID>
      <start>0</start>
      <end>2</end>
      <status>unmodified</status>
      <modifiedWord/>
      <trackRevisions>false</trackRevisions>
    </reviewItem>
    <reviewItem>
      <errorID>2f7fa3aa-89ae-46d0-8f12-71495088db7a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4C1B2B38</paraID>
      <start>0</start>
      <end>2</end>
      <status>unmodified</status>
      <modifiedWord/>
      <trackRevisions>false</trackRevisions>
    </reviewItem>
    <reviewItem>
      <errorID>ec9cae3d-1fc2-4708-b012-b9ab2f0c662a</errorID>
      <errorWord>贵州</errorWord>
      <group>L1_Word</group>
      <groupName>字词问题</groupName>
      <ability>L2_Typo</ability>
      <abilityName>字词错误</abilityName>
      <candidateList>
        <item>集贵州</item>
      </candidateList>
      <explain/>
      <paraID>1F8E14E4</paraID>
      <start>56</start>
      <end>58</end>
      <status>unmodified</status>
      <modifiedWord/>
      <trackRevisions>false</trackRevisions>
    </reviewItem>
    <reviewItem>
      <errorID>b04d7cd7-f183-4e61-9eda-a7a5959b48ec</errorID>
      <errorWord>1、</errorWord>
      <group>L1_Format</group>
      <groupName>格式问题</groupName>
      <ability>L2_Ordinal</ability>
      <abilityName>序号格式</abilityName>
      <candidateList>
        <item>1. </item>
      </candidateList>
      <explain>标题顺序错误，请检查标题顺序是否合理。</explain>
      <paraID>1DAE1024</paraID>
      <start>0</start>
      <end>2</end>
      <status>unmodified</status>
      <modifiedWord/>
      <trackRevisions>false</trackRevisions>
    </reviewItem>
    <reviewItem>
      <errorID>f92f58c4-b797-4524-a951-2775c250537b</errorID>
      <errorWord>等首店</errorWord>
      <group>L1_Grammar</group>
      <groupName>语法问题</groupName>
      <ability>L2_Grammar</ability>
      <abilityName>语法错误</abilityName>
      <candidateList>
        <item>等</item>
      </candidateList>
      <explain/>
      <paraID>28949F48</paraID>
      <start>188</start>
      <end>191</end>
      <status>unmodified</status>
      <modifiedWord/>
      <trackRevisions>false</trackRevisions>
    </reviewItem>
    <reviewItem>
      <errorID>b1070a34-008c-4a14-a7c9-76abb206ffc3</errorID>
      <errorWord>。</errorWord>
      <group>L1_Punc</group>
      <groupName>标点问题</groupName>
      <ability>L2_Punc</ability>
      <abilityName>标点符号检查</abilityName>
      <candidateList>
        <item>，</item>
      </candidateList>
      <explain/>
      <paraID>28949F48</paraID>
      <start>275</start>
      <end>276</end>
      <status>unmodified</status>
      <modifiedWord/>
      <trackRevisions>false</trackRevisions>
    </reviewItem>
    <reviewItem>
      <errorID>42ee00a5-81a0-4d8e-8735-fd763417d0c9</errorID>
      <errorWord>2、</errorWord>
      <group>L1_Format</group>
      <groupName>格式问题</groupName>
      <ability>L2_Ordinal</ability>
      <abilityName>序号格式</abilityName>
      <candidateList>
        <item>2. </item>
      </candidateList>
      <explain>标题顺序错误，请检查标题顺序是否合理。</explain>
      <paraID>444264B4</paraID>
      <start>0</start>
      <end>2</end>
      <status>unmodified</status>
      <modifiedWord/>
      <trackRevisions>false</trackRevisions>
    </reviewItem>
    <reviewItem>
      <errorID>9fe6215c-9ee1-4197-a8e0-f4213bc02a70</errorID>
      <errorWord>，</errorWord>
      <group>L1_Punc</group>
      <groupName>标点问题</groupName>
      <ability>L2_Punc</ability>
      <abilityName>标点符号检查</abilityName>
      <candidateList>
        <item>。</item>
      </candidateList>
      <explain/>
      <paraID>67884E3D</paraID>
      <start>48</start>
      <end>49</end>
      <status>unmodified</status>
      <modifiedWord/>
      <trackRevisions>false</trackRevisions>
    </reviewItem>
    <reviewItem>
      <errorID>94e21d8e-b415-4914-82dd-38c8ec6cd7ef</errorID>
      <errorWord>、</errorWord>
      <group>L1_Punc</group>
      <groupName>标点问题</groupName>
      <ability>L2_Punc</ability>
      <abilityName>标点符号检查</abilityName>
      <candidateList>
        <item/>
      </candidateList>
      <explain/>
      <paraID>67884E3D</paraID>
      <start>117</start>
      <end>118</end>
      <status>unmodified</status>
      <modifiedWord/>
      <trackRevisions>false</trackRevisions>
    </reviewItem>
    <reviewItem>
      <errorID>f7d80ad4-e74a-402b-8817-35eb84406611</errorID>
      <errorWord>。</errorWord>
      <group>L1_Punc</group>
      <groupName>标点问题</groupName>
      <ability>L2_Punc</ability>
      <abilityName>标点符号检查</abilityName>
      <candidateList>
        <item>，</item>
      </candidateList>
      <explain/>
      <paraID>67884E3D</paraID>
      <start>241</start>
      <end>242</end>
      <status>unmodified</status>
      <modifiedWord/>
      <trackRevisions>false</trackRevisions>
    </reviewItem>
    <reviewItem>
      <errorID>d68c2057-55bb-4977-9a32-45209f83a7a2</errorID>
      <errorWord>3、</errorWord>
      <group>L1_Format</group>
      <groupName>格式问题</groupName>
      <ability>L2_Ordinal</ability>
      <abilityName>序号格式</abilityName>
      <candidateList>
        <item>3. </item>
      </candidateList>
      <explain>标题顺序错误，请检查标题顺序是否合理。</explain>
      <paraID> 32EE1B7</paraID>
      <start>0</start>
      <end>2</end>
      <status>unmodified</status>
      <modifiedWord/>
      <trackRevisions>false</trackRevisions>
    </reviewItem>
    <reviewItem>
      <errorID>cc2cdb36-da41-4915-99b0-2e60a35c9945</errorID>
      <errorWord>，</errorWord>
      <group>L1_Punc</group>
      <groupName>标点问题</groupName>
      <ability>L2_Punc</ability>
      <abilityName>标点符号检查</abilityName>
      <candidateList>
        <item/>
      </candidateList>
      <explain/>
      <paraID>16188D35</paraID>
      <start>97</start>
      <end>98</end>
      <status>unmodified</status>
      <modifiedWord/>
      <trackRevisions>false</trackRevisions>
    </reviewItem>
    <reviewItem>
      <errorID>a6110661-0592-40c8-923e-76e60dc2e373</errorID>
      <errorWord>。</errorWord>
      <group>L1_Punc</group>
      <groupName>标点问题</groupName>
      <ability>L2_Punc</ability>
      <abilityName>标点符号检查</abilityName>
      <candidateList>
        <item>，</item>
      </candidateList>
      <explain/>
      <paraID>16188D35</paraID>
      <start>219</start>
      <end>220</end>
      <status>unmodified</status>
      <modifiedWord/>
      <trackRevisions>false</trackRevisions>
    </reviewItem>
    <reviewItem>
      <errorID>b056eb05-bb8d-42cf-abc4-0a3767b00f30</errorID>
      <errorWord>1、</errorWord>
      <group>L1_Format</group>
      <groupName>格式问题</groupName>
      <ability>L2_Ordinal</ability>
      <abilityName>序号格式</abilityName>
      <candidateList>
        <item>1. </item>
      </candidateList>
      <explain>标题顺序错误，请检查标题顺序是否合理。</explain>
      <paraID>28D2FE6F</paraID>
      <start>0</start>
      <end>2</end>
      <status>unmodified</status>
      <modifiedWord/>
      <trackRevisions>false</trackRevisions>
    </reviewItem>
    <reviewItem>
      <errorID>4a5e6e29-4286-4941-9507-60aa95cbe54e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11AF298C</paraID>
      <start>27</start>
      <end>28</end>
      <status>unmodified</status>
      <modifiedWord/>
      <trackRevisions>false</trackRevisions>
    </reviewItem>
    <reviewItem>
      <errorID>5d66482b-150e-4953-82a0-c2003bc608f0</errorID>
      <errorWord>亿</errorWord>
      <group>L1_Word</group>
      <groupName>字词问题</groupName>
      <ability>L2_Typo</ability>
      <abilityName>字词错误</abilityName>
      <candidateList>
        <item>亿元</item>
      </candidateList>
      <explain/>
      <paraID>11AF298C</paraID>
      <start>233</start>
      <end>234</end>
      <status>unmodified</status>
      <modifiedWord/>
      <trackRevisions>false</trackRevisions>
    </reviewItem>
    <reviewItem>
      <errorID>b9b42847-1d6d-48c4-b813-bdae8beaf74d</errorID>
      <errorWord>方向</errorWord>
      <group>L1_Word</group>
      <groupName>字词问题</groupName>
      <ability>L2_Typo</ability>
      <abilityName>字词错误</abilityName>
      <candidateList>
        <item>的方向</item>
      </candidateList>
      <explain/>
      <paraID>2BF70BCD</paraID>
      <start>42</start>
      <end>44</end>
      <status>unmodified</status>
      <modifiedWord/>
      <trackRevisions>false</trackRevisions>
    </reviewItem>
    <reviewItem>
      <errorID>101c5b76-48b9-4105-bb5f-5783c66ee3d7</errorID>
      <errorWord>融合</errorWord>
      <group>L1_Grammar</group>
      <groupName>语法问题</groupName>
      <ability>L2_Grammar</ability>
      <abilityName>语法错误</abilityName>
      <candidateList>
        <item>方面的融合</item>
      </candidateList>
      <explain/>
      <paraID>2BF70BCD</paraID>
      <start>127</start>
      <end>129</end>
      <status>unmodified</status>
      <modifiedWord/>
      <trackRevisions>false</trackRevisions>
    </reviewItem>
    <reviewItem>
      <errorID>f795ecd3-2d44-4ef1-a4ac-93c450c90524</errorID>
      <errorWord>，</errorWord>
      <group>L1_Punc</group>
      <groupName>标点问题</groupName>
      <ability>L2_Punc</ability>
      <abilityName>标点符号检查</abilityName>
      <candidateList>
        <item>。</item>
      </candidateList>
      <explain/>
      <paraID>2BF70BCD</paraID>
      <start>169</start>
      <end>170</end>
      <status>unmodified</status>
      <modifiedWord/>
      <trackRevisions>false</trackRevisions>
    </reviewItem>
    <reviewItem>
      <errorID>bc39aed9-902f-4939-ad96-49385ba08d0d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70966079</paraID>
      <start>0</start>
      <end>2</end>
      <status>unmodified</status>
      <modifiedWord/>
      <trackRevisions>false</trackRevisions>
    </reviewItem>
    <reviewItem>
      <errorID>535c2ab7-2a56-4c68-9d09-6d0b657aa230</errorID>
      <errorWord>，</errorWord>
      <group>L1_Word</group>
      <groupName>字词问题</groupName>
      <ability>L2_Typo</ability>
      <abilityName>字词错误</abilityName>
      <candidateList>
        <item>，以</item>
      </candidateList>
      <explain/>
      <paraID> 9820F58</paraID>
      <start>153</start>
      <end>154</end>
      <status>unmodified</status>
      <modifiedWord/>
      <trackRevisions>false</trackRevisions>
    </reviewItem>
    <reviewItem>
      <errorID>778c10ae-5296-41de-ae86-cd50437ce20d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2AB3370B</paraID>
      <start>0</start>
      <end>2</end>
      <status>unmodified</status>
      <modifiedWord/>
      <trackRevisions>false</trackRevisions>
    </reviewItem>
    <reviewItem>
      <errorID>29b8bab4-2be4-40d1-9a35-7e5d0c0e51da</errorID>
      <errorWord>汽车</errorWord>
      <group>L1_Word</group>
      <groupName>字词问题</groupName>
      <ability>L2_Typo</ability>
      <abilityName>字词错误</abilityName>
      <candidateList>
        <item>集汽车</item>
      </candidateList>
      <explain/>
      <paraID>77D9BEB5</paraID>
      <start>111</start>
      <end>113</end>
      <status>unmodified</status>
      <modifiedWord/>
      <trackRevisions>false</trackRevisions>
    </reviewItem>
    <reviewItem>
      <errorID>ebd94202-37ed-48ce-a35a-a08cb6664ed9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465154A</paraID>
      <start>0</start>
      <end>2</end>
      <status>unmodified</status>
      <modifiedWord/>
      <trackRevisions>false</trackRevisions>
    </reviewItem>
    <reviewItem>
      <errorID>d8d2eac9-ac27-42bc-8c2d-4c694e17fa77</errorID>
      <errorWord>。</errorWord>
      <group>L1_Grammar</group>
      <groupName>语法问题</groupName>
      <ability>L2_Grammar</ability>
      <abilityName>语法错误</abilityName>
      <candidateList>
        <item>设备。</item>
      </candidateList>
      <explain/>
      <paraID>6CA245B0</paraID>
      <start>136</start>
      <end>137</end>
      <status>unmodified</status>
      <modifiedWord/>
      <trackRevisions>false</trackRevisions>
    </reviewItem>
    <reviewItem>
      <errorID>a3d32459-fa42-4dfe-9ba6-4e7efca2220f</errorID>
      <errorWord>搭载</errorWord>
      <group>L1_Word</group>
      <groupName>字词问题</groupName>
      <ability>L2_Typo</ability>
      <abilityName>字词错误</abilityName>
      <candidateList>
        <item>提供</item>
      </candidateList>
      <explain/>
      <paraID>6CA245B0</paraID>
      <start>187</start>
      <end>189</end>
      <status>unmodified</status>
      <modifiedWord/>
      <trackRevisions>false</trackRevisions>
    </reviewItem>
    <reviewItem>
      <errorID>66568612-cdc3-4444-91e5-8d3da26dad04</errorID>
      <errorWord>、</errorWord>
      <group>L1_Grammar</group>
      <groupName>语法问题</groupName>
      <ability>L2_Grammar</ability>
      <abilityName>语法错误</abilityName>
      <candidateList>
        <item>，提供</item>
      </candidateList>
      <explain/>
      <paraID>36DCF24A</paraID>
      <start>131</start>
      <end>132</end>
      <status>unmodified</status>
      <modifiedWord/>
      <trackRevisions>false</trackRevisions>
    </reviewItem>
    <reviewItem>
      <errorID>b0ca2cec-5d68-4ded-937b-1378863d27a7</errorID>
      <errorWord>5、</errorWord>
      <group>L1_Format</group>
      <groupName>格式问题</groupName>
      <ability>L2_Ordinal</ability>
      <abilityName>序号格式</abilityName>
      <candidateList>
        <item>5. </item>
      </candidateList>
      <explain>标题顺序错误，请检查标题顺序是否合理。</explain>
      <paraID>678557C0</paraID>
      <start>0</start>
      <end>2</end>
      <status>unmodified</status>
      <modifiedWord/>
      <trackRevisions>false</trackRevisions>
    </reviewItem>
    <reviewItem>
      <errorID>21848dc1-bcf5-42a8-8130-f2a751b8ad9d</errorID>
      <errorWord>综合</errorWord>
      <group>L1_Word</group>
      <groupName>字词问题</groupName>
      <ability>L2_Typo</ability>
      <abilityName>字词错误</abilityName>
      <candidateList>
        <item>的综合</item>
      </candidateList>
      <explain/>
      <paraID>4CF2FC8F</paraID>
      <start>193</start>
      <end>195</end>
      <status>unmodified</status>
      <modifiedWord/>
      <trackRevisions>false</trackRevisions>
    </reviewItem>
    <reviewItem>
      <errorID>ea22ce3e-9851-4c9d-89b9-9b635578996d</errorID>
      <errorWord>1、</errorWord>
      <group>L1_Format</group>
      <groupName>格式问题</groupName>
      <ability>L2_Ordinal</ability>
      <abilityName>序号格式</abilityName>
      <candidateList>
        <item>1. </item>
      </candidateList>
      <explain>标题顺序错误，请检查标题顺序是否合理。</explain>
      <paraID>272C6FA4</paraID>
      <start>0</start>
      <end>2</end>
      <status>unmodified</status>
      <modifiedWord/>
      <trackRevisions>false</trackRevisions>
    </reviewItem>
    <reviewItem>
      <errorID>fc57c8cc-e991-4883-ad9f-47df1a70470b</errorID>
      <errorWord>，</errorWord>
      <group>L1_Punc</group>
      <groupName>标点问题</groupName>
      <ability>L2_Punc</ability>
      <abilityName>标点符号检查</abilityName>
      <candidateList>
        <item/>
      </candidateList>
      <explain/>
      <paraID>3928321D</paraID>
      <start>275</start>
      <end>276</end>
      <status>unmodified</status>
      <modifiedWord/>
      <trackRevisions>false</trackRevisions>
    </reviewItem>
    <reviewItem>
      <errorID>d781bd8d-35d6-431e-aa7d-8d4687eb721f</errorID>
      <errorWord>数字化</errorWord>
      <group>L1_Punc</group>
      <groupName>标点问题</groupName>
      <ability>L2_Punc</ability>
      <abilityName>标点符号检查</abilityName>
      <candidateList>
        <item>、数字化</item>
      </candidateList>
      <explain/>
      <paraID>6EE189C3</paraID>
      <start>50</start>
      <end>53</end>
      <status>unmodified</status>
      <modifiedWord/>
      <trackRevisions>false</trackRevisions>
    </reviewItem>
    <reviewItem>
      <errorID>f05662ca-8e4a-4236-9787-778460297399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16CB6B48</paraID>
      <start>0</start>
      <end>2</end>
      <status>unmodified</status>
      <modifiedWord/>
      <trackRevisions>false</trackRevisions>
    </reviewItem>
    <reviewItem>
      <errorID>28bfeb5b-921c-4f42-bb78-099799234a0a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5734ED54</paraID>
      <start>0</start>
      <end>2</end>
      <status>unmodified</status>
      <modifiedWord/>
      <trackRevisions>false</trackRevisions>
    </reviewItem>
    <reviewItem>
      <errorID>b972019c-4535-4119-812a-4787a5e516da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52FC641A</paraID>
      <start>0</start>
      <end>2</end>
      <status>unmodified</status>
      <modifiedWord/>
      <trackRevisions>false</trackRevisions>
    </reviewItem>
    <reviewItem>
      <errorID>97c4ad52-5c84-4f86-8c92-924401d39a6a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57FEB0D0</paraID>
      <start>0</start>
      <end>2</end>
      <status>unmodified</status>
      <modifiedWord/>
      <trackRevisions>false</trackRevisions>
    </reviewItem>
    <reviewItem>
      <errorID>dc15b03f-fbe2-458d-9f06-76385f233668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7915F781</paraID>
      <start>0</start>
      <end>2</end>
      <status>unmodified</status>
      <modifiedWord/>
      <trackRevisions>false</trackRevisions>
    </reviewItem>
    <reviewItem>
      <errorID>6b3c048c-3b24-4092-b032-ce83317b6a26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1F405A44</paraID>
      <start>0</start>
      <end>2</end>
      <status>unmodified</status>
      <modifiedWord/>
      <trackRevisions>false</trackRevisions>
    </reviewItem>
    <reviewItem>
      <errorID>c82fd095-5d49-4e00-9df3-94cfc7c31f3d</errorID>
      <errorWord>中国-东盟教育</errorWord>
      <group>L1_Word</group>
      <groupName>字词问题</groupName>
      <ability>L2_Typo</ability>
      <abilityName>字词错误</abilityName>
      <candidateList>
        <item>中国—东盟教育</item>
      </candidateList>
      <explain/>
      <paraID>7B569DFF</paraID>
      <start>238</start>
      <end>245</end>
      <status>unmodified</status>
      <modifiedWord/>
      <trackRevisions>false</trackRevisions>
    </reviewItem>
    <reviewItem>
      <errorID>c63538e5-1d0a-4eb2-ac60-ea1decb93e8a</errorID>
      <errorWord>与国际友诚</errorWord>
      <group>L1_Word</group>
      <groupName>字词问题</groupName>
      <ability>L2_Typo</ability>
      <abilityName>字词错误</abilityName>
      <candidateList>
        <item>与国际友城</item>
      </candidateList>
      <explain/>
      <paraID>7B569DFF</paraID>
      <start>288</start>
      <end>293</end>
      <status>unmodified</status>
      <modifiedWord/>
      <trackRevisions>false</trackRevisions>
    </reviewItem>
    <reviewItem>
      <errorID>b6520e15-671a-436f-9465-77408f56ef31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3BA4D5D6</paraID>
      <start>0</start>
      <end>2</end>
      <status>unmodified</status>
      <modifiedWord/>
      <trackRevisions>false</trackRevisions>
    </reviewItem>
    <reviewItem>
      <errorID>7d662637-26a9-43d5-97b0-31f3433063d6</errorID>
      <errorWord>探索</errorWord>
      <group>L1_Grammar</group>
      <groupName>语法问题</groupName>
      <ability>L2_Grammar</ability>
      <abilityName>语法错误</abilityName>
      <candidateList>
        <item>的合作，探索</item>
      </candidateList>
      <explain/>
      <paraID>1ECB175E</paraID>
      <start>191</start>
      <end>193</end>
      <status>unmodified</status>
      <modifiedWord/>
      <trackRevisions>false</trackRevisions>
    </reviewItem>
    <reviewItem>
      <errorID>ea55a2f2-3936-480e-9872-37d5898f2490</errorID>
      <errorWord>“多式联运一单制”</errorWord>
      <group>L1_Political</group>
      <groupName>政治性问题</groupName>
      <ability>L2_Keyword</ability>
      <abilityName>固定表述</abilityName>
      <candidateList>
        <item>多式联运“一单制”</item>
      </candidateList>
      <explain>注意检查当前固定表述标点是否使用规范。</explain>
      <paraID>1ECB175E</paraID>
      <start>204</start>
      <end>213</end>
      <status>modified</status>
      <modifiedWord>多式联运“一单制”</modifiedWord>
      <trackRevisions>false</trackRevisions>
    </reviewItem>
    <reviewItem>
      <errorID>50e5c97e-cc99-4a75-9441-39466611d301</errorID>
      <errorWord>等合作</errorWord>
      <group>L1_Grammar</group>
      <groupName>语法问题</groupName>
      <ability>L2_Grammar</ability>
      <abilityName>语法错误</abilityName>
      <candidateList>
        <item>等</item>
      </candidateList>
      <explain/>
      <paraID>1ECB175E</paraID>
      <start>213</start>
      <end>216</end>
      <status>unmodified</status>
      <modifiedWord/>
      <trackRevisions>false</trackRevisions>
    </reviewItem>
    <reviewItem>
      <errorID>5509ba89-ad61-41a8-8db6-ce6d7bcc59b7</errorID>
      <errorWord>西部陆海新通道建设</errorWord>
      <group>L1_Political</group>
      <groupName>政治性问题</groupName>
      <ability>L2_Keyword</ability>
      <abilityName>固定表述</abilityName>
      <candidateList>
        <item>西部陆海新通道</item>
      </candidateList>
      <explain>此处内容疑似含有固定表述相关错误，建议核查。</explain>
      <paraID>634B6759</paraID>
      <start>239</start>
      <end>248</end>
      <status>unmodified</status>
      <modifiedWord/>
      <trackRevisions>false</trackRevisions>
    </reviewItem>
    <reviewItem>
      <errorID>0025e105-9356-4362-b464-327f70e1c384</errorID>
      <errorWord>-</errorWord>
      <group>L1_Format</group>
      <groupName>格式问题</groupName>
      <ability>L2_HalfPunc</ability>
      <abilityName>全半角检查</abilityName>
      <candidateList>
        <item>－</item>
      </candidateList>
      <explain>文本全半角错误。</explain>
      <paraID>749A26A1</paraID>
      <start>131</start>
      <end>132</end>
      <status>unmodified</status>
      <modifiedWord/>
      <trackRevisions>false</trackRevisions>
    </reviewItem>
    <reviewItem>
      <errorID>17ba992d-0f92-4864-94c2-db1c4d182f9e</errorID>
      <errorWord>-</errorWord>
      <group>L1_Format</group>
      <groupName>格式问题</groupName>
      <ability>L2_HalfPunc</ability>
      <abilityName>全半角检查</abilityName>
      <candidateList>
        <item>－</item>
      </candidateList>
      <explain>文本全半角错误。</explain>
      <paraID>78640E8E</paraID>
      <start>113</start>
      <end>114</end>
      <status>unmodified</status>
      <modifiedWord/>
      <trackRevisions>false</trackRevisions>
    </reviewItem>
    <reviewItem>
      <errorID>db284b20-cd82-49d6-9d3b-39c3aa92cf49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4BF50665</paraID>
      <start>0</start>
      <end>2</end>
      <status>unmodified</status>
      <modifiedWord/>
      <trackRevisions>false</trackRevisions>
    </reviewItem>
    <reviewItem>
      <errorID>797b7b93-4c79-4089-bf83-8cef036f668c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18BACBF0</paraID>
      <start>0</start>
      <end>2</end>
      <status>unmodified</status>
      <modifiedWord/>
      <trackRevisions>false</trackRevisions>
    </reviewItem>
    <reviewItem>
      <errorID>66eb9ed8-af6b-4b90-b751-8d8fd1d32dfc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48D0A26C</paraID>
      <start>0</start>
      <end>2</end>
      <status>unmodified</status>
      <modifiedWord/>
      <trackRevisions>false</trackRevisions>
    </reviewItem>
    <reviewItem>
      <errorID>84d70e4b-dfaf-418a-9b2c-1a2d9e0ca0eb</errorID>
      <errorWord>香港</errorWord>
      <group>L1_Political</group>
      <groupName>政治性问题</groupName>
      <ability>L2_Unpolitical</ability>
      <abilityName>政治敏感错误</abilityName>
      <candidateList>
        <item>中国香港</item>
      </candidateList>
      <explain>在与其他国家名称连用时，“香港”“澳门”“台湾”的书写格式为“中国香港”“中国澳门”“中国台湾”。</explain>
      <paraID>455D3E94</paraID>
      <start>65</start>
      <end>69</end>
      <status>modified</status>
      <modifiedWord>中国香港</modifiedWord>
      <trackRevisions>false</trackRevisions>
    </reviewItem>
    <reviewItem>
      <errorID>84582445-df0d-4904-952a-d536536eca9e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17AFC0D6</paraID>
      <start>0</start>
      <end>2</end>
      <status>unmodified</status>
      <modifiedWord/>
      <trackRevisions>false</trackRevisions>
    </reviewItem>
    <reviewItem>
      <errorID>19b7c9b5-432e-484d-b815-ebe008dd1ac4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1DC21E19</paraID>
      <start>0</start>
      <end>2</end>
      <status>unmodified</status>
      <modifiedWord/>
      <trackRevisions>false</trackRevisions>
    </reviewItem>
    <reviewItem>
      <errorID>838d1749-bbd4-4e83-b453-a212114d1be0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14D90CA6</paraID>
      <start>0</start>
      <end>2</end>
      <status>unmodified</status>
      <modifiedWord/>
      <trackRevisions>false</trackRevisions>
    </reviewItem>
    <reviewItem>
      <errorID>88f5fb87-49f1-41da-a9b5-4ce07e2b02d7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38039BDD</paraID>
      <start>0</start>
      <end>2</end>
      <status>unmodified</status>
      <modifiedWord/>
      <trackRevisions>false</trackRevisions>
    </reviewItem>
    <reviewItem>
      <errorID>a074c87f-346a-4e74-a99d-a54549a0ccb4</errorID>
      <errorWord>造</errorWord>
      <group>L1_Word</group>
      <groupName>字词问题</groupName>
      <ability>L2_Typo</ability>
      <abilityName>字词错误</abilityName>
      <candidateList>
        <item>造业</item>
      </candidateList>
      <explain/>
      <paraID> A3D7035</paraID>
      <start>18</start>
      <end>19</end>
      <status>unmodified</status>
      <modifiedWord/>
      <trackRevisions>false</trackRevisions>
    </reviewItem>
    <reviewItem>
      <errorID>fc553995-d638-4154-b179-752829b3d2f0</errorID>
      <errorWord>信息技术等服务</errorWord>
      <group>L1_Political</group>
      <groupName>政治性问题</groupName>
      <ability>L2_Keyword</ability>
      <abilityName>固定表述</abilityName>
      <candidateList>
        <item>信息技术服务</item>
      </candidateList>
      <explain>词汇“信息技术服务”在特定场景下为固定表述形式，请确认此处的“信息技术等服务”是否存在不当。</explain>
      <paraID> 8DC698D</paraID>
      <start>118</start>
      <end>125</end>
      <status>unmodified</status>
      <modifiedWord/>
      <trackRevisions>false</trackRevisions>
    </reviewItem>
    <reviewItem>
      <errorID>24b11d9a-0f94-4946-82ba-691d34ba58f0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78AAF8E2</paraID>
      <start>0</start>
      <end>2</end>
      <status>unmodified</status>
      <modifiedWord/>
      <trackRevisions>false</trackRevisions>
    </reviewItem>
    <reviewItem>
      <errorID>e97faaf6-59bf-49ef-af3c-a1c3bff65aff</errorID>
      <errorWord>主体</errorWord>
      <group>L1_Punc</group>
      <groupName>标点问题</groupName>
      <ability>L2_Punc</ability>
      <abilityName>标点符号检查</abilityName>
      <candidateList>
        <item>主体。</item>
      </candidateList>
      <explain/>
      <paraID>6BBB7D92</paraID>
      <start>7</start>
      <end>9</end>
      <status>unmodified</status>
      <modifiedWord/>
      <trackRevisions>false</trackRevisions>
    </reviewItem>
    <reviewItem>
      <errorID>f819c356-0684-4d1a-801d-2ed3bfa1f073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3C85344</paraID>
      <start>0</start>
      <end>2</end>
      <status>unmodified</status>
      <modifiedWord/>
      <trackRevisions>false</trackRevisions>
    </reviewItem>
    <reviewItem>
      <errorID>078ec4a9-1916-431b-89d5-bf15f8c33bcd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1767AF8</paraID>
      <start>0</start>
      <end>2</end>
      <status>unmodified</status>
      <modifiedWord/>
      <trackRevisions>false</trackRevisions>
    </reviewItem>
    <reviewItem>
      <errorID>d2543ba8-abbd-489c-b376-4699d206caab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6F977885</paraID>
      <start>0</start>
      <end>2</end>
      <status>unmodified</status>
      <modifiedWord/>
      <trackRevisions>false</trackRevisions>
    </reviewItem>
    <reviewItem>
      <errorID>b3f907b1-000c-4586-9038-f93f7809f820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36AB1ED5</paraID>
      <start>0</start>
      <end>2</end>
      <status>unmodified</status>
      <modifiedWord/>
      <trackRevisions>false</trackRevisions>
    </reviewItem>
    <reviewItem>
      <errorID>09e8c872-8e80-4331-9115-b744266aa21f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2761F5DA</paraID>
      <start>0</start>
      <end>2</end>
      <status>unmodified</status>
      <modifiedWord/>
      <trackRevisions>false</trackRevisions>
    </reviewItem>
    <reviewItem>
      <errorID>b06941a2-5fe5-488e-9452-581d10070de0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393BBBDC</paraID>
      <start>0</start>
      <end>2</end>
      <status>unmodified</status>
      <modifiedWord/>
      <trackRevisions>false</trackRevisions>
    </reviewItem>
    <reviewItem>
      <errorID>54e01923-121e-400e-8306-01f92d98e616</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7B47EF2E</paraID>
      <start>33</start>
      <end>36</end>
      <status>unmodified</status>
      <modifiedWord/>
      <trackRevisions>false</trackRevisions>
    </reviewItem>
    <reviewItem>
      <errorID>d51f7138-1dd7-4e7e-8908-f5a7414591d6</errorID>
      <errorWord>储存</errorWord>
      <group>L1_Word</group>
      <groupName>字词问题</groupName>
      <ability>L2_Typo</ability>
      <abilityName>字词错误</abilityName>
      <candidateList>
        <item>存储</item>
      </candidateList>
      <explain/>
      <paraID>5E6ADC3A</paraID>
      <start>316</start>
      <end>318</end>
      <status>unmodified</status>
      <modifiedWord/>
      <trackRevisions>false</trackRevisions>
    </reviewItem>
    <reviewItem>
      <errorID>b56a4712-408c-453e-9913-0727e8c0bd27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C80C311</paraID>
      <start>0</start>
      <end>2</end>
      <status>unmodified</status>
      <modifiedWord/>
      <trackRevisions>false</trackRevisions>
    </reviewItem>
    <reviewItem>
      <errorID>0ba806f1-edbd-48c1-a155-3b5f08e7fbe3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635A1D37</paraID>
      <start>0</start>
      <end>2</end>
      <status>unmodified</status>
      <modifiedWord/>
      <trackRevisions>false</trackRevisions>
    </reviewItem>
    <reviewItem>
      <errorID>10915c38-ca9d-461d-aae9-3f3758e973f8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1FF400A1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4bc06c65-9947-46e9-839c-74218d0fcf26}">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6206</Words>
  <Characters>6532</Characters>
  <Lines>0</Lines>
  <Paragraphs>0</Paragraphs>
  <TotalTime>6</TotalTime>
  <ScaleCrop>false</ScaleCrop>
  <LinksUpToDate>false</LinksUpToDate>
  <CharactersWithSpaces>6613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2026-05-17T05:08:00Z</dcterms:created>
  <dc:creator>hp</dc:creator>
  <cp:lastModifiedBy>乖乖猪</cp:lastModifiedBy>
  <dcterms:modified xsi:type="dcterms:W3CDTF">2026-05-18T09:33:17Z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D818BD727FD84CAE989D4B3FDA563C8E_13</vt:lpwstr>
  </property>
  <property fmtid="{D5CDD505-2E9C-101B-9397-08002B2CF9AE}" pid="4" name="KSOTemplateDocerSaveRecord">
    <vt:lpwstr>eyJoZGlkIjoiMmExZGNmNmI2MzIwMWYwYjFiZTc1ZDFmZWM1NGQ4MjQiLCJ1c2VySWQiOiIzNjA4OTc1MjIifQ==</vt:lpwstr>
  </property>
</Properties>
</file>