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黑体" w:hAnsi="黑体" w:eastAsia="黑体" w:cs="黑体"/>
          <w:b w:val="0"/>
          <w:bCs w:val="0"/>
          <w:i w:val="0"/>
          <w:outline w:val="0"/>
          <w:shadow w:val="0"/>
          <w:emboss w:val="0"/>
          <w:imprint w:val="0"/>
          <w:snapToGrid/>
          <w:vanish w:val="0"/>
          <w:color w:val="000000"/>
          <w:spacing w:val="0"/>
          <w:w w:val="100"/>
          <w:kern w:val="2"/>
          <w:position w:val="0"/>
          <w:sz w:val="32"/>
          <w:szCs w:val="22"/>
          <w:u w:val="none"/>
          <w:lang w:val="en-US" w:eastAsia="zh-CN"/>
        </w:rPr>
      </w:pPr>
      <w:r>
        <w:rPr>
          <w:rFonts w:hint="eastAsia" w:ascii="黑体" w:hAnsi="黑体" w:eastAsia="黑体" w:cs="黑体"/>
          <w:b w:val="0"/>
          <w:bCs w:val="0"/>
          <w:i w:val="0"/>
          <w:outline w:val="0"/>
          <w:shadow w:val="0"/>
          <w:emboss w:val="0"/>
          <w:imprint w:val="0"/>
          <w:snapToGrid/>
          <w:vanish w:val="0"/>
          <w:color w:val="000000"/>
          <w:spacing w:val="0"/>
          <w:w w:val="100"/>
          <w:kern w:val="2"/>
          <w:position w:val="0"/>
          <w:sz w:val="32"/>
          <w:szCs w:val="22"/>
          <w:u w:val="none"/>
          <w:lang w:eastAsia="zh-CN"/>
        </w:rPr>
        <w:t>附件</w:t>
      </w:r>
      <w:r>
        <w:rPr>
          <w:rFonts w:hint="eastAsia" w:ascii="黑体" w:hAnsi="黑体" w:eastAsia="黑体" w:cs="黑体"/>
          <w:b w:val="0"/>
          <w:bCs w:val="0"/>
          <w:i w:val="0"/>
          <w:outline w:val="0"/>
          <w:shadow w:val="0"/>
          <w:emboss w:val="0"/>
          <w:imprint w:val="0"/>
          <w:snapToGrid/>
          <w:vanish w:val="0"/>
          <w:color w:val="000000"/>
          <w:spacing w:val="0"/>
          <w:w w:val="100"/>
          <w:kern w:val="2"/>
          <w:position w:val="0"/>
          <w:sz w:val="32"/>
          <w:szCs w:val="22"/>
          <w:u w:val="none"/>
          <w:lang w:val="en-US" w:eastAsia="zh-CN"/>
        </w:rPr>
        <w:t>3</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32" w:firstLineChars="200"/>
        <w:jc w:val="both"/>
        <w:textAlignment w:val="auto"/>
        <w:outlineLvl w:val="9"/>
        <w:rPr>
          <w:rFonts w:hint="default" w:ascii="宋体" w:hAnsi="宋体" w:eastAsia="仿宋_GB2312"/>
          <w:b w:val="0"/>
          <w:i w:val="0"/>
          <w:outline w:val="0"/>
          <w:shadow w:val="0"/>
          <w:emboss w:val="0"/>
          <w:imprint w:val="0"/>
          <w:snapToGrid/>
          <w:vanish w:val="0"/>
          <w:color w:val="000000"/>
          <w:spacing w:val="0"/>
          <w:w w:val="100"/>
          <w:kern w:val="2"/>
          <w:position w:val="0"/>
          <w:sz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bidi="ar"/>
        </w:rPr>
      </w:pPr>
      <w:r>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bidi="ar"/>
        </w:rPr>
        <w:t>南海区大沥镇河西沿江片区规划E路建设</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bidi="ar"/>
        </w:rPr>
      </w:pPr>
      <w:r>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bidi="ar"/>
        </w:rPr>
        <w:t>工程项目土地和房屋（非住宅）</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宋体"/>
          <w:b w:val="0"/>
          <w:i w:val="0"/>
          <w:outline w:val="0"/>
          <w:shadow w:val="0"/>
          <w:emboss w:val="0"/>
          <w:imprint w:val="0"/>
          <w:snapToGrid/>
          <w:vanish w:val="0"/>
          <w:color w:val="000000"/>
          <w:spacing w:val="0"/>
          <w:w w:val="100"/>
          <w:kern w:val="2"/>
          <w:position w:val="0"/>
          <w:sz w:val="44"/>
          <w:highlight w:val="none"/>
          <w:u w:val="none"/>
          <w:lang w:eastAsia="zh-CN"/>
        </w:rPr>
      </w:pPr>
      <w:r>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bidi="ar"/>
        </w:rPr>
        <w:t>征收补偿安置</w:t>
      </w:r>
      <w:bookmarkStart w:id="1" w:name="_GoBack"/>
      <w:bookmarkEnd w:id="1"/>
      <w:r>
        <w:rPr>
          <w:rFonts w:hint="eastAsia" w:ascii="方正小标宋简体" w:hAnsi="方正小标宋简体" w:eastAsia="方正小标宋简体" w:cs="方正粗黑宋简体"/>
          <w:b w:val="0"/>
          <w:i w:val="0"/>
          <w:outline w:val="0"/>
          <w:shadow w:val="0"/>
          <w:emboss w:val="0"/>
          <w:imprint w:val="0"/>
          <w:snapToGrid/>
          <w:vanish w:val="0"/>
          <w:color w:val="000000"/>
          <w:spacing w:val="0"/>
          <w:w w:val="100"/>
          <w:kern w:val="2"/>
          <w:position w:val="0"/>
          <w:sz w:val="44"/>
          <w:szCs w:val="44"/>
          <w:highlight w:val="none"/>
          <w:u w:val="none"/>
          <w:lang w:bidi="ar"/>
        </w:rPr>
        <w:t>方案</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_GB2312"/>
          <w:b w:val="0"/>
          <w:i w:val="0"/>
          <w:outline w:val="0"/>
          <w:shadow w:val="0"/>
          <w:emboss w:val="0"/>
          <w:imprint w:val="0"/>
          <w:snapToGrid/>
          <w:vanish w:val="0"/>
          <w:color w:val="000000"/>
          <w:spacing w:val="0"/>
          <w:w w:val="100"/>
          <w:kern w:val="2"/>
          <w:position w:val="0"/>
          <w:sz w:val="32"/>
          <w:szCs w:val="32"/>
          <w:highlight w:val="none"/>
          <w:u w:val="none"/>
        </w:rPr>
      </w:pP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为顺利实施</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南海区大沥镇河西沿江片区规划E路建设工程项目</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的建设，维护被征收单位和个人的合法权益，根据《中华人民共和国土地管理法》《中华人民共和国土地管理法实施条例》等法律法规以及省、市、区有关征收规定、政策和文件精神，结合</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大沥</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镇的实际情况，制定本征收补偿方案。</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一、建设项目</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南海区大沥镇河西沿江片区规划E路建设工程项目</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二、征收范围、对象</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征收范围：项目征地红线涉及的用地范围（具体详见征地红线图）。</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征收对象：征收红线范围内的集体土地并依法对地上房屋（非住宅）及附着物进行补偿。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三、土地、建（构）筑物补偿需提供的权属证明材料</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（一）《土地使用证》</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（二）《房屋所有权证》</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（三）《房地产权证》</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（四）《不动产权证》</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（五）《集体土地所有权证》</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（六）其他权属证明材料</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四、土地、建（构）筑物的面积认定</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（一）原则上按权属证载面积作为认定的依据</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（二）若对证载面积有异议的，由有资质的测绘机构进行测绘，实测面积大于证载面积的，按实测面积认定，加建、改建和违建部分</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不认作证载面积；</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（三）属于本方案补偿对象，没有权属证载面积的，可由有资质的测绘机构进行测绘，按实际测绘面积计算。</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五、征收补偿方式及签约期限</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（一）本项目主要采取货币补偿形式。</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（二）征收补偿协议签约期限：自征收补偿安置公告发布之日起</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个月内；搬迁期限：自征收补偿安置公告发布之日起</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个月内。</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六、征地补偿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（一）农用地和未利用地补偿标准为</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26.8</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万元/亩（含土地补偿、安置补助费）。</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（二）有证建设用地的补偿标准：由有资质的评估机构对土地价值进行评估，按评估结果进行补偿，且不低于农用地补偿标准。</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（三）无证事实建设用地的补偿标准：未办理建设用地手续但已经填土的，并且现状已经有建筑物的，土地补偿标准按照有证集体建设用地补偿标准扣除农用地转用办证费后的金额。</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（四）土地发生填土或平整的，按3万元/亩补偿。如被征收人有异议，由有资质的评估机构进行评估，按评估结果进行补偿。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（五）留用地安置实施方式：</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根据《广东省人民政府办公厅关于加强征收农村集体土地留用地安置管理工作的意见》（粤府办〔2016〕30号）的规定，按实际征收土地面积的15%计算留用地指标。</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u w:val="none"/>
          <w:lang w:bidi="ar"/>
        </w:rPr>
        <w:t>留用地指标转为折算货币补偿，补偿标准按本项目有证集体建设用地评估价，且不低于折算时被征收土地所在地的工业用地级别基准地价。</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七、社会保障费</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根据《广东省人民政府办公厅转发省人力资源社会保障厅关于进一步完善我省被征地农民养老保障政策意见的通知》（粤府办〔2021〕22号）、《关于设立被征地农民社会保障资金专户的意见》（粤财社函〔2007〕151号）和《佛山市南海区人民政府办公室关于印发佛山市南海区被征地农村居民养老保障实施方案的通知》（南府办函〔2022〕22号）规定，核定该项目按2.1万元/亩标准一次性计提征地社保费预存入“收缴被征地农民养老保障资金过渡户”。本项目需计提征地社保费总面积约</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u w:val="none"/>
          <w:lang w:val="en-US" w:eastAsia="zh-CN" w:bidi="ar"/>
        </w:rPr>
        <w:t>16.3995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亩，费用合计34.4390万元，专款用于被征地农民的基本养老保险补贴。</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u w:val="none"/>
          <w:lang w:val="en-US" w:eastAsia="zh-CN" w:bidi="ar-SA"/>
        </w:rPr>
        <w:t>按规定计提的征地社保费（含利息）平均分配至符合条件的征地社保费补贴对象，落实养老保障。</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八、建（构）筑物补偿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val="en-US" w:eastAsia="zh-CN"/>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（一）建（构）筑物补偿申请人</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符合以下条件之一的，可视为建（构）筑物补偿申请人：</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1.建（构）筑物所有权人或投资人。</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2.建（构）筑物出租后涉及加建、改建的其所有权人或投资人。</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3.有相关资料可以证明其为建（构）筑物权属人。</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被征收建（构）筑物的补偿涉及不同的申请人，由申请人提交租赁合同或其他证明材料，需在测绘、评估时分别进行确认，经征收实施单位工作人员现场核实。</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（二）建（构）筑物的类别</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1.有证建筑</w:t>
      </w:r>
      <w:bookmarkStart w:id="0" w:name="OLE_LINK1"/>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物</w:t>
      </w:r>
      <w:bookmarkEnd w:id="0"/>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是指有房屋所有权证或者有镇（街道）或以上规划建设部门审批手续（含有备案手续）的建（构）筑物（包括1993年6月23日南海城乡规划局成立前已使用的历史物业）。历史物业需由所在地村（居）或</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经济社</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确认，提交相关的证明材料（包括租赁合同等）。</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2.无证建筑</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物</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是指1993年6月23日南海城乡规划局成立后，物业建设未经镇（街道）或以上规划建设部门审批而擅自兴建使用的建筑物，视为无证建筑。</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（三）建（构）筑物</w:t>
      </w: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val="en-US" w:eastAsia="zh-CN" w:bidi="ar"/>
        </w:rPr>
        <w:t>及附属物</w:t>
      </w: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的补偿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Style w:val="15"/>
          <w:rFonts w:hint="eastAsia" w:ascii="宋体" w:hAnsi="宋体" w:eastAsia="仿宋_GB2312" w:cs="仿宋"/>
          <w:b w:val="0"/>
          <w:i w:val="0"/>
          <w:outline w:val="0"/>
          <w:shadow w:val="0"/>
          <w:emboss w:val="0"/>
          <w:imprint w:val="0"/>
          <w:snapToGrid/>
          <w:vanish w:val="0"/>
          <w:color w:val="000000"/>
          <w:spacing w:val="0"/>
          <w:w w:val="100"/>
          <w:kern w:val="2"/>
          <w:position w:val="0"/>
          <w:sz w:val="32"/>
          <w:highlight w:val="none"/>
          <w:u w:val="none"/>
          <w:lang w:eastAsia="zh-CN"/>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被征收的地上建（构）筑物及附属物根据核定的面积按本方案附件《建（构）筑物及附属物补偿标准》给予补偿。有证建筑物按重置价给予补偿，无证建筑物、构筑物和附属物按建安成本价给予补偿。如被征收人对补偿标准有异议的，可向征收实施单位申请由有资质的评估机构进行评估，按评估结果补偿；被征收人申请评估补偿方式的，不再适用《建（构）筑物及附属物补偿标准》规定的补偿标准。</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《建（构）筑物及附属物补偿标准》未涵盖的类别，由有资质的评估机构进行评估，按照评估结果补偿。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2.建（构）筑物涉及不同补偿申请人的，按原合同约定的比例或双方协商的比例进行分配补偿。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3.因项目征收涉及征收红线范围内、外为同一权属地块，并因征收导致红线范围外用地丧失原使用功能的，对其提出申请要求一并拆除超出红线范围建（构）筑物的，经镇征收</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实施</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部门、项目业主单位确认，按照征收红线范围内的建（构）筑物的补偿标准进行补偿。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九、搬迁补偿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（一）搬迁补偿申请人</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1.如被征收建（构）筑物或场地所有权人与实际使用人为同一主体的（自然人、法人、非法人组织），被征收建（构）筑物或场地所有权人为搬迁补偿申请人。</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2.如被征收建（构）筑物或场地合法所有权人与实际使用人为不同主体的，存在如下情形之一，可视为搬迁补偿申请人：</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（1）以被征收建（构）筑物或场地位置作为经营场所或合法证照登记场所的，且能提供未到期的租赁合同的自然人、法人、非法人组织。</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（2）以被征收建（构）筑物或场地作为储放物品或设备的，且能提供未到期的租赁合同的自然人、法人、非法人组织。</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（3）以被征收建（构）筑物或场地作为经营、储放物品或设备的，租赁合同虽到期但能提供场地合法使用的证明材料的自然人、法人、非法人组织。</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被征收建（构）筑物或场地的搬迁补偿涉及不同的申请人，由申请人提交租赁合同或场地合法使用其他证明材料，需在测绘、评估时分别进行确认，经征收实施单位工作人员现场核实。</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（二）搬迁补偿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1.原材料、半成品、成品、一般性设备由有资质的评估机构作搬迁评估，按评估结果补偿。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2.生产线设备和特殊设备由有资质的评估机构进行评估，按评估结果补偿。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3.如需二次搬迁的，由补偿申请人提出书面申请，相关单位核实，按第一次搬迁的标准补偿。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（三）厂企</w:t>
      </w: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val="en-US" w:eastAsia="zh-CN" w:bidi="ar"/>
        </w:rPr>
        <w:t>临时安置补偿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厂企临时安置补偿由有资质的评估机构按当时、当地的租金价格进行评估或厂企原租赁合同的租金标准作为补偿依据，按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拆除</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的建筑物面积乘以单价计算，补偿6个月。</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厂企临时安置补偿由实际使用人收取；如有特别约定的，可按原合同约定或协商结果分配。</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（四）因征收厂企搬迁造成临时停产停业损失的补偿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1.因征收厂企搬迁造成的临时停产停业损失的补偿，按照本方案公告发布前3年</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经营年限不足3年的</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按实际经营年限</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核算</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实际月平均税后利润，补偿6个月</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。税后利润</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由该单位提供</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纳税申报表、所得税纳税单</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等证明材料予以核定</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2.工人安置费用补偿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（1）人数核定：员工</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人数</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以本方案公告发布前6个月的月平均人数计算</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经营年限不足6个月的</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按实际经营年限</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核算</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，具体以该单位在社保部门登记的人数确定或由该单位提供工人工资支付转账凭证、劳动合同</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highlight w:val="none"/>
          <w:u w:val="none"/>
          <w:lang w:eastAsia="zh-CN"/>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工资签收证明等相关材料证明员工人数。</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（2）补偿标准：按本方案公告之日政府部门已发布的本市上年度职工月人均工资标准作为月均补偿标准。</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（3）厂企停产停业的工人安置补偿期限：因征收引起厂企临时停产停业的工人安置按实际受影响人数补偿，补偿6个月。</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val="en-US" w:bidi="ar"/>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十、</w:t>
      </w: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val="en-US" w:eastAsia="zh-CN" w:bidi="ar"/>
        </w:rPr>
        <w:t>土地租金补助</w:t>
      </w:r>
    </w:p>
    <w:p>
      <w:pPr>
        <w:pStyle w:val="8"/>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一）在本项目预公告发布前，土地承租方已与土地权属人签订土地租赁合同且支付完毕租期内全部租金（应提供相关付款凭证或入账证明资料等），同时土地用途为建设用地（含土地现状为建设用地）的，则对该土地承租方支付土地租金补助。土地租金补助计算公式如下：</w:t>
      </w:r>
    </w:p>
    <w:p>
      <w:pPr>
        <w:pStyle w:val="8"/>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土地租金补助=征收范围内的土地租赁面积×补偿单价×补偿月数。其中，“补偿单价”为当时、当地同类型土地的市场租金评估单价（由有资质的评估机构评估）；“补偿月数”按照下表核定：</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4790"/>
        <w:gridCol w:w="3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color w:val="auto"/>
                <w:sz w:val="24"/>
                <w:szCs w:val="24"/>
                <w:highlight w:val="none"/>
                <w:vertAlign w:val="baseline"/>
                <w:lang w:val="en-US" w:eastAsia="zh-CN" w:bidi="ar"/>
              </w:rPr>
            </w:pPr>
            <w:r>
              <w:rPr>
                <w:rFonts w:hint="eastAsia" w:ascii="仿宋" w:hAnsi="仿宋" w:eastAsia="仿宋" w:cs="仿宋"/>
                <w:b/>
                <w:bCs/>
                <w:color w:val="auto"/>
                <w:sz w:val="24"/>
                <w:szCs w:val="24"/>
                <w:highlight w:val="none"/>
                <w:vertAlign w:val="baseline"/>
                <w:lang w:val="en-US" w:eastAsia="zh-CN" w:bidi="ar"/>
              </w:rPr>
              <w:t>档次</w:t>
            </w:r>
          </w:p>
        </w:tc>
        <w:tc>
          <w:tcPr>
            <w:tcW w:w="4790"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color w:val="auto"/>
                <w:sz w:val="24"/>
                <w:szCs w:val="24"/>
                <w:highlight w:val="none"/>
                <w:vertAlign w:val="baseline"/>
                <w:lang w:val="en-US" w:eastAsia="zh-CN" w:bidi="ar"/>
              </w:rPr>
            </w:pPr>
            <w:r>
              <w:rPr>
                <w:rFonts w:hint="eastAsia" w:ascii="仿宋" w:hAnsi="仿宋" w:eastAsia="仿宋" w:cs="仿宋"/>
                <w:b/>
                <w:bCs/>
                <w:color w:val="auto"/>
                <w:sz w:val="24"/>
                <w:szCs w:val="24"/>
                <w:highlight w:val="none"/>
                <w:vertAlign w:val="baseline"/>
                <w:lang w:val="en-US" w:eastAsia="zh-CN" w:bidi="ar"/>
              </w:rPr>
              <w:t>剩余土地租赁年限</w:t>
            </w:r>
          </w:p>
        </w:tc>
        <w:tc>
          <w:tcPr>
            <w:tcW w:w="3400"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color w:val="auto"/>
                <w:sz w:val="24"/>
                <w:szCs w:val="24"/>
                <w:highlight w:val="none"/>
                <w:vertAlign w:val="baseline"/>
                <w:lang w:val="en-US" w:eastAsia="zh-CN" w:bidi="ar"/>
              </w:rPr>
            </w:pPr>
            <w:r>
              <w:rPr>
                <w:rFonts w:hint="eastAsia" w:ascii="仿宋" w:hAnsi="仿宋" w:eastAsia="仿宋" w:cs="仿宋"/>
                <w:b/>
                <w:bCs/>
                <w:color w:val="auto"/>
                <w:sz w:val="24"/>
                <w:szCs w:val="24"/>
                <w:highlight w:val="none"/>
                <w:vertAlign w:val="baseline"/>
                <w:lang w:val="en-US" w:eastAsia="zh-CN" w:bidi="ar"/>
              </w:rPr>
              <w:t>对应每年的土地租金补助月数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1</w:t>
            </w:r>
          </w:p>
        </w:tc>
        <w:tc>
          <w:tcPr>
            <w:tcW w:w="4790"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不超过5年（含5年）的部分</w:t>
            </w:r>
          </w:p>
        </w:tc>
        <w:tc>
          <w:tcPr>
            <w:tcW w:w="3400"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每年补偿5个月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2</w:t>
            </w:r>
          </w:p>
        </w:tc>
        <w:tc>
          <w:tcPr>
            <w:tcW w:w="4790"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超过5年至10年（含10年）的部分</w:t>
            </w:r>
          </w:p>
        </w:tc>
        <w:tc>
          <w:tcPr>
            <w:tcW w:w="3400"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每年补偿4.5个月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3</w:t>
            </w:r>
          </w:p>
        </w:tc>
        <w:tc>
          <w:tcPr>
            <w:tcW w:w="4790"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超过10年至15年（含15年）的部分</w:t>
            </w:r>
          </w:p>
        </w:tc>
        <w:tc>
          <w:tcPr>
            <w:tcW w:w="3400"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每年补偿4个月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4</w:t>
            </w:r>
          </w:p>
        </w:tc>
        <w:tc>
          <w:tcPr>
            <w:tcW w:w="4790"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超过15年至20年（含20年）的部分</w:t>
            </w:r>
          </w:p>
        </w:tc>
        <w:tc>
          <w:tcPr>
            <w:tcW w:w="3400"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每年补偿3.5个月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5</w:t>
            </w:r>
          </w:p>
        </w:tc>
        <w:tc>
          <w:tcPr>
            <w:tcW w:w="4790"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超过20年至25年（含25年）的部分</w:t>
            </w:r>
          </w:p>
        </w:tc>
        <w:tc>
          <w:tcPr>
            <w:tcW w:w="3400"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6</w:t>
            </w:r>
          </w:p>
        </w:tc>
        <w:tc>
          <w:tcPr>
            <w:tcW w:w="4790"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超过25年至30年（含30年）的部分</w:t>
            </w:r>
          </w:p>
        </w:tc>
        <w:tc>
          <w:tcPr>
            <w:tcW w:w="3400"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每年补偿2个月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7</w:t>
            </w:r>
          </w:p>
        </w:tc>
        <w:tc>
          <w:tcPr>
            <w:tcW w:w="4790"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超过30年至50年（含50年）的部分</w:t>
            </w:r>
          </w:p>
        </w:tc>
        <w:tc>
          <w:tcPr>
            <w:tcW w:w="3400"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每年补偿1个月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8</w:t>
            </w:r>
          </w:p>
        </w:tc>
        <w:tc>
          <w:tcPr>
            <w:tcW w:w="4790"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超过50年部分</w:t>
            </w:r>
          </w:p>
        </w:tc>
        <w:tc>
          <w:tcPr>
            <w:tcW w:w="3400"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不作补偿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备注</w:t>
            </w:r>
          </w:p>
        </w:tc>
        <w:tc>
          <w:tcPr>
            <w:tcW w:w="8190" w:type="dxa"/>
            <w:gridSpan w:val="2"/>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vertAlign w:val="baseline"/>
                <w:lang w:val="en-US" w:eastAsia="zh-CN" w:bidi="ar"/>
              </w:rPr>
              <w:t>剩余土地租赁年限核算方式：以补偿协议签订当月起至租赁合同约定土地租赁期届满的当月，不足一个月按一个月核算，最终换算成以“年”为计算单位。</w:t>
            </w:r>
          </w:p>
        </w:tc>
      </w:tr>
    </w:tbl>
    <w:p>
      <w:pPr>
        <w:pStyle w:val="8"/>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前述土地租金补助支付的前提条件为土地承租方放弃向土地权属人主张退还未使用期限部分的租金。</w:t>
      </w:r>
    </w:p>
    <w:p>
      <w:pPr>
        <w:pStyle w:val="8"/>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二）在本项目预公告发布前，土地承租方与土地权属人签订土地租赁合同且未支付完毕租期内全部租金，同时土地用途为建设用地（含土地现状为建设用地，但承租合同约定作农业用途的除外）的，则按下列方式对该土地承租方支付土地租金补助：</w:t>
      </w:r>
    </w:p>
    <w:p>
      <w:pPr>
        <w:pStyle w:val="8"/>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土地租金补助=征收范围内的土地租赁面积×补偿单价×补偿月数。其中，“补偿单价”为当时、当地同类型土地的市场租金评估单价（由有资质的评估机构评估）扣减原土地租赁合同同期对应约定租金单价的数额，若“补偿单价”为零或者负数的，则无须向该土地承租方支付土地租金补助；“补偿月数”按照下表核定：</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4732"/>
        <w:gridCol w:w="3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color w:val="auto"/>
                <w:sz w:val="24"/>
                <w:szCs w:val="24"/>
                <w:highlight w:val="none"/>
                <w:vertAlign w:val="baseline"/>
                <w:lang w:val="en-US" w:eastAsia="zh-CN" w:bidi="ar"/>
              </w:rPr>
            </w:pPr>
            <w:r>
              <w:rPr>
                <w:rFonts w:hint="eastAsia" w:ascii="仿宋" w:hAnsi="仿宋" w:eastAsia="仿宋" w:cs="仿宋"/>
                <w:b/>
                <w:bCs/>
                <w:color w:val="auto"/>
                <w:sz w:val="24"/>
                <w:szCs w:val="24"/>
                <w:highlight w:val="none"/>
                <w:vertAlign w:val="baseline"/>
                <w:lang w:val="en-US" w:eastAsia="zh-CN" w:bidi="ar"/>
              </w:rPr>
              <w:t>档次</w:t>
            </w:r>
          </w:p>
        </w:tc>
        <w:tc>
          <w:tcPr>
            <w:tcW w:w="4732"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color w:val="auto"/>
                <w:sz w:val="24"/>
                <w:szCs w:val="24"/>
                <w:highlight w:val="none"/>
                <w:vertAlign w:val="baseline"/>
                <w:lang w:val="en-US" w:eastAsia="zh-CN" w:bidi="ar"/>
              </w:rPr>
            </w:pPr>
            <w:r>
              <w:rPr>
                <w:rFonts w:hint="eastAsia" w:ascii="仿宋" w:hAnsi="仿宋" w:eastAsia="仿宋" w:cs="仿宋"/>
                <w:b/>
                <w:bCs/>
                <w:color w:val="auto"/>
                <w:sz w:val="24"/>
                <w:szCs w:val="24"/>
                <w:highlight w:val="none"/>
                <w:vertAlign w:val="baseline"/>
                <w:lang w:val="en-US" w:eastAsia="zh-CN" w:bidi="ar"/>
              </w:rPr>
              <w:t>剩余土地租赁年限</w:t>
            </w:r>
          </w:p>
        </w:tc>
        <w:tc>
          <w:tcPr>
            <w:tcW w:w="34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color w:val="auto"/>
                <w:sz w:val="24"/>
                <w:szCs w:val="24"/>
                <w:highlight w:val="none"/>
                <w:vertAlign w:val="baseline"/>
                <w:lang w:val="en-US" w:eastAsia="zh-CN" w:bidi="ar"/>
              </w:rPr>
            </w:pPr>
            <w:r>
              <w:rPr>
                <w:rFonts w:hint="eastAsia" w:ascii="仿宋" w:hAnsi="仿宋" w:eastAsia="仿宋" w:cs="仿宋"/>
                <w:b/>
                <w:bCs/>
                <w:color w:val="auto"/>
                <w:sz w:val="24"/>
                <w:szCs w:val="24"/>
                <w:highlight w:val="none"/>
                <w:vertAlign w:val="baseline"/>
                <w:lang w:val="en-US" w:eastAsia="zh-CN" w:bidi="ar"/>
              </w:rPr>
              <w:t>对应每年的土地租金补助月数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1</w:t>
            </w:r>
          </w:p>
        </w:tc>
        <w:tc>
          <w:tcPr>
            <w:tcW w:w="4732"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不超过5年（含5年）的部分</w:t>
            </w:r>
          </w:p>
        </w:tc>
        <w:tc>
          <w:tcPr>
            <w:tcW w:w="3458"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每年补偿4.5个月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2</w:t>
            </w:r>
          </w:p>
        </w:tc>
        <w:tc>
          <w:tcPr>
            <w:tcW w:w="4732"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超过5年至10年（含10年）的部分</w:t>
            </w:r>
          </w:p>
        </w:tc>
        <w:tc>
          <w:tcPr>
            <w:tcW w:w="3458"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每年补偿4个月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3</w:t>
            </w:r>
          </w:p>
        </w:tc>
        <w:tc>
          <w:tcPr>
            <w:tcW w:w="4732"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超过10年至15年（含15年）的部分</w:t>
            </w:r>
          </w:p>
        </w:tc>
        <w:tc>
          <w:tcPr>
            <w:tcW w:w="3458"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每年补偿3.5个月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4</w:t>
            </w:r>
          </w:p>
        </w:tc>
        <w:tc>
          <w:tcPr>
            <w:tcW w:w="4732"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超过15年至20年（含20年）的部分</w:t>
            </w:r>
          </w:p>
        </w:tc>
        <w:tc>
          <w:tcPr>
            <w:tcW w:w="3458"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5</w:t>
            </w:r>
          </w:p>
        </w:tc>
        <w:tc>
          <w:tcPr>
            <w:tcW w:w="4732"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超过20年至25年（含25年）的部分</w:t>
            </w:r>
          </w:p>
        </w:tc>
        <w:tc>
          <w:tcPr>
            <w:tcW w:w="3458"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每年补偿2.5个月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6</w:t>
            </w:r>
          </w:p>
        </w:tc>
        <w:tc>
          <w:tcPr>
            <w:tcW w:w="4732"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超过25年至30年（含30年）的部分</w:t>
            </w:r>
          </w:p>
        </w:tc>
        <w:tc>
          <w:tcPr>
            <w:tcW w:w="3458"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每年补偿2个月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7</w:t>
            </w:r>
          </w:p>
        </w:tc>
        <w:tc>
          <w:tcPr>
            <w:tcW w:w="4732"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超过30年至50年（含50年）的部分</w:t>
            </w:r>
          </w:p>
        </w:tc>
        <w:tc>
          <w:tcPr>
            <w:tcW w:w="3458"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每年补偿1个月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8</w:t>
            </w:r>
          </w:p>
        </w:tc>
        <w:tc>
          <w:tcPr>
            <w:tcW w:w="4732"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超过50年部分</w:t>
            </w:r>
          </w:p>
        </w:tc>
        <w:tc>
          <w:tcPr>
            <w:tcW w:w="3458" w:type="dxa"/>
            <w:noWrap w:val="0"/>
            <w:vAlign w:val="top"/>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不作补偿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1058" w:type="dxa"/>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备注</w:t>
            </w:r>
          </w:p>
        </w:tc>
        <w:tc>
          <w:tcPr>
            <w:tcW w:w="8190" w:type="dxa"/>
            <w:gridSpan w:val="2"/>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color w:val="auto"/>
                <w:sz w:val="24"/>
                <w:szCs w:val="24"/>
                <w:highlight w:val="none"/>
                <w:vertAlign w:val="baseline"/>
                <w:lang w:val="en-US" w:eastAsia="zh-CN" w:bidi="ar"/>
              </w:rPr>
            </w:pPr>
            <w:r>
              <w:rPr>
                <w:rFonts w:hint="eastAsia" w:ascii="仿宋" w:hAnsi="仿宋" w:eastAsia="仿宋" w:cs="仿宋"/>
                <w:color w:val="auto"/>
                <w:sz w:val="24"/>
                <w:szCs w:val="24"/>
                <w:highlight w:val="none"/>
                <w:vertAlign w:val="baseline"/>
                <w:lang w:val="en-US" w:eastAsia="zh-CN" w:bidi="ar"/>
              </w:rPr>
              <w:t>剩余土地租赁年限核算方式：以补偿协议签订当月起至合同约定土地租赁期届满的当月，不足一个月按一个月核算，最终换算成以“年”为计算单位。</w:t>
            </w:r>
          </w:p>
        </w:tc>
      </w:tr>
    </w:tbl>
    <w:p>
      <w:pPr>
        <w:pStyle w:val="8"/>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（三）按照上述第（一）、（二）款核算的土地租金补助，最高单亩补助标准不得高于本方案同区域、同类型集体建设用地征地补偿标准的90%。</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十一、青苗补偿和附着物补偿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（一）青苗补偿：食用竹、稻谷、蔬菜、旱作物、四大家鱼等，补偿标准为8500元/亩，高值塘鱼、花卉、果树等及有争议的青苗由有资质的评估机构对其进行市场评估后按评估价作为补偿标准。</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二</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）农用地上</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的附属设施按本方案附件《建（构）筑物及附属物补偿标准》给予补偿，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如被征收人对补偿标准有异议的，可向征收实施单位申请由有资质的评估机构进行评估，按评估结果补偿；被征收人申请评估补偿方式的，不再适用《建（构）筑物及附属物补偿标准》规定的补偿标准。《建（构）筑物及附属物补偿标准》未涵盖的农用地上</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的附属设施</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类别，由有资质的评估机构进行评估，按照评估结果补偿。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农用地上生产设施</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和</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配套设施由有资质的评估机构对其进行市场评估，按评估结果补偿。可搬迁再利用的设施由有资质的评估机构作搬迁评估，按评估结果补偿。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）项目范围内，在项目征收土地预公告发布前已存在，有相关书面证明材料，并经镇征收</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实施</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部门、项目业主单位、管线权属单位（或授权管理单位）共同确认的供电线路、军用光缆、通信线路、燃气管道、供排水管道、市政绿化等管线及设施，以实物或资金补偿形式进行迁改。</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四</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）项目管线迁改涉及红线外用地、建（构）筑物、青苗和附着物如需补偿的，按以下原则进行补偿：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1.永久占地按照“只补不征”的原则，即管线及设施永久占地只进行用地补偿，不实行征地、不变更用地权属，用地补偿协议约定今后被纳入征地红线范围时补偿应扣除已支付的补偿款等内容。</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2.管线迁改永久占地、建（构）筑物、青苗及地上附着物补偿，补偿范围依据有关管线行业相关规定，费用标准按照本补偿安置方案相关补偿标准执行，不安排留用地折算货币补偿。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3.管线迁改施工如发生临时占地（施工单位驻地、加工场地及非正常施工损坏的除外）需补偿的，由有资质的评估机构对施工临时占地租金进行评估，按占地实际使用时间进行补偿，占地范围及占地实际使用时间经参建单位各方共同确认。</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十二、其它补偿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一）被征地农村集体经济组织申请对征地红线外的边角地、夹心地、河涌及道路用地认定的，征收实施单位应组织项目建设单位及相关部门现场核实，与被征地农村集体经济组织及其他权利人进行认定，并共同签字确认认定结果。</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经认定予以补偿的土地，不纳入土地征收范围，由征收实施单位与被征地农村集体经济组织及其他权利人签订补偿协议，约定今后被纳入征地红线范围时的补偿应扣除已支付的补偿款等内容。属农用地未完全丧失耕作条件的按征地补偿标准的70%补偿，完全丧失耕作条件的按100%补偿；属建设用地的按100%补偿。</w:t>
      </w:r>
    </w:p>
    <w:p>
      <w:pPr>
        <w:pStyle w:val="8"/>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u w:val="none"/>
          <w:lang w:val="en-US" w:eastAsia="zh-CN" w:bidi="ar"/>
        </w:rPr>
        <w:t>（二）</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因本项目征收造成周边道路、水系以及各类村政、市政设施和文娱体育设施受影响而需修复和建设的，经镇征收</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实施</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部门核实确认后实施规划、设计，并按经中介审价后的金额进行补偿；可根据实际情况实行货币补偿或实物补偿。</w:t>
      </w:r>
    </w:p>
    <w:p>
      <w:pPr>
        <w:pStyle w:val="8"/>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u w:val="none"/>
          <w:lang w:val="en-US" w:eastAsia="zh-CN" w:bidi="ar"/>
        </w:rPr>
        <w:t>（三）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因本项目征收导致建（构）筑物及附着物（如围墙等）部分拆除而需要修复的，对需要修复部分的建安成本进行评估，按评估结果补偿其修复费用。</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四</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）因本项目建设造成的其它经济损失，由相关权利人提供合法的依据，按相关规定进行补偿。</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十三、奖励</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（一）征</w:t>
      </w: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val="en-US" w:eastAsia="zh-CN" w:bidi="ar"/>
        </w:rPr>
        <w:t>用</w:t>
      </w: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地奖励</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1.征地奖励：</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被征地集体经济组织在规定时间内签订《征地补偿协议》并移交土地的，征收实施单位给予征地奖励，按征地补偿总额（不含留用地</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补偿及填土费补偿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）20%奖励。</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2.用地奖励：因项目管线迁改永久占用土地，集体经济组织在规定时间内签订用地补偿协议并移交土地的，征收实施单位给予用地奖励，按用地补偿总额（不含填土费补偿）20%奖励。</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（二）</w:t>
      </w: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val="en-US" w:eastAsia="zh-CN" w:bidi="ar"/>
        </w:rPr>
        <w:t>建（构）筑物签约及搬迁移交奖励</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1.</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签约奖励</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1</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建（构）筑物补偿申请人在规定时间内签订关于建（构）筑物的征收补偿协议</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且</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移交建（构）筑物</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的</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，征收实施单位对其实施奖励，奖励标准如下：</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①自征收补偿安置公告发布之日起</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3</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个月内签订征收补偿协议且移交建（构）筑物的，建（构）筑物的补偿总额在1000万元以内（含1000万元）的按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25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%奖励；补偿总额超过1000万元的部分按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15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%奖励。最高奖励标准不高于500万元</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②自征收补偿安置公告发布之日起</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个月内签订征收补偿协议且移交建（构）筑物的，建（构）筑物的补偿总额在1000万元以内（含1000万元）的按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10</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%奖励；补偿总额超过1000万元的部分按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%奖励。最高奖励标准不高于500万元</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以上计算奖励的补偿总额不含征地</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、搬迁</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临时安置补偿、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停产停业损失</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、工人安置补偿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土地租金补助</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2</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如奖励涉及分成的，按原合同约定的比例或双方协商的比例计算。</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3</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在征收补偿安置公告发布之日起</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个月内未签订补偿协议或未移交建（构）筑物的，不给予奖励。</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2.</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搬迁移交奖励</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1</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在规定时间内签订补偿协议</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移交建（构）筑物并签订《移交确认书》的搬迁补偿申请人，征收实施单位对其实施奖励，奖励标准如下：</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①自征收补偿安置公告发布之日起</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3</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个月内签订补偿协议且移交建（构）筑物的，搬迁费用总额1000万元以内（含1000万元）的按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25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%奖励；搬迁费用总额超过1000万元的部分按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15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%奖励。最高奖励标准不高于500万元；</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②自征收补偿安置公告发布之日起</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个月内签订补偿协议且移交建（构）筑物的，搬迁费用总额1000万元以内（含1000万元）的按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10</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%奖励；搬迁费用总额超过1000万元的部分按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5</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%奖励。最高奖励标准不高于500万元；</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以上计算奖励的补偿总额不含征地</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、建（构）筑物</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、停产停业损失</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、工人安置补偿</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土地租金补助</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w:t>
      </w:r>
    </w:p>
    <w:p>
      <w:pPr>
        <w:pStyle w:val="8"/>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2</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建（构）筑物补偿申请人与搬迁补偿申请人不是同一主体</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的</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，按上述标准只奖励搬迁补偿申请人。</w:t>
      </w:r>
    </w:p>
    <w:p>
      <w:pPr>
        <w:pStyle w:val="8"/>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（3）在征收补偿安置公告发布之日起5个月内未签订补偿协议或未移交建（构）筑物的，不给予奖励。</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十四、补偿款及奖励金支付</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（一）补偿款支付</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1.补偿协议签订后，征收实施单位支付50%征收补偿款给被征收人；待被征收人完成土地或建（构）筑物等标的物</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、不动产权属证书（如有）</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移交后，征收实施单位支付50%征收补偿款给被征收人。</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2.在收取补偿款时应出具相应的合法有效凭证。</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3.委托他人签订补偿协议和收取补偿款的，应出具公证书或见证书，或委托人签署委托书须有2名征收实施单位工作人员在场作证。</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楷体"/>
          <w:b w:val="0"/>
          <w:i w:val="0"/>
          <w:outline w:val="0"/>
          <w:shadow w:val="0"/>
          <w:emboss w:val="0"/>
          <w:imprint w:val="0"/>
          <w:snapToGrid/>
          <w:vanish w:val="0"/>
          <w:color w:val="000000"/>
          <w:spacing w:val="0"/>
          <w:w w:val="100"/>
          <w:kern w:val="2"/>
          <w:position w:val="0"/>
          <w:sz w:val="32"/>
          <w:szCs w:val="32"/>
          <w:highlight w:val="none"/>
          <w:u w:val="none"/>
          <w:lang w:bidi="ar"/>
        </w:rPr>
        <w:t>（二）奖励金支付</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1.被征地集体经济组织在规定的时间内签订征</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用</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地补偿协议，移交土地</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和</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不动产权属证书（如有），由征收实施单位一次性支付征</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用</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地奖励金。</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2.在规定的时间内签订建（构）筑物征收补偿协议，</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并</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完成土地</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或</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建（构）筑物等标的物移交</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eastAsia="zh-CN" w:bidi="ar"/>
        </w:rPr>
        <w:t>，</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以及</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将涉及的不动产权属证书（如有）移交给征收实施单位</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后</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，由征收实施单位一次性支付签约奖励金。</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3.在规定的时间内完成搬迁并交付建（构）筑物，由征收实施单位一次性支付搬迁移交奖励金。</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以上奖励行政事业单位除外。</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bCs/>
          <w:i w:val="0"/>
          <w:outline w:val="0"/>
          <w:shadow w:val="0"/>
          <w:emboss w:val="0"/>
          <w:imprint w:val="0"/>
          <w:snapToGrid/>
          <w:vanish w:val="0"/>
          <w:color w:val="000000"/>
          <w:spacing w:val="0"/>
          <w:w w:val="100"/>
          <w:kern w:val="2"/>
          <w:position w:val="0"/>
          <w:sz w:val="32"/>
          <w:szCs w:val="32"/>
          <w:highlight w:val="none"/>
          <w:u w:val="none"/>
          <w:lang w:bidi="ar"/>
        </w:rPr>
        <w:t>十五、测绘、评估、确认</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（一）评估、测绘单位按相关规定选取确定。</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（二）本项目的测绘费、评估费按行业相关标准或招投标约定标准计算支付。</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（三）由征收实施单位聘请有资质的测绘机构，按《国家标准房产测量规范》实施测绘，并以核定的面积作为建（构）筑物补偿的依据，测绘时由征收实施单位工作人员和被征收人现场确认。</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（四）由征收实施单位聘请具有相应资质的评估机构评估，按《国家标准房地产估价规范》实施评估，评估时由征收实施单位工作人员和被征收人现场确认。</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i w:val="0"/>
          <w:outline w:val="0"/>
          <w:shadow w:val="0"/>
          <w:emboss w:val="0"/>
          <w:imprint w:val="0"/>
          <w:snapToGrid/>
          <w:vanish w:val="0"/>
          <w:color w:val="000000"/>
          <w:spacing w:val="0"/>
          <w:w w:val="100"/>
          <w:kern w:val="2"/>
          <w:position w:val="0"/>
          <w:sz w:val="32"/>
          <w:szCs w:val="32"/>
          <w:highlight w:val="none"/>
          <w:u w:val="none"/>
          <w:lang w:bidi="ar"/>
        </w:rPr>
        <w:t>十六、</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自征收土地预公告发布后，抢建、扩建、加建的地上附着物以及抢栽抢种的农作物不予补偿，并追究相关法律责任。</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i w:val="0"/>
          <w:outline w:val="0"/>
          <w:shadow w:val="0"/>
          <w:emboss w:val="0"/>
          <w:imprint w:val="0"/>
          <w:snapToGrid/>
          <w:vanish w:val="0"/>
          <w:color w:val="000000"/>
          <w:spacing w:val="0"/>
          <w:w w:val="100"/>
          <w:kern w:val="2"/>
          <w:position w:val="0"/>
          <w:sz w:val="32"/>
          <w:szCs w:val="32"/>
          <w:highlight w:val="none"/>
          <w:u w:val="none"/>
          <w:lang w:bidi="ar"/>
        </w:rPr>
        <w:t>十七、</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已补偿的建筑物、附属物等归征收实施单位所有；为了确保清拆过程的安全问题，被征收人以及搬迁补偿申请人应按期搬迁，将建筑物、附属物交给征收实施单位统一实施清拆。</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i w:val="0"/>
          <w:outline w:val="0"/>
          <w:shadow w:val="0"/>
          <w:emboss w:val="0"/>
          <w:imprint w:val="0"/>
          <w:snapToGrid/>
          <w:vanish w:val="0"/>
          <w:color w:val="000000"/>
          <w:spacing w:val="0"/>
          <w:w w:val="100"/>
          <w:kern w:val="2"/>
          <w:position w:val="0"/>
          <w:sz w:val="32"/>
          <w:szCs w:val="32"/>
          <w:highlight w:val="none"/>
          <w:u w:val="none"/>
          <w:lang w:bidi="ar"/>
        </w:rPr>
        <w:t>十八、</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权属人的物业已作抵押的，由抵押人与抵押权人重新签订分配补偿款协议，或由抵押人清偿债务并经抵押权人书面证明同意注销原抵押后，征收实施单位根据物业的合法抵押权人与抵押人的协议按评估结果支付补偿款。</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i w:val="0"/>
          <w:outline w:val="0"/>
          <w:shadow w:val="0"/>
          <w:emboss w:val="0"/>
          <w:imprint w:val="0"/>
          <w:snapToGrid/>
          <w:vanish w:val="0"/>
          <w:color w:val="000000"/>
          <w:spacing w:val="0"/>
          <w:w w:val="100"/>
          <w:kern w:val="2"/>
          <w:position w:val="0"/>
          <w:sz w:val="32"/>
          <w:szCs w:val="32"/>
          <w:highlight w:val="none"/>
          <w:u w:val="none"/>
          <w:lang w:bidi="ar"/>
        </w:rPr>
        <w:t>十九、</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原权属人应</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在补偿协议约定期限内</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办理原不动产权属证书注销或变更登记手续。</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i w:val="0"/>
          <w:outline w:val="0"/>
          <w:shadow w:val="0"/>
          <w:emboss w:val="0"/>
          <w:imprint w:val="0"/>
          <w:snapToGrid/>
          <w:vanish w:val="0"/>
          <w:color w:val="000000"/>
          <w:spacing w:val="0"/>
          <w:w w:val="100"/>
          <w:kern w:val="2"/>
          <w:position w:val="0"/>
          <w:sz w:val="32"/>
          <w:szCs w:val="32"/>
          <w:highlight w:val="none"/>
          <w:u w:val="none"/>
          <w:lang w:bidi="ar"/>
        </w:rPr>
        <w:t>二十、</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征收有产权纠纷或因其他原因暂时不能确定权属的房屋，由区人民政府依据本方案和补偿登记结果作出补偿安置决定，公证机关办理证据留存、提存后按相关规定实施征收。</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rPr>
      </w:pPr>
      <w:r>
        <w:rPr>
          <w:rFonts w:hint="eastAsia" w:ascii="宋体" w:hAnsi="宋体" w:eastAsia="仿宋_GB2312" w:cs="黑体"/>
          <w:b w:val="0"/>
          <w:i w:val="0"/>
          <w:outline w:val="0"/>
          <w:shadow w:val="0"/>
          <w:emboss w:val="0"/>
          <w:imprint w:val="0"/>
          <w:snapToGrid/>
          <w:vanish w:val="0"/>
          <w:color w:val="000000"/>
          <w:spacing w:val="0"/>
          <w:w w:val="100"/>
          <w:kern w:val="2"/>
          <w:position w:val="0"/>
          <w:sz w:val="32"/>
          <w:szCs w:val="32"/>
          <w:highlight w:val="none"/>
          <w:u w:val="none"/>
          <w:lang w:bidi="ar"/>
        </w:rPr>
        <w:t>二十一、</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在征收过程中如遇有特殊情况，相关权属人提出书面申请，征收实施单位可按实际情况另行处理。</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r>
        <w:rPr>
          <w:rFonts w:hint="eastAsia" w:ascii="宋体" w:hAnsi="宋体" w:eastAsia="仿宋_GB2312" w:cs="黑体"/>
          <w:b w:val="0"/>
          <w:i w:val="0"/>
          <w:outline w:val="0"/>
          <w:shadow w:val="0"/>
          <w:emboss w:val="0"/>
          <w:imprint w:val="0"/>
          <w:snapToGrid/>
          <w:vanish w:val="0"/>
          <w:color w:val="000000"/>
          <w:spacing w:val="0"/>
          <w:w w:val="100"/>
          <w:kern w:val="2"/>
          <w:position w:val="0"/>
          <w:sz w:val="32"/>
          <w:szCs w:val="32"/>
          <w:highlight w:val="none"/>
          <w:u w:val="none"/>
          <w:lang w:bidi="ar"/>
        </w:rPr>
        <w:t>二十二、</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本补偿方案由</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bidi="ar"/>
        </w:rPr>
        <w:t>大沥</w:t>
      </w: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t>镇人民政府负责解释。</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32" w:firstLineChars="2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bidi="ar"/>
        </w:rPr>
      </w:pPr>
    </w:p>
    <w:p>
      <w:pPr>
        <w:keepNext w:val="0"/>
        <w:keepLines w:val="0"/>
        <w:pageBreakBefore w:val="0"/>
        <w:widowControl w:val="0"/>
        <w:kinsoku/>
        <w:wordWrap/>
        <w:overflowPunct/>
        <w:topLinePunct w:val="0"/>
        <w:autoSpaceDE/>
        <w:autoSpaceDN/>
        <w:bidi w:val="0"/>
        <w:adjustRightInd/>
        <w:snapToGrid/>
        <w:spacing w:line="560" w:lineRule="exact"/>
        <w:ind w:left="1580" w:leftChars="200" w:right="0" w:rightChars="0" w:hanging="948" w:hangingChars="300"/>
        <w:jc w:val="both"/>
        <w:textAlignment w:val="auto"/>
        <w:outlineLvl w:val="9"/>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rPr>
        <w:sectPr>
          <w:headerReference r:id="rId3" w:type="default"/>
          <w:footerReference r:id="rId4" w:type="default"/>
          <w:pgSz w:w="11907" w:h="16840"/>
          <w:pgMar w:top="2098" w:right="1474" w:bottom="1984" w:left="1588" w:header="851" w:footer="1361" w:gutter="0"/>
          <w:paperSrc/>
          <w:pgNumType w:fmt="decimal"/>
          <w:cols w:space="720" w:num="1"/>
          <w:rtlGutter w:val="0"/>
          <w:docGrid w:type="linesAndChars" w:linePitch="579" w:charSpace="-842"/>
        </w:sectPr>
      </w:pPr>
      <w:r>
        <w:rPr>
          <w:rFonts w:hint="eastAsia" w:ascii="宋体" w:hAnsi="宋体" w:eastAsia="仿宋_GB2312" w:cs="仿宋"/>
          <w:b w:val="0"/>
          <w:i w:val="0"/>
          <w:outline w:val="0"/>
          <w:shadow w:val="0"/>
          <w:emboss w:val="0"/>
          <w:imprint w:val="0"/>
          <w:snapToGrid/>
          <w:vanish w:val="0"/>
          <w:color w:val="000000"/>
          <w:spacing w:val="0"/>
          <w:w w:val="100"/>
          <w:kern w:val="2"/>
          <w:position w:val="0"/>
          <w:sz w:val="32"/>
          <w:szCs w:val="32"/>
          <w:highlight w:val="none"/>
          <w:u w:val="none"/>
          <w:lang w:val="en-US" w:eastAsia="zh-CN"/>
        </w:rPr>
        <w:t>附件：建（构）筑物及附属物补偿标准</w:t>
      </w:r>
    </w:p>
    <w:p>
      <w:pPr>
        <w:pStyle w:val="8"/>
        <w:keepNext w:val="0"/>
        <w:keepLines w:val="0"/>
        <w:pageBreakBefore w:val="0"/>
        <w:widowControl w:val="0"/>
        <w:kinsoku/>
        <w:wordWrap/>
        <w:overflowPunct/>
        <w:topLinePunct w:val="0"/>
        <w:autoSpaceDE/>
        <w:autoSpaceDN/>
        <w:bidi w:val="0"/>
        <w:adjustRightInd/>
        <w:snapToGrid/>
        <w:spacing w:before="0" w:after="0" w:line="560" w:lineRule="exact"/>
        <w:ind w:right="0" w:rightChars="0"/>
        <w:jc w:val="both"/>
        <w:textAlignment w:val="auto"/>
        <w:outlineLvl w:val="9"/>
        <w:rPr>
          <w:rFonts w:hint="eastAsia" w:ascii="黑体" w:hAnsi="黑体" w:eastAsia="黑体" w:cs="黑体"/>
          <w:b w:val="0"/>
          <w:i w:val="0"/>
          <w:outline w:val="0"/>
          <w:shadow w:val="0"/>
          <w:emboss w:val="0"/>
          <w:imprint w:val="0"/>
          <w:snapToGrid/>
          <w:vanish w:val="0"/>
          <w:color w:val="000000"/>
          <w:spacing w:val="0"/>
          <w:w w:val="100"/>
          <w:kern w:val="2"/>
          <w:position w:val="0"/>
          <w:sz w:val="32"/>
          <w:szCs w:val="32"/>
          <w:highlight w:val="none"/>
          <w:u w:val="none"/>
          <w:lang w:val="en-US" w:eastAsia="zh-CN"/>
        </w:rPr>
      </w:pPr>
      <w:r>
        <w:rPr>
          <w:rFonts w:hint="eastAsia" w:ascii="黑体" w:hAnsi="黑体" w:eastAsia="黑体" w:cs="黑体"/>
          <w:b w:val="0"/>
          <w:i w:val="0"/>
          <w:outline w:val="0"/>
          <w:shadow w:val="0"/>
          <w:emboss w:val="0"/>
          <w:imprint w:val="0"/>
          <w:snapToGrid/>
          <w:vanish w:val="0"/>
          <w:color w:val="000000"/>
          <w:spacing w:val="0"/>
          <w:w w:val="100"/>
          <w:kern w:val="2"/>
          <w:position w:val="0"/>
          <w:sz w:val="32"/>
          <w:szCs w:val="32"/>
          <w:highlight w:val="none"/>
          <w:u w:val="none"/>
          <w:lang w:val="en-US" w:eastAsia="zh-CN"/>
        </w:rPr>
        <w:t>附件</w:t>
      </w:r>
    </w:p>
    <w:p>
      <w:pPr>
        <w:pStyle w:val="8"/>
        <w:keepNext w:val="0"/>
        <w:keepLines w:val="0"/>
        <w:pageBreakBefore w:val="0"/>
        <w:widowControl w:val="0"/>
        <w:kinsoku/>
        <w:wordWrap/>
        <w:overflowPunct/>
        <w:topLinePunct w:val="0"/>
        <w:autoSpaceDE/>
        <w:autoSpaceDN/>
        <w:bidi w:val="0"/>
        <w:adjustRightInd/>
        <w:snapToGrid/>
        <w:spacing w:before="0" w:after="0" w:line="600" w:lineRule="exact"/>
        <w:ind w:left="0" w:leftChars="0" w:right="0" w:rightChars="0" w:firstLine="0" w:firstLineChars="0"/>
        <w:jc w:val="center"/>
        <w:textAlignment w:val="auto"/>
        <w:outlineLvl w:val="9"/>
        <w:rPr>
          <w:rFonts w:hint="eastAsia" w:ascii="方正小标宋简体" w:hAnsi="方正小标宋简体" w:eastAsia="方正小标宋简体" w:cs="仿宋"/>
          <w:b w:val="0"/>
          <w:i w:val="0"/>
          <w:outline w:val="0"/>
          <w:shadow w:val="0"/>
          <w:emboss w:val="0"/>
          <w:imprint w:val="0"/>
          <w:snapToGrid/>
          <w:vanish w:val="0"/>
          <w:color w:val="000000"/>
          <w:spacing w:val="0"/>
          <w:w w:val="100"/>
          <w:kern w:val="2"/>
          <w:position w:val="0"/>
          <w:sz w:val="44"/>
          <w:szCs w:val="32"/>
          <w:highlight w:val="none"/>
          <w:u w:val="none"/>
          <w:lang w:val="en-US" w:eastAsia="zh-CN"/>
        </w:rPr>
      </w:pPr>
      <w:r>
        <w:rPr>
          <w:rFonts w:hint="eastAsia" w:ascii="方正小标宋简体" w:hAnsi="方正小标宋简体" w:eastAsia="方正小标宋简体" w:cs="方正小标宋简体"/>
          <w:b w:val="0"/>
          <w:i w:val="0"/>
          <w:outline w:val="0"/>
          <w:shadow w:val="0"/>
          <w:emboss w:val="0"/>
          <w:imprint w:val="0"/>
          <w:snapToGrid/>
          <w:vanish w:val="0"/>
          <w:color w:val="000000"/>
          <w:spacing w:val="0"/>
          <w:w w:val="100"/>
          <w:kern w:val="2"/>
          <w:position w:val="0"/>
          <w:sz w:val="44"/>
          <w:szCs w:val="32"/>
          <w:highlight w:val="none"/>
          <w:u w:val="none"/>
          <w:lang w:val="en-US" w:eastAsia="zh-CN"/>
        </w:rPr>
        <w:t>建（构）筑物及附属物补偿标准</w:t>
      </w:r>
    </w:p>
    <w:p>
      <w:pPr>
        <w:pStyle w:val="8"/>
        <w:keepNext w:val="0"/>
        <w:keepLines w:val="0"/>
        <w:pageBreakBefore w:val="0"/>
        <w:widowControl w:val="0"/>
        <w:kinsoku/>
        <w:wordWrap/>
        <w:overflowPunct/>
        <w:topLinePunct w:val="0"/>
        <w:autoSpaceDE/>
        <w:autoSpaceDN/>
        <w:bidi w:val="0"/>
        <w:adjustRightInd/>
        <w:snapToGrid/>
        <w:spacing w:before="54"/>
        <w:ind w:left="0" w:leftChars="0" w:firstLine="0" w:firstLineChars="0"/>
        <w:jc w:val="center"/>
        <w:textAlignment w:val="auto"/>
        <w:outlineLvl w:val="9"/>
        <w:rPr>
          <w:rFonts w:hint="eastAsia" w:eastAsia="仿宋_GB2312"/>
          <w:color w:val="auto"/>
          <w:highlight w:val="none"/>
          <w:lang w:eastAsia="zh-CN"/>
        </w:rPr>
      </w:pPr>
      <w:r>
        <w:rPr>
          <w:rFonts w:hint="eastAsia" w:ascii="方正小标宋简体" w:hAnsi="方正小标宋简体" w:eastAsia="方正小标宋简体"/>
          <w:b w:val="0"/>
          <w:i w:val="0"/>
          <w:outline w:val="0"/>
          <w:shadow w:val="0"/>
          <w:emboss w:val="0"/>
          <w:imprint w:val="0"/>
          <w:snapToGrid/>
          <w:vanish w:val="0"/>
          <w:color w:val="000000"/>
          <w:spacing w:val="0"/>
          <w:w w:val="100"/>
          <w:kern w:val="2"/>
          <w:position w:val="0"/>
          <w:sz w:val="44"/>
          <w:highlight w:val="none"/>
          <w:u w:val="none"/>
          <w:lang w:eastAsia="zh-CN"/>
        </w:rPr>
        <w:drawing>
          <wp:inline distT="0" distB="0" distL="114300" distR="114300">
            <wp:extent cx="7927340" cy="4714240"/>
            <wp:effectExtent l="0" t="0" r="16510" b="10160"/>
            <wp:docPr id="3" name="图片 17" descr="035a6d59-763f-46c8-a5b1-5cf25a8f7d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descr="035a6d59-763f-46c8-a5b1-5cf25a8f7d28"/>
                    <pic:cNvPicPr>
                      <a:picLocks noChangeAspect="1"/>
                    </pic:cNvPicPr>
                  </pic:nvPicPr>
                  <pic:blipFill>
                    <a:blip r:embed="rId7"/>
                    <a:stretch>
                      <a:fillRect/>
                    </a:stretch>
                  </pic:blipFill>
                  <pic:spPr>
                    <a:xfrm>
                      <a:off x="0" y="0"/>
                      <a:ext cx="7927340" cy="4714240"/>
                    </a:xfrm>
                    <a:prstGeom prst="rect">
                      <a:avLst/>
                    </a:prstGeom>
                    <a:noFill/>
                    <a:ln>
                      <a:noFill/>
                    </a:ln>
                  </pic:spPr>
                </pic:pic>
              </a:graphicData>
            </a:graphic>
          </wp:inline>
        </w:drawing>
      </w:r>
    </w:p>
    <w:p>
      <w:pPr>
        <w:pStyle w:val="8"/>
        <w:spacing w:before="54"/>
        <w:ind w:firstLine="480" w:firstLineChars="200"/>
        <w:rPr>
          <w:color w:val="auto"/>
          <w:highlight w:val="none"/>
        </w:rPr>
      </w:pPr>
      <w:r>
        <w:rPr>
          <w:color w:val="auto"/>
          <w:highlight w:val="none"/>
        </w:rPr>
        <w:drawing>
          <wp:inline distT="0" distB="0" distL="114300" distR="114300">
            <wp:extent cx="7722235" cy="5265420"/>
            <wp:effectExtent l="0" t="0" r="12065" b="11430"/>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pic:cNvPicPr>
                      <a:picLocks noChangeAspect="1"/>
                    </pic:cNvPicPr>
                  </pic:nvPicPr>
                  <pic:blipFill>
                    <a:blip r:embed="rId8"/>
                    <a:stretch>
                      <a:fillRect/>
                    </a:stretch>
                  </pic:blipFill>
                  <pic:spPr>
                    <a:xfrm>
                      <a:off x="0" y="0"/>
                      <a:ext cx="7722235" cy="5265420"/>
                    </a:xfrm>
                    <a:prstGeom prst="rect">
                      <a:avLst/>
                    </a:prstGeom>
                    <a:noFill/>
                    <a:ln>
                      <a:noFill/>
                    </a:ln>
                  </pic:spPr>
                </pic:pic>
              </a:graphicData>
            </a:graphic>
          </wp:inline>
        </w:drawing>
      </w:r>
    </w:p>
    <w:p>
      <w:pPr>
        <w:pStyle w:val="8"/>
        <w:spacing w:before="54"/>
        <w:ind w:firstLine="480" w:firstLineChars="200"/>
        <w:rPr>
          <w:color w:val="auto"/>
          <w:highlight w:val="none"/>
        </w:rPr>
      </w:pPr>
      <w:r>
        <w:rPr>
          <w:color w:val="auto"/>
          <w:highlight w:val="none"/>
        </w:rPr>
        <w:drawing>
          <wp:inline distT="0" distB="0" distL="114300" distR="114300">
            <wp:extent cx="7794625" cy="5389245"/>
            <wp:effectExtent l="0" t="0" r="15875" b="190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9"/>
                    <a:stretch>
                      <a:fillRect/>
                    </a:stretch>
                  </pic:blipFill>
                  <pic:spPr>
                    <a:xfrm>
                      <a:off x="0" y="0"/>
                      <a:ext cx="7794625" cy="5389245"/>
                    </a:xfrm>
                    <a:prstGeom prst="rect">
                      <a:avLst/>
                    </a:prstGeom>
                    <a:noFill/>
                    <a:ln>
                      <a:noFill/>
                    </a:ln>
                  </pic:spPr>
                </pic:pic>
              </a:graphicData>
            </a:graphic>
          </wp:inline>
        </w:drawing>
      </w:r>
    </w:p>
    <w:p>
      <w:pPr>
        <w:pStyle w:val="8"/>
        <w:spacing w:before="54"/>
        <w:ind w:firstLine="480" w:firstLineChars="200"/>
        <w:rPr>
          <w:color w:val="auto"/>
          <w:highlight w:val="none"/>
        </w:rPr>
      </w:pPr>
      <w:r>
        <w:rPr>
          <w:color w:val="auto"/>
          <w:highlight w:val="none"/>
        </w:rPr>
        <w:drawing>
          <wp:inline distT="0" distB="0" distL="114300" distR="114300">
            <wp:extent cx="7851775" cy="5360670"/>
            <wp:effectExtent l="0" t="0" r="15875" b="1143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0"/>
                    <a:stretch>
                      <a:fillRect/>
                    </a:stretch>
                  </pic:blipFill>
                  <pic:spPr>
                    <a:xfrm>
                      <a:off x="0" y="0"/>
                      <a:ext cx="7851775" cy="5360670"/>
                    </a:xfrm>
                    <a:prstGeom prst="rect">
                      <a:avLst/>
                    </a:prstGeom>
                    <a:noFill/>
                    <a:ln>
                      <a:noFill/>
                    </a:ln>
                  </pic:spPr>
                </pic:pic>
              </a:graphicData>
            </a:graphic>
          </wp:inline>
        </w:drawing>
      </w:r>
    </w:p>
    <w:p>
      <w:pPr>
        <w:pStyle w:val="8"/>
        <w:spacing w:before="54"/>
        <w:ind w:firstLine="480" w:firstLineChars="200"/>
        <w:rPr>
          <w:color w:val="auto"/>
          <w:highlight w:val="none"/>
        </w:rPr>
      </w:pPr>
      <w:r>
        <w:rPr>
          <w:color w:val="auto"/>
          <w:highlight w:val="none"/>
        </w:rPr>
        <w:drawing>
          <wp:inline distT="0" distB="0" distL="114300" distR="114300">
            <wp:extent cx="7786370" cy="5360670"/>
            <wp:effectExtent l="0" t="0" r="5080" b="1143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1"/>
                    <a:stretch>
                      <a:fillRect/>
                    </a:stretch>
                  </pic:blipFill>
                  <pic:spPr>
                    <a:xfrm>
                      <a:off x="0" y="0"/>
                      <a:ext cx="7786370" cy="5360670"/>
                    </a:xfrm>
                    <a:prstGeom prst="rect">
                      <a:avLst/>
                    </a:prstGeom>
                    <a:noFill/>
                    <a:ln>
                      <a:noFill/>
                    </a:ln>
                  </pic:spPr>
                </pic:pic>
              </a:graphicData>
            </a:graphic>
          </wp:inline>
        </w:drawing>
      </w:r>
    </w:p>
    <w:p>
      <w:pPr>
        <w:pStyle w:val="8"/>
        <w:spacing w:before="54"/>
        <w:ind w:firstLine="480" w:firstLineChars="200"/>
        <w:jc w:val="center"/>
        <w:rPr>
          <w:color w:val="auto"/>
          <w:highlight w:val="none"/>
        </w:rPr>
      </w:pPr>
      <w:r>
        <w:drawing>
          <wp:inline distT="0" distB="0" distL="114300" distR="114300">
            <wp:extent cx="7825740" cy="5215255"/>
            <wp:effectExtent l="0" t="0" r="3810" b="444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2"/>
                    <a:stretch>
                      <a:fillRect/>
                    </a:stretch>
                  </pic:blipFill>
                  <pic:spPr>
                    <a:xfrm>
                      <a:off x="0" y="0"/>
                      <a:ext cx="7825740" cy="5215255"/>
                    </a:xfrm>
                    <a:prstGeom prst="rect">
                      <a:avLst/>
                    </a:prstGeom>
                    <a:noFill/>
                    <a:ln>
                      <a:noFill/>
                    </a:ln>
                  </pic:spPr>
                </pic:pic>
              </a:graphicData>
            </a:graphic>
          </wp:inline>
        </w:drawing>
      </w:r>
    </w:p>
    <w:p>
      <w:pPr>
        <w:pStyle w:val="8"/>
        <w:spacing w:before="54"/>
        <w:ind w:firstLine="480" w:firstLineChars="200"/>
        <w:rPr>
          <w:color w:val="auto"/>
          <w:highlight w:val="none"/>
        </w:rPr>
      </w:pPr>
      <w:r>
        <w:rPr>
          <w:color w:val="auto"/>
          <w:highlight w:val="none"/>
        </w:rPr>
        <w:drawing>
          <wp:inline distT="0" distB="0" distL="114300" distR="114300">
            <wp:extent cx="7712075" cy="5323840"/>
            <wp:effectExtent l="0" t="0" r="3175" b="1016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3"/>
                    <a:stretch>
                      <a:fillRect/>
                    </a:stretch>
                  </pic:blipFill>
                  <pic:spPr>
                    <a:xfrm>
                      <a:off x="0" y="0"/>
                      <a:ext cx="7712075" cy="5323840"/>
                    </a:xfrm>
                    <a:prstGeom prst="rect">
                      <a:avLst/>
                    </a:prstGeom>
                    <a:noFill/>
                    <a:ln>
                      <a:noFill/>
                    </a:ln>
                  </pic:spPr>
                </pic:pic>
              </a:graphicData>
            </a:graphic>
          </wp:inline>
        </w:drawing>
      </w:r>
    </w:p>
    <w:p>
      <w:pPr>
        <w:pStyle w:val="8"/>
        <w:spacing w:before="54"/>
        <w:ind w:firstLine="480" w:firstLineChars="200"/>
        <w:rPr>
          <w:color w:val="auto"/>
          <w:highlight w:val="none"/>
        </w:rPr>
      </w:pPr>
      <w:r>
        <w:rPr>
          <w:color w:val="auto"/>
          <w:highlight w:val="none"/>
        </w:rPr>
        <w:drawing>
          <wp:inline distT="0" distB="0" distL="114300" distR="114300">
            <wp:extent cx="7604125" cy="5326380"/>
            <wp:effectExtent l="0" t="0" r="15875" b="762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4"/>
                    <a:stretch>
                      <a:fillRect/>
                    </a:stretch>
                  </pic:blipFill>
                  <pic:spPr>
                    <a:xfrm>
                      <a:off x="0" y="0"/>
                      <a:ext cx="7604125" cy="5326380"/>
                    </a:xfrm>
                    <a:prstGeom prst="rect">
                      <a:avLst/>
                    </a:prstGeom>
                    <a:noFill/>
                    <a:ln>
                      <a:noFill/>
                    </a:ln>
                  </pic:spPr>
                </pic:pic>
              </a:graphicData>
            </a:graphic>
          </wp:inline>
        </w:drawing>
      </w:r>
    </w:p>
    <w:p>
      <w:pPr>
        <w:pStyle w:val="8"/>
        <w:spacing w:before="54"/>
        <w:ind w:firstLine="480" w:firstLineChars="200"/>
        <w:rPr>
          <w:color w:val="auto"/>
          <w:highlight w:val="none"/>
        </w:rPr>
      </w:pPr>
      <w:r>
        <w:drawing>
          <wp:inline distT="0" distB="0" distL="114300" distR="114300">
            <wp:extent cx="7734300" cy="5187950"/>
            <wp:effectExtent l="0" t="0" r="0" b="1270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5"/>
                    <a:stretch>
                      <a:fillRect/>
                    </a:stretch>
                  </pic:blipFill>
                  <pic:spPr>
                    <a:xfrm>
                      <a:off x="0" y="0"/>
                      <a:ext cx="7734300" cy="5187950"/>
                    </a:xfrm>
                    <a:prstGeom prst="rect">
                      <a:avLst/>
                    </a:prstGeom>
                    <a:noFill/>
                    <a:ln>
                      <a:noFill/>
                    </a:ln>
                  </pic:spPr>
                </pic:pic>
              </a:graphicData>
            </a:graphic>
          </wp:inline>
        </w:drawing>
      </w:r>
    </w:p>
    <w:p>
      <w:pPr>
        <w:pStyle w:val="8"/>
        <w:spacing w:before="54"/>
        <w:ind w:firstLine="480" w:firstLineChars="200"/>
        <w:rPr>
          <w:color w:val="auto"/>
          <w:highlight w:val="none"/>
        </w:rPr>
      </w:pPr>
      <w:r>
        <w:rPr>
          <w:color w:val="auto"/>
          <w:highlight w:val="none"/>
        </w:rPr>
        <w:drawing>
          <wp:inline distT="0" distB="0" distL="114300" distR="114300">
            <wp:extent cx="7493635" cy="5191760"/>
            <wp:effectExtent l="0" t="0" r="12065" b="889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16"/>
                    <a:stretch>
                      <a:fillRect/>
                    </a:stretch>
                  </pic:blipFill>
                  <pic:spPr>
                    <a:xfrm>
                      <a:off x="0" y="0"/>
                      <a:ext cx="7493635" cy="5191760"/>
                    </a:xfrm>
                    <a:prstGeom prst="rect">
                      <a:avLst/>
                    </a:prstGeom>
                    <a:noFill/>
                    <a:ln>
                      <a:noFill/>
                    </a:ln>
                  </pic:spPr>
                </pic:pic>
              </a:graphicData>
            </a:graphic>
          </wp:inline>
        </w:drawing>
      </w:r>
    </w:p>
    <w:p>
      <w:pPr>
        <w:pStyle w:val="8"/>
        <w:spacing w:before="54"/>
        <w:ind w:firstLine="480" w:firstLineChars="200"/>
        <w:rPr>
          <w:rFonts w:hint="eastAsia" w:eastAsia="仿宋_GB2312"/>
          <w:color w:val="auto"/>
          <w:highlight w:val="none"/>
          <w:lang w:eastAsia="zh-CN"/>
        </w:rPr>
      </w:pPr>
      <w:r>
        <w:drawing>
          <wp:inline distT="0" distB="0" distL="114300" distR="114300">
            <wp:extent cx="7670800" cy="5259070"/>
            <wp:effectExtent l="0" t="0" r="6350" b="1778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a:blip r:embed="rId17"/>
                    <a:stretch>
                      <a:fillRect/>
                    </a:stretch>
                  </pic:blipFill>
                  <pic:spPr>
                    <a:xfrm>
                      <a:off x="0" y="0"/>
                      <a:ext cx="7670800" cy="5259070"/>
                    </a:xfrm>
                    <a:prstGeom prst="rect">
                      <a:avLst/>
                    </a:prstGeom>
                    <a:noFill/>
                    <a:ln>
                      <a:noFill/>
                    </a:ln>
                  </pic:spPr>
                </pic:pic>
              </a:graphicData>
            </a:graphic>
          </wp:inline>
        </w:drawing>
      </w:r>
    </w:p>
    <w:sectPr>
      <w:headerReference r:id="rId5" w:type="default"/>
      <w:pgSz w:w="16838" w:h="11905" w:orient="landscape"/>
      <w:pgMar w:top="1474" w:right="1984" w:bottom="1587" w:left="2098" w:header="851" w:footer="1134" w:gutter="0"/>
      <w:paperSrc/>
      <w:pgNumType w:fmt="decimal"/>
      <w:cols w:space="720" w:num="1"/>
      <w:rtlGutter w:val="0"/>
      <w:docGrid w:type="lines" w:linePitch="58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
    <w:altName w:val="方正楷体_GBK"/>
    <w:panose1 w:val="02010609060101010101"/>
    <w:charset w:val="00"/>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粗黑宋简体">
    <w:altName w:val="方正书宋_GBK"/>
    <w:panose1 w:val="02000000000000000000"/>
    <w:charset w:val="00"/>
    <w:family w:val="auto"/>
    <w:pitch w:val="default"/>
    <w:sig w:usb0="00000000" w:usb1="00000000" w:usb2="00000012" w:usb3="00000000" w:csb0="00040001"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pBdr>
        <w:top w:val="none" w:color="auto" w:sz="0" w:space="0"/>
        <w:left w:val="none" w:color="auto" w:sz="0" w:space="0"/>
        <w:bottom w:val="none" w:color="auto" w:sz="0" w:space="0"/>
        <w:right w:val="none" w:color="auto" w:sz="0" w:space="0"/>
        <w:between w:val="none" w:color="auto" w:sz="8" w:space="0"/>
      </w:pBdr>
      <w:spacing w:line="240" w:lineRule="auto"/>
      <w:ind w:left="320" w:leftChars="100" w:right="320" w:rightChars="100"/>
      <w:jc w:val="both"/>
      <w:rPr>
        <w:rFonts w:hint="eastAsia" w:ascii="宋体" w:hAnsi="宋体" w:eastAsia="宋体" w:cs="宋体"/>
        <w:sz w:val="28"/>
        <w:lang w:eastAsia="zh-CN"/>
      </w:rPr>
    </w:pPr>
    <w:r>
      <w:rPr>
        <w:rStyle w:val="13"/>
        <w:rFonts w:hint="eastAsia" w:eastAsia="宋体" w:cs="宋体"/>
        <w:sz w:val="28"/>
        <w:lang w:eastAsia="zh-CN"/>
      </w:rPr>
      <w:t xml:space="preserve">— </w:t>
    </w:r>
    <w:r>
      <w:rPr>
        <w:rStyle w:val="13"/>
        <w:rFonts w:hint="eastAsia" w:eastAsia="宋体" w:cs="宋体"/>
        <w:sz w:val="28"/>
        <w:lang w:eastAsia="zh-CN"/>
      </w:rPr>
      <w:fldChar w:fldCharType="begin"/>
    </w:r>
    <w:r>
      <w:rPr>
        <w:rStyle w:val="13"/>
        <w:rFonts w:hint="eastAsia" w:eastAsia="宋体" w:cs="宋体"/>
        <w:sz w:val="28"/>
        <w:lang w:eastAsia="zh-CN"/>
      </w:rPr>
      <w:instrText xml:space="preserve"> PAGE  \* MERGEFORMAT </w:instrText>
    </w:r>
    <w:r>
      <w:rPr>
        <w:rStyle w:val="13"/>
        <w:rFonts w:hint="eastAsia" w:eastAsia="宋体" w:cs="宋体"/>
        <w:sz w:val="28"/>
        <w:lang w:eastAsia="zh-CN"/>
      </w:rPr>
      <w:fldChar w:fldCharType="separate"/>
    </w:r>
    <w:r>
      <w:rPr>
        <w:rStyle w:val="13"/>
        <w:rFonts w:hint="eastAsia" w:eastAsia="宋体" w:cs="宋体"/>
        <w:sz w:val="28"/>
        <w:lang w:eastAsia="zh-CN"/>
      </w:rPr>
      <w:t>2</w:t>
    </w:r>
    <w:r>
      <w:rPr>
        <w:rStyle w:val="13"/>
        <w:rFonts w:hint="eastAsia" w:eastAsia="宋体" w:cs="宋体"/>
        <w:sz w:val="28"/>
        <w:lang w:eastAsia="zh-CN"/>
      </w:rPr>
      <w:fldChar w:fldCharType="end"/>
    </w:r>
    <w:r>
      <w:rPr>
        <w:rStyle w:val="13"/>
        <w:rFonts w:hint="eastAsia" w:eastAsia="宋体" w:cs="宋体"/>
        <w:sz w:val="28"/>
        <w:lang w:eastAsia="zh-CN"/>
      </w:rPr>
      <w:t xml:space="preserve"> —</w:t>
    </w:r>
  </w:p>
  <w:p>
    <w:pPr>
      <w:pStyle w:val="6"/>
      <w:jc w:val="center"/>
      <w:rPr>
        <w:rFonts w:hint="eastAsia" w:ascii="宋体" w:hAnsi="宋体" w:eastAsia="宋体" w:cs="宋体"/>
        <w:sz w:val="28"/>
        <w:lang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58"/>
  <w:drawingGridVerticalSpacing w:val="295"/>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QwNmNiNTdkZTUzMzczZGIyZTdhZWRiY2FkZDQ5YmUifQ=="/>
  </w:docVars>
  <w:rsids>
    <w:rsidRoot w:val="00DB4E9A"/>
    <w:rsid w:val="000443BC"/>
    <w:rsid w:val="00052412"/>
    <w:rsid w:val="000A717A"/>
    <w:rsid w:val="000C2CBE"/>
    <w:rsid w:val="00155C5D"/>
    <w:rsid w:val="00161FCA"/>
    <w:rsid w:val="001740DA"/>
    <w:rsid w:val="001F4D86"/>
    <w:rsid w:val="002343DC"/>
    <w:rsid w:val="002B0641"/>
    <w:rsid w:val="0032423D"/>
    <w:rsid w:val="003837F0"/>
    <w:rsid w:val="00487453"/>
    <w:rsid w:val="004C6B84"/>
    <w:rsid w:val="005026F6"/>
    <w:rsid w:val="00512C8E"/>
    <w:rsid w:val="00576255"/>
    <w:rsid w:val="0063485B"/>
    <w:rsid w:val="00770EF0"/>
    <w:rsid w:val="0079230E"/>
    <w:rsid w:val="008202CA"/>
    <w:rsid w:val="00832005"/>
    <w:rsid w:val="0084339C"/>
    <w:rsid w:val="00A5216F"/>
    <w:rsid w:val="00A77785"/>
    <w:rsid w:val="00A90238"/>
    <w:rsid w:val="00B37603"/>
    <w:rsid w:val="00B76518"/>
    <w:rsid w:val="00C238B4"/>
    <w:rsid w:val="00C31018"/>
    <w:rsid w:val="00C46679"/>
    <w:rsid w:val="00D101F1"/>
    <w:rsid w:val="00D74F62"/>
    <w:rsid w:val="00DB4E9A"/>
    <w:rsid w:val="00E46131"/>
    <w:rsid w:val="00ED20D5"/>
    <w:rsid w:val="00EE45A3"/>
    <w:rsid w:val="00F00F3F"/>
    <w:rsid w:val="00F31B3F"/>
    <w:rsid w:val="00F82ECB"/>
    <w:rsid w:val="00F83B33"/>
    <w:rsid w:val="02327B72"/>
    <w:rsid w:val="02881E0B"/>
    <w:rsid w:val="02AB6C20"/>
    <w:rsid w:val="02B4378D"/>
    <w:rsid w:val="02BC2891"/>
    <w:rsid w:val="02E06B69"/>
    <w:rsid w:val="03997FAF"/>
    <w:rsid w:val="043C7604"/>
    <w:rsid w:val="047E6EFE"/>
    <w:rsid w:val="04C86011"/>
    <w:rsid w:val="05AA653C"/>
    <w:rsid w:val="05AB7C97"/>
    <w:rsid w:val="05C25634"/>
    <w:rsid w:val="06346466"/>
    <w:rsid w:val="065564A8"/>
    <w:rsid w:val="06BA27AF"/>
    <w:rsid w:val="07325692"/>
    <w:rsid w:val="078828AD"/>
    <w:rsid w:val="07CD6512"/>
    <w:rsid w:val="083277B1"/>
    <w:rsid w:val="08BF22FE"/>
    <w:rsid w:val="08C07E24"/>
    <w:rsid w:val="091A588A"/>
    <w:rsid w:val="0A25509D"/>
    <w:rsid w:val="0A3D1F81"/>
    <w:rsid w:val="0B526C20"/>
    <w:rsid w:val="0B7642C3"/>
    <w:rsid w:val="0BCE583D"/>
    <w:rsid w:val="0C3A6246"/>
    <w:rsid w:val="0CB074D4"/>
    <w:rsid w:val="0CEB7F03"/>
    <w:rsid w:val="0D080870"/>
    <w:rsid w:val="0DF105FF"/>
    <w:rsid w:val="0E6256BC"/>
    <w:rsid w:val="0E6354DA"/>
    <w:rsid w:val="0EB9654E"/>
    <w:rsid w:val="0F892462"/>
    <w:rsid w:val="103C7674"/>
    <w:rsid w:val="11B36D3D"/>
    <w:rsid w:val="12152354"/>
    <w:rsid w:val="122A07E9"/>
    <w:rsid w:val="12610AFB"/>
    <w:rsid w:val="12731B6B"/>
    <w:rsid w:val="12A83E03"/>
    <w:rsid w:val="13613AEF"/>
    <w:rsid w:val="13C058C2"/>
    <w:rsid w:val="14074B03"/>
    <w:rsid w:val="14C111C1"/>
    <w:rsid w:val="14F653C2"/>
    <w:rsid w:val="15642921"/>
    <w:rsid w:val="156516FA"/>
    <w:rsid w:val="15830AD3"/>
    <w:rsid w:val="15FF0DAC"/>
    <w:rsid w:val="162C4DE5"/>
    <w:rsid w:val="16756B92"/>
    <w:rsid w:val="16F220B5"/>
    <w:rsid w:val="17BA010B"/>
    <w:rsid w:val="18F01BB6"/>
    <w:rsid w:val="19BC1F42"/>
    <w:rsid w:val="1A8C7B66"/>
    <w:rsid w:val="1E302A17"/>
    <w:rsid w:val="1E867EB7"/>
    <w:rsid w:val="1E9F6468"/>
    <w:rsid w:val="1EB451EE"/>
    <w:rsid w:val="1EB632D7"/>
    <w:rsid w:val="1FC139FB"/>
    <w:rsid w:val="20333CDF"/>
    <w:rsid w:val="208135C5"/>
    <w:rsid w:val="20980351"/>
    <w:rsid w:val="209C38B0"/>
    <w:rsid w:val="20D92F86"/>
    <w:rsid w:val="20E525C5"/>
    <w:rsid w:val="21D71593"/>
    <w:rsid w:val="224D11D2"/>
    <w:rsid w:val="22A448F0"/>
    <w:rsid w:val="22D622C7"/>
    <w:rsid w:val="236B0C61"/>
    <w:rsid w:val="23A56B0E"/>
    <w:rsid w:val="243E1144"/>
    <w:rsid w:val="24AC28C3"/>
    <w:rsid w:val="24EB6E5A"/>
    <w:rsid w:val="253B79F5"/>
    <w:rsid w:val="25461985"/>
    <w:rsid w:val="254A4838"/>
    <w:rsid w:val="257A0AC8"/>
    <w:rsid w:val="25E1650A"/>
    <w:rsid w:val="262C28E4"/>
    <w:rsid w:val="267365E4"/>
    <w:rsid w:val="2676612A"/>
    <w:rsid w:val="275C1E57"/>
    <w:rsid w:val="27C8680D"/>
    <w:rsid w:val="287F0D0A"/>
    <w:rsid w:val="291B7489"/>
    <w:rsid w:val="2941100F"/>
    <w:rsid w:val="29986C4B"/>
    <w:rsid w:val="29A713DA"/>
    <w:rsid w:val="2A3F50E2"/>
    <w:rsid w:val="2A827C9A"/>
    <w:rsid w:val="2A9867EE"/>
    <w:rsid w:val="2AAA7399"/>
    <w:rsid w:val="2AAF4827"/>
    <w:rsid w:val="2B0F5533"/>
    <w:rsid w:val="2B537EC4"/>
    <w:rsid w:val="2B806E81"/>
    <w:rsid w:val="2C212495"/>
    <w:rsid w:val="2CEF21C5"/>
    <w:rsid w:val="2E254EA8"/>
    <w:rsid w:val="2E422DCD"/>
    <w:rsid w:val="2E8D2093"/>
    <w:rsid w:val="2F83108A"/>
    <w:rsid w:val="30042F6A"/>
    <w:rsid w:val="3175381E"/>
    <w:rsid w:val="31BD2CDF"/>
    <w:rsid w:val="31C0486E"/>
    <w:rsid w:val="31F210CE"/>
    <w:rsid w:val="32280C48"/>
    <w:rsid w:val="327E3326"/>
    <w:rsid w:val="32981347"/>
    <w:rsid w:val="33D64C17"/>
    <w:rsid w:val="33E7431C"/>
    <w:rsid w:val="34030A42"/>
    <w:rsid w:val="36C02925"/>
    <w:rsid w:val="37013F43"/>
    <w:rsid w:val="370A3CFF"/>
    <w:rsid w:val="378D51F2"/>
    <w:rsid w:val="385D24AA"/>
    <w:rsid w:val="391050BB"/>
    <w:rsid w:val="39E81F33"/>
    <w:rsid w:val="3A1830D7"/>
    <w:rsid w:val="3A5C0EAC"/>
    <w:rsid w:val="3B1802ED"/>
    <w:rsid w:val="3B2B17E9"/>
    <w:rsid w:val="3B851E35"/>
    <w:rsid w:val="3C063C69"/>
    <w:rsid w:val="3C144C4F"/>
    <w:rsid w:val="3C250333"/>
    <w:rsid w:val="3C29386E"/>
    <w:rsid w:val="3C374794"/>
    <w:rsid w:val="3C7D2362"/>
    <w:rsid w:val="3D18604E"/>
    <w:rsid w:val="3E13552C"/>
    <w:rsid w:val="3FAF1A7E"/>
    <w:rsid w:val="402959A7"/>
    <w:rsid w:val="40363236"/>
    <w:rsid w:val="40720467"/>
    <w:rsid w:val="408C5793"/>
    <w:rsid w:val="41007C95"/>
    <w:rsid w:val="4191187E"/>
    <w:rsid w:val="419751F1"/>
    <w:rsid w:val="41BE41FA"/>
    <w:rsid w:val="41F9465A"/>
    <w:rsid w:val="42757194"/>
    <w:rsid w:val="42AE7CB2"/>
    <w:rsid w:val="42C2125A"/>
    <w:rsid w:val="42D84CBA"/>
    <w:rsid w:val="438529F5"/>
    <w:rsid w:val="447C21D5"/>
    <w:rsid w:val="4521112D"/>
    <w:rsid w:val="45287A02"/>
    <w:rsid w:val="45505343"/>
    <w:rsid w:val="47095999"/>
    <w:rsid w:val="471A51E1"/>
    <w:rsid w:val="475A0C1C"/>
    <w:rsid w:val="4790180D"/>
    <w:rsid w:val="47F4483A"/>
    <w:rsid w:val="48412AD0"/>
    <w:rsid w:val="484539AA"/>
    <w:rsid w:val="48624CD1"/>
    <w:rsid w:val="48A734D0"/>
    <w:rsid w:val="48A73A96"/>
    <w:rsid w:val="4971160B"/>
    <w:rsid w:val="49A371A1"/>
    <w:rsid w:val="4A001413"/>
    <w:rsid w:val="4A98555D"/>
    <w:rsid w:val="4AC64C1E"/>
    <w:rsid w:val="4B896E66"/>
    <w:rsid w:val="4BC52D55"/>
    <w:rsid w:val="4BC97177"/>
    <w:rsid w:val="4CDE0108"/>
    <w:rsid w:val="4D040DAE"/>
    <w:rsid w:val="4D136CA8"/>
    <w:rsid w:val="4D536074"/>
    <w:rsid w:val="4DE67360"/>
    <w:rsid w:val="4E463654"/>
    <w:rsid w:val="4EDA177C"/>
    <w:rsid w:val="4EEE2B6E"/>
    <w:rsid w:val="4F101765"/>
    <w:rsid w:val="4F45079D"/>
    <w:rsid w:val="4FBB15E3"/>
    <w:rsid w:val="4FBD6572"/>
    <w:rsid w:val="515C5F19"/>
    <w:rsid w:val="51656284"/>
    <w:rsid w:val="51F00DA5"/>
    <w:rsid w:val="521F2A93"/>
    <w:rsid w:val="52F9777F"/>
    <w:rsid w:val="533E31D8"/>
    <w:rsid w:val="53B540C1"/>
    <w:rsid w:val="548C237A"/>
    <w:rsid w:val="54A867F5"/>
    <w:rsid w:val="552C0FDF"/>
    <w:rsid w:val="554C30F3"/>
    <w:rsid w:val="56700D0A"/>
    <w:rsid w:val="569A4DDE"/>
    <w:rsid w:val="56A12872"/>
    <w:rsid w:val="56BB6A20"/>
    <w:rsid w:val="56D36FB6"/>
    <w:rsid w:val="57335A1F"/>
    <w:rsid w:val="57477253"/>
    <w:rsid w:val="57B95737"/>
    <w:rsid w:val="58E65F25"/>
    <w:rsid w:val="59E007E0"/>
    <w:rsid w:val="5A0E504F"/>
    <w:rsid w:val="5A192DC4"/>
    <w:rsid w:val="5AC741F9"/>
    <w:rsid w:val="5ADB74A9"/>
    <w:rsid w:val="5B2045BE"/>
    <w:rsid w:val="5C522796"/>
    <w:rsid w:val="5CB20B90"/>
    <w:rsid w:val="5CBB281C"/>
    <w:rsid w:val="5CCB27CD"/>
    <w:rsid w:val="5CD32DF8"/>
    <w:rsid w:val="5EDA66BF"/>
    <w:rsid w:val="5EE9331E"/>
    <w:rsid w:val="5F1B5515"/>
    <w:rsid w:val="5F6A7693"/>
    <w:rsid w:val="5F8F3FA2"/>
    <w:rsid w:val="5FB55E6A"/>
    <w:rsid w:val="611F6141"/>
    <w:rsid w:val="62034884"/>
    <w:rsid w:val="628C3940"/>
    <w:rsid w:val="63D77671"/>
    <w:rsid w:val="64270631"/>
    <w:rsid w:val="64B82FFF"/>
    <w:rsid w:val="65331D5D"/>
    <w:rsid w:val="65D969F1"/>
    <w:rsid w:val="65E401CD"/>
    <w:rsid w:val="65E9368C"/>
    <w:rsid w:val="662810D1"/>
    <w:rsid w:val="66C023A3"/>
    <w:rsid w:val="66FC08A7"/>
    <w:rsid w:val="67BF6D0A"/>
    <w:rsid w:val="68476448"/>
    <w:rsid w:val="68D127FB"/>
    <w:rsid w:val="69376C83"/>
    <w:rsid w:val="6A1A0E21"/>
    <w:rsid w:val="6A4F0D7C"/>
    <w:rsid w:val="6A5A55A4"/>
    <w:rsid w:val="6A7F2159"/>
    <w:rsid w:val="6A835E5D"/>
    <w:rsid w:val="6B297F1A"/>
    <w:rsid w:val="6BA701DA"/>
    <w:rsid w:val="6D706238"/>
    <w:rsid w:val="6DA24ACF"/>
    <w:rsid w:val="6E296D1B"/>
    <w:rsid w:val="6F571E26"/>
    <w:rsid w:val="6F9B48EF"/>
    <w:rsid w:val="6FD45083"/>
    <w:rsid w:val="703B0F88"/>
    <w:rsid w:val="70734297"/>
    <w:rsid w:val="717F5F67"/>
    <w:rsid w:val="725105DA"/>
    <w:rsid w:val="725E3C6F"/>
    <w:rsid w:val="72A921D9"/>
    <w:rsid w:val="72B14908"/>
    <w:rsid w:val="730724A5"/>
    <w:rsid w:val="73217FC1"/>
    <w:rsid w:val="73BC71FC"/>
    <w:rsid w:val="75B51733"/>
    <w:rsid w:val="75CDF84B"/>
    <w:rsid w:val="75DE488F"/>
    <w:rsid w:val="77163CD2"/>
    <w:rsid w:val="775546DD"/>
    <w:rsid w:val="777972DE"/>
    <w:rsid w:val="77910638"/>
    <w:rsid w:val="77D918EA"/>
    <w:rsid w:val="77FD16F4"/>
    <w:rsid w:val="782736D4"/>
    <w:rsid w:val="78495E70"/>
    <w:rsid w:val="789E04B0"/>
    <w:rsid w:val="78C62C34"/>
    <w:rsid w:val="78D0297C"/>
    <w:rsid w:val="79A23B47"/>
    <w:rsid w:val="79E15AAE"/>
    <w:rsid w:val="7A6D680C"/>
    <w:rsid w:val="7AE83F9D"/>
    <w:rsid w:val="7BB10350"/>
    <w:rsid w:val="7BE95D3C"/>
    <w:rsid w:val="7BFA7804"/>
    <w:rsid w:val="7C17327A"/>
    <w:rsid w:val="7C7E0232"/>
    <w:rsid w:val="7D4F1BCF"/>
    <w:rsid w:val="7DA41F1A"/>
    <w:rsid w:val="7E001BC6"/>
    <w:rsid w:val="7E413AB9"/>
    <w:rsid w:val="7EFF0B59"/>
    <w:rsid w:val="DEF71299"/>
    <w:rsid w:val="EEF72F3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仿宋_GB2312" w:cs="Times New Roman"/>
      <w:kern w:val="2"/>
      <w:sz w:val="32"/>
      <w:szCs w:val="22"/>
      <w:lang w:val="en-US" w:eastAsia="zh-CN" w:bidi="ar-SA"/>
    </w:rPr>
  </w:style>
  <w:style w:type="paragraph" w:styleId="2">
    <w:name w:val="heading 3"/>
    <w:basedOn w:val="1"/>
    <w:next w:val="1"/>
    <w:qFormat/>
    <w:uiPriority w:val="0"/>
    <w:pPr>
      <w:spacing w:before="104" w:beforeLines="0" w:after="104" w:afterLines="0"/>
      <w:outlineLvl w:val="2"/>
    </w:pPr>
  </w:style>
  <w:style w:type="character" w:default="1" w:styleId="12">
    <w:name w:val="Default Paragraph Font"/>
    <w:unhideWhenUsed/>
    <w:uiPriority w:val="1"/>
  </w:style>
  <w:style w:type="table" w:default="1" w:styleId="10">
    <w:name w:val="Normal Table"/>
    <w:unhideWhenUsed/>
    <w:qFormat/>
    <w:uiPriority w:val="99"/>
    <w:tblPr>
      <w:tblStyle w:val="10"/>
      <w:tblCellMar>
        <w:top w:w="0" w:type="dxa"/>
        <w:left w:w="108" w:type="dxa"/>
        <w:bottom w:w="0" w:type="dxa"/>
        <w:right w:w="108" w:type="dxa"/>
      </w:tblCellMar>
    </w:tblPr>
  </w:style>
  <w:style w:type="paragraph" w:styleId="3">
    <w:name w:val="annotation text"/>
    <w:basedOn w:val="1"/>
    <w:link w:val="16"/>
    <w:unhideWhenUsed/>
    <w:qFormat/>
    <w:uiPriority w:val="99"/>
    <w:pPr>
      <w:jc w:val="left"/>
    </w:pPr>
  </w:style>
  <w:style w:type="paragraph" w:styleId="4">
    <w:name w:val="Body Text"/>
    <w:basedOn w:val="1"/>
    <w:qFormat/>
    <w:uiPriority w:val="0"/>
    <w:rPr>
      <w:rFonts w:ascii="宋体" w:hAnsi="宋体" w:eastAsia="宋体" w:cs="宋体"/>
      <w:sz w:val="32"/>
      <w:szCs w:val="32"/>
      <w:lang w:val="zh-CN" w:eastAsia="zh-CN" w:bidi="zh-CN"/>
    </w:rPr>
  </w:style>
  <w:style w:type="paragraph" w:styleId="5">
    <w:name w:val="Balloon Text"/>
    <w:basedOn w:val="1"/>
    <w:link w:val="17"/>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eastAsia" w:ascii="宋体" w:hAnsi="宋体" w:eastAsia="仿宋_GB2312" w:cs="宋体"/>
      <w:kern w:val="2"/>
      <w:sz w:val="24"/>
      <w:szCs w:val="24"/>
      <w:lang w:val="en-US" w:eastAsia="zh-CN" w:bidi="ar"/>
    </w:rPr>
  </w:style>
  <w:style w:type="paragraph" w:styleId="9">
    <w:name w:val="annotation subject"/>
    <w:basedOn w:val="3"/>
    <w:next w:val="3"/>
    <w:link w:val="20"/>
    <w:unhideWhenUsed/>
    <w:qFormat/>
    <w:uiPriority w:val="99"/>
    <w:rPr>
      <w:b/>
      <w:bCs/>
    </w:rPr>
  </w:style>
  <w:style w:type="table" w:styleId="11">
    <w:name w:val="Table Grid"/>
    <w:basedOn w:val="10"/>
    <w:qFormat/>
    <w:uiPriority w:val="59"/>
    <w:pPr>
      <w:widowControl w:val="0"/>
      <w:jc w:val="both"/>
    </w:pPr>
    <w:tblPr>
      <w:tblStyle w:val="1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unhideWhenUsed/>
    <w:uiPriority w:val="99"/>
  </w:style>
  <w:style w:type="character" w:styleId="14">
    <w:name w:val="Hyperlink"/>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批注文字 Char"/>
    <w:link w:val="3"/>
    <w:qFormat/>
    <w:uiPriority w:val="99"/>
    <w:rPr>
      <w:rFonts w:ascii="宋体" w:hAnsi="宋体" w:eastAsia="仿宋_GB2312"/>
      <w:kern w:val="2"/>
      <w:sz w:val="32"/>
      <w:szCs w:val="22"/>
    </w:rPr>
  </w:style>
  <w:style w:type="character" w:customStyle="1" w:styleId="17">
    <w:name w:val="批注框文本 Char"/>
    <w:link w:val="5"/>
    <w:semiHidden/>
    <w:qFormat/>
    <w:uiPriority w:val="99"/>
    <w:rPr>
      <w:rFonts w:ascii="宋体" w:hAnsi="宋体" w:eastAsia="仿宋_GB2312"/>
      <w:kern w:val="2"/>
      <w:sz w:val="18"/>
      <w:szCs w:val="18"/>
    </w:rPr>
  </w:style>
  <w:style w:type="character" w:customStyle="1" w:styleId="18">
    <w:name w:val="页脚 Char"/>
    <w:link w:val="6"/>
    <w:qFormat/>
    <w:uiPriority w:val="99"/>
    <w:rPr>
      <w:sz w:val="18"/>
      <w:szCs w:val="18"/>
    </w:rPr>
  </w:style>
  <w:style w:type="character" w:customStyle="1" w:styleId="19">
    <w:name w:val="页眉 Char"/>
    <w:link w:val="7"/>
    <w:qFormat/>
    <w:uiPriority w:val="99"/>
    <w:rPr>
      <w:sz w:val="18"/>
      <w:szCs w:val="18"/>
    </w:rPr>
  </w:style>
  <w:style w:type="character" w:customStyle="1" w:styleId="20">
    <w:name w:val="批注主题 Char"/>
    <w:link w:val="9"/>
    <w:semiHidden/>
    <w:qFormat/>
    <w:uiPriority w:val="99"/>
    <w:rPr>
      <w:rFonts w:ascii="宋体" w:hAnsi="宋体" w:eastAsia="仿宋_GB2312"/>
      <w:b/>
      <w:bCs/>
      <w:kern w:val="2"/>
      <w:sz w:val="32"/>
      <w:szCs w:val="22"/>
    </w:rPr>
  </w:style>
  <w:style w:type="character" w:customStyle="1" w:styleId="21">
    <w:name w:val="10"/>
    <w:qFormat/>
    <w:uiPriority w:val="0"/>
    <w:rPr>
      <w:rFonts w:hint="default" w:ascii="Times New Roman" w:hAnsi="Times New Roman" w:cs="Times New Roman"/>
    </w:rPr>
  </w:style>
  <w:style w:type="character" w:customStyle="1" w:styleId="22">
    <w:name w:val="15"/>
    <w:qFormat/>
    <w:uiPriority w:val="0"/>
    <w:rPr>
      <w:rFonts w:hint="default" w:ascii="Times New Roman" w:hAnsi="Times New Roman" w:cs="Times New Roman"/>
    </w:rPr>
  </w:style>
  <w:style w:type="paragraph" w:customStyle="1" w:styleId="23">
    <w:name w:val="_Style 21"/>
    <w:unhideWhenUsed/>
    <w:qFormat/>
    <w:uiPriority w:val="99"/>
    <w:rPr>
      <w:rFonts w:ascii="宋体" w:hAnsi="宋体" w:eastAsia="仿宋_GB2312" w:cs="Times New Roman"/>
      <w:kern w:val="2"/>
      <w:sz w:val="32"/>
      <w:szCs w:val="22"/>
      <w:lang w:val="en-US" w:eastAsia="zh-CN" w:bidi="ar-SA"/>
    </w:rPr>
  </w:style>
  <w:style w:type="paragraph" w:customStyle="1" w:styleId="24">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table" w:customStyle="1" w:styleId="25">
    <w:name w:val="Table Normal"/>
    <w:unhideWhenUsed/>
    <w:qFormat/>
    <w:uiPriority w:val="0"/>
    <w:rPr>
      <w:lang w:val="en-US" w:eastAsia="zh-CN" w:bidi="ar-SA"/>
    </w:rPr>
    <w:tblPr>
      <w:tblStyle w:val="10"/>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8993</Words>
  <Characters>9357</Characters>
  <Lines>1</Lines>
  <Paragraphs>1</Paragraphs>
  <TotalTime>8</TotalTime>
  <ScaleCrop>false</ScaleCrop>
  <LinksUpToDate>false</LinksUpToDate>
  <CharactersWithSpaces>9357</CharactersWithSpaces>
  <Application>WPS Office_11.8.2.10953_F1E327BC-269C-435d-A152-05C5408002CA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2024-11-17T05:50:00Z</dcterms:created>
  <dc:creator>管理员</dc:creator>
  <cp:lastModifiedBy>龙娟</cp:lastModifiedBy>
  <cp:lastPrinted>2025-10-27T18:48:00Z</cp:lastPrinted>
  <dcterms:modified xsi:type="dcterms:W3CDTF">2026-05-25T17:43:02Z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ICV">
    <vt:lpwstr>42884E81A59F4701B867AF4A1333E25B_13</vt:lpwstr>
  </property>
  <property fmtid="{D5CDD505-2E9C-101B-9397-08002B2CF9AE}" pid="4" name="KSOTemplateDocerSaveRecord">
    <vt:lpwstr>eyJoZGlkIjoiMDIwYzFlMzUwZTM0NDI5OGRhNDU1Y2RmZTNiNjQ5ODEiLCJ1c2VySWQiOiIxMDg3NzYzNDM4In0=</vt:lpwstr>
  </property>
</Properties>
</file>