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2607E22">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佛山市南海区养老机构信用评价管理办法</w:t>
      </w:r>
    </w:p>
    <w:p w14:paraId="10559D8B">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（征求意见稿</w:t>
      </w:r>
      <w:bookmarkStart w:id="0" w:name="_GoBack"/>
      <w:bookmarkEnd w:id="0"/>
      <w:r>
        <w:rPr>
          <w:rFonts w:hint="eastAsia" w:ascii="仿宋_GB2312" w:hAnsi="仿宋_GB2312" w:eastAsia="仿宋_GB2312" w:cs="仿宋_GB2312"/>
          <w:color w:val="auto"/>
          <w:sz w:val="32"/>
          <w:szCs w:val="32"/>
          <w:highlight w:val="none"/>
          <w:lang w:val="en-US" w:eastAsia="zh-CN"/>
        </w:rPr>
        <w:t>）</w:t>
      </w:r>
    </w:p>
    <w:p w14:paraId="6E2059AD">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z w:val="36"/>
          <w:szCs w:val="36"/>
          <w:lang w:val="en-US" w:eastAsia="zh-CN"/>
        </w:rPr>
      </w:pPr>
    </w:p>
    <w:p w14:paraId="033B6B97">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z w:val="32"/>
          <w:szCs w:val="32"/>
          <w:lang w:val="en-US" w:eastAsia="zh-CN"/>
        </w:rPr>
      </w:pPr>
      <w:r>
        <w:rPr>
          <w:rFonts w:hint="eastAsia" w:ascii="方正小标宋简体" w:hAnsi="方正小标宋简体" w:eastAsia="方正小标宋简体" w:cs="方正小标宋简体"/>
          <w:sz w:val="32"/>
          <w:szCs w:val="32"/>
          <w:lang w:val="en-US" w:eastAsia="zh-CN"/>
        </w:rPr>
        <w:t>第一章 总则</w:t>
      </w:r>
    </w:p>
    <w:p w14:paraId="2472BF84">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第一条 为规范养老服务市场秩序，推进养老服务领域信用体系建设，促进养老服务行业持续健康发展，根据《广东省养老服务条例》、《佛山市养老服务条例》等政策规定，结合我区实际，制定本办法。</w:t>
      </w:r>
    </w:p>
    <w:p w14:paraId="12AD3130">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lang w:val="en-US" w:eastAsia="zh-CN"/>
        </w:rPr>
      </w:pPr>
    </w:p>
    <w:p w14:paraId="298957D1">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第二条 本办法所称的养老机构，是指为老年人提供全日集中住宿和照料护理服务，床位数在10张以上，且在我区办理备案的机构。</w:t>
      </w:r>
    </w:p>
    <w:p w14:paraId="0A8040AC">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本办法所称的养老机构信用评价，是指民政部门在依法履行行业监督管理职责过程中，对正常运营的养老机构进行信用信息归集并进行综合评定分级。</w:t>
      </w:r>
    </w:p>
    <w:p w14:paraId="75E45754">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lang w:val="en-US" w:eastAsia="zh-CN"/>
        </w:rPr>
      </w:pPr>
    </w:p>
    <w:p w14:paraId="5B8BDAC2">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第三条 养老机构信用评价遵循“依法依规、公开透明、标准统一、分级分类”的原则，依法依规加强养老机构的规范管理，保护养老机构和相关人员的合法权益。</w:t>
      </w:r>
    </w:p>
    <w:p w14:paraId="26934AD6">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lang w:val="en-US" w:eastAsia="zh-CN"/>
        </w:rPr>
      </w:pPr>
    </w:p>
    <w:p w14:paraId="0298A59A">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第四条 区民政部门负责本辖区养老机构信用信息归集、信用评价标准制定、信用评价组织实施等工作，运用信用评价结果实施差异化监管。</w:t>
      </w:r>
    </w:p>
    <w:p w14:paraId="3FEB4C5B">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发改、公安、财政、人社、住建、卫健、应急管理、市场监管、医保、金融、税务等有关部门及时向区民政部门推送、共享我区养老机构在守法履约、行政处罚、表彰奖励等有关信息，并依照各自职能开展养老机构的失信约束工作。</w:t>
      </w:r>
    </w:p>
    <w:p w14:paraId="110BC7E2">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各镇人民政府、街道办事处协助区民政部门采集辖区内养老机构相关行为信息。</w:t>
      </w:r>
    </w:p>
    <w:p w14:paraId="1C153F7E">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sz w:val="32"/>
          <w:szCs w:val="32"/>
          <w:lang w:val="en-US" w:eastAsia="zh-CN"/>
        </w:rPr>
      </w:pPr>
    </w:p>
    <w:p w14:paraId="37E57A93">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第二章 信息归集</w:t>
      </w:r>
    </w:p>
    <w:p w14:paraId="19BD6ED8">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sz w:val="32"/>
          <w:szCs w:val="32"/>
          <w:lang w:val="en-US" w:eastAsia="zh-CN"/>
        </w:rPr>
      </w:pPr>
      <w:r>
        <w:rPr>
          <w:rFonts w:hint="default" w:ascii="仿宋_GB2312" w:hAnsi="仿宋_GB2312" w:eastAsia="仿宋_GB2312" w:cs="仿宋_GB2312"/>
          <w:sz w:val="32"/>
          <w:szCs w:val="32"/>
          <w:lang w:val="en-US" w:eastAsia="zh-CN"/>
        </w:rPr>
        <w:t>第五条 信用信息的归集、披露和使用应当遵循合法、安全、及时、准确、客观的原则，不得危害国家安全、泄露国家秘密，不得侵犯商业秘密和个人隐私。</w:t>
      </w:r>
    </w:p>
    <w:p w14:paraId="41C82B6F">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sz w:val="32"/>
          <w:szCs w:val="32"/>
          <w:lang w:val="en-US" w:eastAsia="zh-CN"/>
        </w:rPr>
      </w:pPr>
    </w:p>
    <w:p w14:paraId="6E3D157C">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sz w:val="32"/>
          <w:szCs w:val="32"/>
          <w:lang w:val="en-US" w:eastAsia="zh-CN"/>
        </w:rPr>
      </w:pPr>
      <w:r>
        <w:rPr>
          <w:rFonts w:hint="default" w:ascii="仿宋_GB2312" w:hAnsi="仿宋_GB2312" w:eastAsia="仿宋_GB2312" w:cs="仿宋_GB2312"/>
          <w:sz w:val="32"/>
          <w:szCs w:val="32"/>
          <w:lang w:val="en-US" w:eastAsia="zh-CN"/>
        </w:rPr>
        <w:t>第六条 本办法所称的养老机构信用信息，是指各相关部门在依法履行职责中产生或获取的、信用主体自主填报并经核实的各类可用于识别养老机构信用状况的数据和资料。主要包括：</w:t>
      </w:r>
    </w:p>
    <w:p w14:paraId="4A8FC84B">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sz w:val="32"/>
          <w:szCs w:val="32"/>
          <w:lang w:val="en-US" w:eastAsia="zh-CN"/>
        </w:rPr>
      </w:pPr>
      <w:r>
        <w:rPr>
          <w:rFonts w:hint="default" w:ascii="仿宋_GB2312" w:hAnsi="仿宋_GB2312" w:eastAsia="仿宋_GB2312" w:cs="仿宋_GB2312"/>
          <w:sz w:val="32"/>
          <w:szCs w:val="32"/>
          <w:lang w:val="en-US" w:eastAsia="zh-CN"/>
        </w:rPr>
        <w:t>（一）基础信息。指信用主体证明自身合法经营的相关信息，包括：</w:t>
      </w:r>
    </w:p>
    <w:p w14:paraId="20E7AC15">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sz w:val="32"/>
          <w:szCs w:val="32"/>
          <w:lang w:val="en-US" w:eastAsia="zh-CN"/>
        </w:rPr>
      </w:pPr>
      <w:r>
        <w:rPr>
          <w:rFonts w:hint="default" w:ascii="仿宋_GB2312" w:hAnsi="仿宋_GB2312" w:eastAsia="仿宋_GB2312" w:cs="仿宋_GB2312"/>
          <w:sz w:val="32"/>
          <w:szCs w:val="32"/>
          <w:lang w:val="en-US" w:eastAsia="zh-CN"/>
        </w:rPr>
        <w:t>1.养老机构名称、地址、业务范围</w:t>
      </w:r>
      <w:r>
        <w:rPr>
          <w:rFonts w:hint="eastAsia" w:ascii="仿宋_GB2312" w:hAnsi="仿宋_GB2312" w:eastAsia="仿宋_GB2312" w:cs="仿宋_GB2312"/>
          <w:sz w:val="32"/>
          <w:szCs w:val="32"/>
          <w:lang w:val="en-US" w:eastAsia="zh-CN"/>
        </w:rPr>
        <w:t>、床位数量</w:t>
      </w:r>
      <w:r>
        <w:rPr>
          <w:rFonts w:hint="default" w:ascii="仿宋_GB2312" w:hAnsi="仿宋_GB2312" w:eastAsia="仿宋_GB2312" w:cs="仿宋_GB2312"/>
          <w:sz w:val="32"/>
          <w:szCs w:val="32"/>
          <w:lang w:val="en-US" w:eastAsia="zh-CN"/>
        </w:rPr>
        <w:t>；</w:t>
      </w:r>
    </w:p>
    <w:p w14:paraId="0E70159A">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sz w:val="32"/>
          <w:szCs w:val="32"/>
          <w:lang w:val="en-US" w:eastAsia="zh-CN"/>
        </w:rPr>
      </w:pPr>
      <w:r>
        <w:rPr>
          <w:rFonts w:hint="default" w:ascii="仿宋_GB2312" w:hAnsi="仿宋_GB2312" w:eastAsia="仿宋_GB2312" w:cs="仿宋_GB2312"/>
          <w:sz w:val="32"/>
          <w:szCs w:val="32"/>
          <w:lang w:val="en-US" w:eastAsia="zh-CN"/>
        </w:rPr>
        <w:t>2.法定代表人和主要负责人（实际控制人）的姓名、身份证号码、联系电话等；</w:t>
      </w:r>
    </w:p>
    <w:p w14:paraId="0AAF6635">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sz w:val="32"/>
          <w:szCs w:val="32"/>
          <w:lang w:val="en-US" w:eastAsia="zh-CN"/>
        </w:rPr>
      </w:pPr>
      <w:r>
        <w:rPr>
          <w:rFonts w:hint="default" w:ascii="仿宋_GB2312" w:hAnsi="仿宋_GB2312" w:eastAsia="仿宋_GB2312" w:cs="仿宋_GB2312"/>
          <w:sz w:val="32"/>
          <w:szCs w:val="32"/>
          <w:lang w:val="en-US" w:eastAsia="zh-CN"/>
        </w:rPr>
        <w:t>3.登记证书、工商营业执照、资质证书(许可证）和统一社会信用代码等信息；</w:t>
      </w:r>
    </w:p>
    <w:p w14:paraId="7CF1EEA9">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sz w:val="32"/>
          <w:szCs w:val="32"/>
          <w:lang w:val="en-US" w:eastAsia="zh-CN"/>
        </w:rPr>
      </w:pPr>
      <w:r>
        <w:rPr>
          <w:rFonts w:hint="default" w:ascii="仿宋_GB2312" w:hAnsi="仿宋_GB2312" w:eastAsia="仿宋_GB2312" w:cs="仿宋_GB2312"/>
          <w:sz w:val="32"/>
          <w:szCs w:val="32"/>
          <w:lang w:val="en-US" w:eastAsia="zh-CN"/>
        </w:rPr>
        <w:t>4.其他依法应纳入的基本信息。</w:t>
      </w:r>
    </w:p>
    <w:p w14:paraId="6E3A66DA">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sz w:val="32"/>
          <w:szCs w:val="32"/>
          <w:lang w:val="en-US" w:eastAsia="zh-CN"/>
        </w:rPr>
      </w:pPr>
      <w:r>
        <w:rPr>
          <w:rFonts w:hint="default" w:ascii="仿宋_GB2312" w:hAnsi="仿宋_GB2312" w:eastAsia="仿宋_GB2312" w:cs="仿宋_GB2312"/>
          <w:sz w:val="32"/>
          <w:szCs w:val="32"/>
          <w:lang w:val="en-US" w:eastAsia="zh-CN"/>
        </w:rPr>
        <w:t>（二）守信信息。包括养老机构规范内部运营管理、按服务协议提供优质服务、落实安全生产主体责任、积极</w:t>
      </w:r>
      <w:r>
        <w:rPr>
          <w:rFonts w:hint="eastAsia" w:ascii="仿宋_GB2312" w:hAnsi="仿宋_GB2312" w:eastAsia="仿宋_GB2312" w:cs="仿宋_GB2312"/>
          <w:sz w:val="32"/>
          <w:szCs w:val="32"/>
          <w:lang w:val="en-US" w:eastAsia="zh-CN"/>
        </w:rPr>
        <w:t>守护老年人权益</w:t>
      </w:r>
      <w:r>
        <w:rPr>
          <w:rFonts w:hint="default" w:ascii="仿宋_GB2312" w:hAnsi="仿宋_GB2312" w:eastAsia="仿宋_GB2312" w:cs="仿宋_GB2312"/>
          <w:sz w:val="32"/>
          <w:szCs w:val="32"/>
          <w:lang w:val="en-US" w:eastAsia="zh-CN"/>
        </w:rPr>
        <w:t>等信息。</w:t>
      </w:r>
    </w:p>
    <w:p w14:paraId="445F3075">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sz w:val="32"/>
          <w:szCs w:val="32"/>
          <w:lang w:val="en-US" w:eastAsia="zh-CN"/>
        </w:rPr>
      </w:pPr>
      <w:r>
        <w:rPr>
          <w:rFonts w:hint="default" w:ascii="仿宋_GB2312" w:hAnsi="仿宋_GB2312" w:eastAsia="仿宋_GB2312" w:cs="仿宋_GB2312"/>
          <w:sz w:val="32"/>
          <w:szCs w:val="32"/>
          <w:lang w:val="en-US" w:eastAsia="zh-CN"/>
        </w:rPr>
        <w:t>（三）失信信息。包括：</w:t>
      </w:r>
    </w:p>
    <w:p w14:paraId="4C72BC6A">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sz w:val="32"/>
          <w:szCs w:val="32"/>
          <w:lang w:val="en-US" w:eastAsia="zh-CN"/>
        </w:rPr>
      </w:pPr>
      <w:r>
        <w:rPr>
          <w:rFonts w:hint="default" w:ascii="仿宋_GB2312" w:hAnsi="仿宋_GB2312" w:eastAsia="仿宋_GB2312" w:cs="仿宋_GB2312"/>
          <w:sz w:val="32"/>
          <w:szCs w:val="32"/>
          <w:lang w:val="en-US" w:eastAsia="zh-CN"/>
        </w:rPr>
        <w:t>1.在申请政府财政补助补贴、参加养老机构等级评定、接受行业部门检查或专项审计过程中，提供虚假材料、隐瞒真实情况，或者拒绝提供反映其活动的真实材料，侵害行业管理秩序和社会公共利益的信息；</w:t>
      </w:r>
    </w:p>
    <w:p w14:paraId="2E807BFD">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sz w:val="32"/>
          <w:szCs w:val="32"/>
          <w:lang w:val="en-US" w:eastAsia="zh-CN"/>
        </w:rPr>
      </w:pPr>
      <w:r>
        <w:rPr>
          <w:rFonts w:hint="default" w:ascii="仿宋_GB2312" w:hAnsi="仿宋_GB2312" w:eastAsia="仿宋_GB2312" w:cs="仿宋_GB2312"/>
          <w:sz w:val="32"/>
          <w:szCs w:val="32"/>
          <w:lang w:val="en-US" w:eastAsia="zh-CN"/>
        </w:rPr>
        <w:t>2.拒不执行生效法律文书的信息；</w:t>
      </w:r>
    </w:p>
    <w:p w14:paraId="7AF19297">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sz w:val="32"/>
          <w:szCs w:val="32"/>
          <w:lang w:val="en-US" w:eastAsia="zh-CN"/>
        </w:rPr>
      </w:pPr>
      <w:r>
        <w:rPr>
          <w:rFonts w:hint="default" w:ascii="仿宋_GB2312" w:hAnsi="仿宋_GB2312" w:eastAsia="仿宋_GB2312" w:cs="仿宋_GB2312"/>
          <w:sz w:val="32"/>
          <w:szCs w:val="32"/>
          <w:lang w:val="en-US" w:eastAsia="zh-CN"/>
        </w:rPr>
        <w:t>3.行政处罚</w:t>
      </w:r>
      <w:r>
        <w:rPr>
          <w:rFonts w:hint="eastAsia" w:ascii="仿宋_GB2312" w:hAnsi="仿宋_GB2312" w:eastAsia="仿宋_GB2312" w:cs="仿宋_GB2312"/>
          <w:sz w:val="32"/>
          <w:szCs w:val="32"/>
          <w:lang w:val="en-US" w:eastAsia="zh-CN"/>
        </w:rPr>
        <w:t>决定的</w:t>
      </w:r>
      <w:r>
        <w:rPr>
          <w:rFonts w:hint="default" w:ascii="仿宋_GB2312" w:hAnsi="仿宋_GB2312" w:eastAsia="仿宋_GB2312" w:cs="仿宋_GB2312"/>
          <w:sz w:val="32"/>
          <w:szCs w:val="32"/>
          <w:lang w:val="en-US" w:eastAsia="zh-CN"/>
        </w:rPr>
        <w:t>信息，</w:t>
      </w:r>
      <w:r>
        <w:rPr>
          <w:rFonts w:hint="eastAsia" w:ascii="仿宋_GB2312" w:hAnsi="仿宋_GB2312" w:eastAsia="仿宋_GB2312" w:cs="仿宋_GB2312"/>
          <w:sz w:val="32"/>
          <w:szCs w:val="32"/>
          <w:lang w:val="en-US" w:eastAsia="zh-CN"/>
        </w:rPr>
        <w:t>仅受到警告行政处罚</w:t>
      </w:r>
      <w:r>
        <w:rPr>
          <w:rFonts w:hint="default" w:ascii="仿宋_GB2312" w:hAnsi="仿宋_GB2312" w:eastAsia="仿宋_GB2312" w:cs="仿宋_GB2312"/>
          <w:sz w:val="32"/>
          <w:szCs w:val="32"/>
          <w:lang w:val="en-US" w:eastAsia="zh-CN"/>
        </w:rPr>
        <w:t>的除外；</w:t>
      </w:r>
    </w:p>
    <w:p w14:paraId="3DC12C83">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4.在日常监管中存在被相关政府部门通报等情况；</w:t>
      </w:r>
    </w:p>
    <w:p w14:paraId="1E5CAF65">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5</w:t>
      </w:r>
      <w:r>
        <w:rPr>
          <w:rFonts w:hint="default" w:ascii="仿宋_GB2312" w:hAnsi="仿宋_GB2312" w:eastAsia="仿宋_GB2312" w:cs="仿宋_GB2312"/>
          <w:sz w:val="32"/>
          <w:szCs w:val="32"/>
          <w:lang w:val="en-US" w:eastAsia="zh-CN"/>
        </w:rPr>
        <w:t>.其他与养老机构相关的失信信息。</w:t>
      </w:r>
    </w:p>
    <w:p w14:paraId="4E4AC07A">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sz w:val="32"/>
          <w:szCs w:val="32"/>
          <w:lang w:val="en-US" w:eastAsia="zh-CN"/>
        </w:rPr>
      </w:pPr>
      <w:r>
        <w:rPr>
          <w:rFonts w:hint="default" w:ascii="仿宋_GB2312" w:hAnsi="仿宋_GB2312" w:eastAsia="仿宋_GB2312" w:cs="仿宋_GB2312"/>
          <w:sz w:val="32"/>
          <w:szCs w:val="32"/>
          <w:lang w:val="en-US" w:eastAsia="zh-CN"/>
        </w:rPr>
        <w:t>（四）其他信息。包括养老机构等级评定、公共信用评价情况，获得</w:t>
      </w:r>
      <w:r>
        <w:rPr>
          <w:rFonts w:hint="eastAsia" w:ascii="仿宋_GB2312" w:hAnsi="仿宋_GB2312" w:eastAsia="仿宋_GB2312" w:cs="仿宋_GB2312"/>
          <w:sz w:val="32"/>
          <w:szCs w:val="32"/>
          <w:lang w:val="en-US" w:eastAsia="zh-CN"/>
        </w:rPr>
        <w:t>区</w:t>
      </w:r>
      <w:r>
        <w:rPr>
          <w:rFonts w:hint="default" w:ascii="仿宋_GB2312" w:hAnsi="仿宋_GB2312" w:eastAsia="仿宋_GB2312" w:cs="仿宋_GB2312"/>
          <w:sz w:val="32"/>
          <w:szCs w:val="32"/>
          <w:lang w:val="en-US" w:eastAsia="zh-CN"/>
        </w:rPr>
        <w:t>级以上人民政府、市级以上政府部门表彰情况，养老服务纠纷处置情况等。</w:t>
      </w:r>
    </w:p>
    <w:p w14:paraId="1164C4C8">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sz w:val="32"/>
          <w:szCs w:val="32"/>
          <w:lang w:val="en-US" w:eastAsia="zh-CN"/>
        </w:rPr>
      </w:pPr>
      <w:r>
        <w:rPr>
          <w:rFonts w:hint="default" w:ascii="仿宋_GB2312" w:hAnsi="仿宋_GB2312" w:eastAsia="仿宋_GB2312" w:cs="仿宋_GB2312"/>
          <w:sz w:val="32"/>
          <w:szCs w:val="32"/>
          <w:lang w:val="en-US" w:eastAsia="zh-CN"/>
        </w:rPr>
        <w:t>养老机构基本信息、行政处罚和行政强制情况、列入失信联合惩戒名单信息、列入失信被执行人名单、行政检查信息、养老机构等级、获表彰情况可依规公开发布，其余信用信息不公开发布，仅供民政部门开展信用评价使用。</w:t>
      </w:r>
    </w:p>
    <w:p w14:paraId="1BC3EC1F">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sz w:val="32"/>
          <w:szCs w:val="32"/>
          <w:lang w:val="en-US" w:eastAsia="zh-CN"/>
        </w:rPr>
      </w:pPr>
    </w:p>
    <w:p w14:paraId="76F467C4">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sz w:val="32"/>
          <w:szCs w:val="32"/>
          <w:lang w:val="en-US" w:eastAsia="zh-CN"/>
        </w:rPr>
      </w:pPr>
      <w:r>
        <w:rPr>
          <w:rFonts w:hint="default" w:ascii="仿宋_GB2312" w:hAnsi="仿宋_GB2312" w:eastAsia="仿宋_GB2312" w:cs="仿宋_GB2312"/>
          <w:sz w:val="32"/>
          <w:szCs w:val="32"/>
          <w:lang w:val="en-US" w:eastAsia="zh-CN"/>
        </w:rPr>
        <w:t>第七条 养老机构信用信息主要通过以下途径获取：</w:t>
      </w:r>
    </w:p>
    <w:p w14:paraId="383B2E6C">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sz w:val="32"/>
          <w:szCs w:val="32"/>
          <w:lang w:val="en-US" w:eastAsia="zh-CN"/>
        </w:rPr>
      </w:pPr>
      <w:r>
        <w:rPr>
          <w:rFonts w:hint="default" w:ascii="仿宋_GB2312" w:hAnsi="仿宋_GB2312" w:eastAsia="仿宋_GB2312" w:cs="仿宋_GB2312"/>
          <w:sz w:val="32"/>
          <w:szCs w:val="32"/>
          <w:lang w:val="en-US" w:eastAsia="zh-CN"/>
        </w:rPr>
        <w:t>（一）养老机构基础信息，</w:t>
      </w:r>
      <w:r>
        <w:rPr>
          <w:rFonts w:hint="eastAsia" w:ascii="仿宋_GB2312" w:hAnsi="仿宋_GB2312" w:eastAsia="仿宋_GB2312" w:cs="仿宋_GB2312"/>
          <w:sz w:val="32"/>
          <w:szCs w:val="32"/>
          <w:lang w:val="en-US" w:eastAsia="zh-CN"/>
        </w:rPr>
        <w:t>通过养老机构向民政部门提交的备案信息获取</w:t>
      </w:r>
      <w:r>
        <w:rPr>
          <w:rFonts w:hint="default" w:ascii="仿宋_GB2312" w:hAnsi="仿宋_GB2312" w:eastAsia="仿宋_GB2312" w:cs="仿宋_GB2312"/>
          <w:sz w:val="32"/>
          <w:szCs w:val="32"/>
          <w:lang w:val="en-US" w:eastAsia="zh-CN"/>
        </w:rPr>
        <w:t>；</w:t>
      </w:r>
    </w:p>
    <w:p w14:paraId="515C5434">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sz w:val="32"/>
          <w:szCs w:val="32"/>
          <w:lang w:val="en-US" w:eastAsia="zh-CN"/>
        </w:rPr>
      </w:pPr>
      <w:r>
        <w:rPr>
          <w:rFonts w:hint="default" w:ascii="仿宋_GB2312" w:hAnsi="仿宋_GB2312" w:eastAsia="仿宋_GB2312" w:cs="仿宋_GB2312"/>
          <w:sz w:val="32"/>
          <w:szCs w:val="32"/>
          <w:lang w:val="en-US" w:eastAsia="zh-CN"/>
        </w:rPr>
        <w:t>（二）守信信息、失信信息和其他信息，通过部门数据交换获取。</w:t>
      </w:r>
    </w:p>
    <w:p w14:paraId="489F938B">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sz w:val="32"/>
          <w:szCs w:val="32"/>
          <w:lang w:val="en-US" w:eastAsia="zh-CN"/>
        </w:rPr>
      </w:pPr>
      <w:r>
        <w:rPr>
          <w:rFonts w:hint="default" w:ascii="仿宋_GB2312" w:hAnsi="仿宋_GB2312" w:eastAsia="仿宋_GB2312" w:cs="仿宋_GB2312"/>
          <w:sz w:val="32"/>
          <w:szCs w:val="32"/>
          <w:lang w:val="en-US" w:eastAsia="zh-CN"/>
        </w:rPr>
        <w:t>（三）无法通过部门数据交换获取的，</w:t>
      </w:r>
      <w:r>
        <w:rPr>
          <w:rFonts w:hint="eastAsia" w:ascii="仿宋_GB2312" w:hAnsi="仿宋_GB2312" w:eastAsia="仿宋_GB2312" w:cs="仿宋_GB2312"/>
          <w:sz w:val="32"/>
          <w:szCs w:val="32"/>
          <w:lang w:val="en-US" w:eastAsia="zh-CN"/>
        </w:rPr>
        <w:t>养老机构</w:t>
      </w:r>
      <w:r>
        <w:rPr>
          <w:rFonts w:hint="default" w:ascii="仿宋_GB2312" w:hAnsi="仿宋_GB2312" w:eastAsia="仿宋_GB2312" w:cs="仿宋_GB2312"/>
          <w:sz w:val="32"/>
          <w:szCs w:val="32"/>
          <w:lang w:val="en-US" w:eastAsia="zh-CN"/>
        </w:rPr>
        <w:t>可以向</w:t>
      </w:r>
      <w:r>
        <w:rPr>
          <w:rFonts w:hint="eastAsia" w:ascii="仿宋_GB2312" w:hAnsi="仿宋_GB2312" w:eastAsia="仿宋_GB2312" w:cs="仿宋_GB2312"/>
          <w:sz w:val="32"/>
          <w:szCs w:val="32"/>
          <w:lang w:val="en-US" w:eastAsia="zh-CN"/>
        </w:rPr>
        <w:t>区</w:t>
      </w:r>
      <w:r>
        <w:rPr>
          <w:rFonts w:hint="default" w:ascii="仿宋_GB2312" w:hAnsi="仿宋_GB2312" w:eastAsia="仿宋_GB2312" w:cs="仿宋_GB2312"/>
          <w:sz w:val="32"/>
          <w:szCs w:val="32"/>
          <w:lang w:val="en-US" w:eastAsia="zh-CN"/>
        </w:rPr>
        <w:t>民政部门提交书面证明材料。</w:t>
      </w:r>
    </w:p>
    <w:p w14:paraId="36B62A08">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sz w:val="32"/>
          <w:szCs w:val="32"/>
          <w:lang w:val="en-US" w:eastAsia="zh-CN"/>
        </w:rPr>
      </w:pPr>
    </w:p>
    <w:p w14:paraId="23E051CD">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sz w:val="32"/>
          <w:szCs w:val="32"/>
          <w:lang w:val="en-US" w:eastAsia="zh-CN"/>
        </w:rPr>
      </w:pPr>
      <w:r>
        <w:rPr>
          <w:rFonts w:hint="default" w:ascii="仿宋_GB2312" w:hAnsi="仿宋_GB2312" w:eastAsia="仿宋_GB2312" w:cs="仿宋_GB2312"/>
          <w:sz w:val="32"/>
          <w:szCs w:val="32"/>
          <w:lang w:val="en-US" w:eastAsia="zh-CN"/>
        </w:rPr>
        <w:t>第八条 信用等级评价结果及评价依据的保存和披露期限为3年，自评价结果公开之日起计算，期满将相应记录从查询界面删除。法律、法规、规章和上级文件对信用信息期限、有效期另有规定的，从其规定。</w:t>
      </w:r>
    </w:p>
    <w:p w14:paraId="51317BD6">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sz w:val="32"/>
          <w:szCs w:val="32"/>
          <w:lang w:val="en-US" w:eastAsia="zh-CN"/>
        </w:rPr>
      </w:pPr>
    </w:p>
    <w:p w14:paraId="332D98C5">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黑体" w:hAnsi="黑体" w:eastAsia="黑体" w:cs="黑体"/>
          <w:sz w:val="32"/>
          <w:szCs w:val="32"/>
          <w:lang w:val="en-US" w:eastAsia="zh-CN"/>
        </w:rPr>
      </w:pPr>
      <w:r>
        <w:rPr>
          <w:rFonts w:hint="default" w:ascii="黑体" w:hAnsi="黑体" w:eastAsia="黑体" w:cs="黑体"/>
          <w:sz w:val="32"/>
          <w:szCs w:val="32"/>
          <w:lang w:val="en-US" w:eastAsia="zh-CN"/>
        </w:rPr>
        <w:t>第三章 信用评价与分级</w:t>
      </w:r>
    </w:p>
    <w:p w14:paraId="03A95F20">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sz w:val="32"/>
          <w:szCs w:val="32"/>
          <w:lang w:val="en-US" w:eastAsia="zh-CN"/>
        </w:rPr>
      </w:pPr>
      <w:r>
        <w:rPr>
          <w:rFonts w:hint="default" w:ascii="仿宋_GB2312" w:hAnsi="仿宋_GB2312" w:eastAsia="仿宋_GB2312" w:cs="仿宋_GB2312"/>
          <w:sz w:val="32"/>
          <w:szCs w:val="32"/>
          <w:lang w:val="en-US" w:eastAsia="zh-CN"/>
        </w:rPr>
        <w:t>第九条 区民政部门依据《</w:t>
      </w:r>
      <w:r>
        <w:rPr>
          <w:rFonts w:hint="eastAsia" w:ascii="仿宋_GB2312" w:hAnsi="仿宋_GB2312" w:eastAsia="仿宋_GB2312" w:cs="仿宋_GB2312"/>
          <w:sz w:val="32"/>
          <w:szCs w:val="32"/>
          <w:lang w:val="en-US" w:eastAsia="zh-CN"/>
        </w:rPr>
        <w:t>南海区</w:t>
      </w:r>
      <w:r>
        <w:rPr>
          <w:rFonts w:hint="default" w:ascii="仿宋_GB2312" w:hAnsi="仿宋_GB2312" w:eastAsia="仿宋_GB2312" w:cs="仿宋_GB2312"/>
          <w:sz w:val="32"/>
          <w:szCs w:val="32"/>
          <w:lang w:val="en-US" w:eastAsia="zh-CN"/>
        </w:rPr>
        <w:t>养老机构信用评价指标》（见附件），对养老机构信用情况进行评价并确定信用等级。</w:t>
      </w:r>
    </w:p>
    <w:p w14:paraId="4B28939B">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sz w:val="32"/>
          <w:szCs w:val="32"/>
          <w:lang w:val="en-US" w:eastAsia="zh-CN"/>
        </w:rPr>
      </w:pPr>
    </w:p>
    <w:p w14:paraId="17EEE637">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sz w:val="32"/>
          <w:szCs w:val="32"/>
          <w:lang w:val="en-US" w:eastAsia="zh-CN"/>
        </w:rPr>
      </w:pPr>
      <w:r>
        <w:rPr>
          <w:rFonts w:hint="default" w:ascii="仿宋_GB2312" w:hAnsi="仿宋_GB2312" w:eastAsia="仿宋_GB2312" w:cs="仿宋_GB2312"/>
          <w:sz w:val="32"/>
          <w:szCs w:val="32"/>
          <w:lang w:val="en-US" w:eastAsia="zh-CN"/>
        </w:rPr>
        <w:t>第十条 养老机构信用等级从高至低分为四级：A级、B级、C级、D级。等级越高，养老机构信用状况越好：</w:t>
      </w:r>
    </w:p>
    <w:p w14:paraId="55C2DD26">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sz w:val="32"/>
          <w:szCs w:val="32"/>
          <w:lang w:val="en-US" w:eastAsia="zh-CN"/>
        </w:rPr>
      </w:pPr>
      <w:r>
        <w:rPr>
          <w:rFonts w:hint="default" w:ascii="仿宋_GB2312" w:hAnsi="仿宋_GB2312" w:eastAsia="仿宋_GB2312" w:cs="仿宋_GB2312"/>
          <w:sz w:val="32"/>
          <w:szCs w:val="32"/>
          <w:lang w:val="en-US" w:eastAsia="zh-CN"/>
        </w:rPr>
        <w:t>A级：85</w:t>
      </w:r>
      <w:r>
        <w:rPr>
          <w:rFonts w:hint="eastAsia" w:ascii="仿宋_GB2312" w:hAnsi="仿宋_GB2312" w:eastAsia="仿宋_GB2312" w:cs="仿宋_GB2312"/>
          <w:sz w:val="32"/>
          <w:szCs w:val="32"/>
          <w:lang w:val="en-US" w:eastAsia="zh-CN"/>
        </w:rPr>
        <w:t>分以上（含）；</w:t>
      </w:r>
    </w:p>
    <w:p w14:paraId="699F85F4">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default" w:ascii="仿宋_GB2312" w:hAnsi="仿宋_GB2312" w:eastAsia="仿宋_GB2312" w:cs="仿宋_GB2312"/>
          <w:sz w:val="32"/>
          <w:szCs w:val="32"/>
          <w:lang w:val="en-US" w:eastAsia="zh-CN"/>
        </w:rPr>
        <w:t>B</w:t>
      </w:r>
      <w:r>
        <w:rPr>
          <w:rFonts w:hint="eastAsia" w:ascii="仿宋_GB2312" w:hAnsi="仿宋_GB2312" w:eastAsia="仿宋_GB2312" w:cs="仿宋_GB2312"/>
          <w:sz w:val="32"/>
          <w:szCs w:val="32"/>
          <w:lang w:val="en-US" w:eastAsia="zh-CN"/>
        </w:rPr>
        <w:t>级：</w:t>
      </w:r>
      <w:r>
        <w:rPr>
          <w:rFonts w:hint="default" w:ascii="仿宋_GB2312" w:hAnsi="仿宋_GB2312" w:eastAsia="仿宋_GB2312" w:cs="仿宋_GB2312"/>
          <w:sz w:val="32"/>
          <w:szCs w:val="32"/>
          <w:lang w:val="en-US" w:eastAsia="zh-CN"/>
        </w:rPr>
        <w:t>80</w:t>
      </w:r>
      <w:r>
        <w:rPr>
          <w:rFonts w:hint="eastAsia" w:ascii="仿宋_GB2312" w:hAnsi="仿宋_GB2312" w:eastAsia="仿宋_GB2312" w:cs="仿宋_GB2312"/>
          <w:sz w:val="32"/>
          <w:szCs w:val="32"/>
          <w:lang w:val="en-US" w:eastAsia="zh-CN"/>
        </w:rPr>
        <w:t>分（含）</w:t>
      </w:r>
      <w:r>
        <w:rPr>
          <w:rFonts w:hint="default" w:ascii="仿宋_GB2312" w:hAnsi="仿宋_GB2312" w:eastAsia="仿宋_GB2312" w:cs="仿宋_GB2312"/>
          <w:sz w:val="32"/>
          <w:szCs w:val="32"/>
          <w:lang w:val="en-US" w:eastAsia="zh-CN"/>
        </w:rPr>
        <w:t>—85</w:t>
      </w:r>
      <w:r>
        <w:rPr>
          <w:rFonts w:hint="eastAsia" w:ascii="仿宋_GB2312" w:hAnsi="仿宋_GB2312" w:eastAsia="仿宋_GB2312" w:cs="仿宋_GB2312"/>
          <w:sz w:val="32"/>
          <w:szCs w:val="32"/>
          <w:lang w:val="en-US" w:eastAsia="zh-CN"/>
        </w:rPr>
        <w:t>分；</w:t>
      </w:r>
    </w:p>
    <w:p w14:paraId="035D82C5">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default" w:ascii="仿宋_GB2312" w:hAnsi="仿宋_GB2312" w:eastAsia="仿宋_GB2312" w:cs="仿宋_GB2312"/>
          <w:sz w:val="32"/>
          <w:szCs w:val="32"/>
          <w:lang w:val="en-US" w:eastAsia="zh-CN"/>
        </w:rPr>
        <w:t>C</w:t>
      </w:r>
      <w:r>
        <w:rPr>
          <w:rFonts w:hint="eastAsia" w:ascii="仿宋_GB2312" w:hAnsi="仿宋_GB2312" w:eastAsia="仿宋_GB2312" w:cs="仿宋_GB2312"/>
          <w:sz w:val="32"/>
          <w:szCs w:val="32"/>
          <w:lang w:val="en-US" w:eastAsia="zh-CN"/>
        </w:rPr>
        <w:t>级：</w:t>
      </w:r>
      <w:r>
        <w:rPr>
          <w:rFonts w:hint="default" w:ascii="仿宋_GB2312" w:hAnsi="仿宋_GB2312" w:eastAsia="仿宋_GB2312" w:cs="仿宋_GB2312"/>
          <w:sz w:val="32"/>
          <w:szCs w:val="32"/>
          <w:lang w:val="en-US" w:eastAsia="zh-CN"/>
        </w:rPr>
        <w:t>75</w:t>
      </w:r>
      <w:r>
        <w:rPr>
          <w:rFonts w:hint="eastAsia" w:ascii="仿宋_GB2312" w:hAnsi="仿宋_GB2312" w:eastAsia="仿宋_GB2312" w:cs="仿宋_GB2312"/>
          <w:sz w:val="32"/>
          <w:szCs w:val="32"/>
          <w:lang w:val="en-US" w:eastAsia="zh-CN"/>
        </w:rPr>
        <w:t>分（含）</w:t>
      </w:r>
      <w:r>
        <w:rPr>
          <w:rFonts w:hint="default" w:ascii="仿宋_GB2312" w:hAnsi="仿宋_GB2312" w:eastAsia="仿宋_GB2312" w:cs="仿宋_GB2312"/>
          <w:sz w:val="32"/>
          <w:szCs w:val="32"/>
          <w:lang w:val="en-US" w:eastAsia="zh-CN"/>
        </w:rPr>
        <w:t>—80</w:t>
      </w:r>
      <w:r>
        <w:rPr>
          <w:rFonts w:hint="eastAsia" w:ascii="仿宋_GB2312" w:hAnsi="仿宋_GB2312" w:eastAsia="仿宋_GB2312" w:cs="仿宋_GB2312"/>
          <w:sz w:val="32"/>
          <w:szCs w:val="32"/>
          <w:lang w:val="en-US" w:eastAsia="zh-CN"/>
        </w:rPr>
        <w:t>分；</w:t>
      </w:r>
    </w:p>
    <w:p w14:paraId="21118FF7">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default" w:ascii="仿宋_GB2312" w:hAnsi="仿宋_GB2312" w:eastAsia="仿宋_GB2312" w:cs="仿宋_GB2312"/>
          <w:sz w:val="32"/>
          <w:szCs w:val="32"/>
          <w:lang w:val="en-US" w:eastAsia="zh-CN"/>
        </w:rPr>
        <w:t>D</w:t>
      </w:r>
      <w:r>
        <w:rPr>
          <w:rFonts w:hint="eastAsia" w:ascii="仿宋_GB2312" w:hAnsi="仿宋_GB2312" w:eastAsia="仿宋_GB2312" w:cs="仿宋_GB2312"/>
          <w:sz w:val="32"/>
          <w:szCs w:val="32"/>
          <w:lang w:val="en-US" w:eastAsia="zh-CN"/>
        </w:rPr>
        <w:t>级：</w:t>
      </w:r>
      <w:r>
        <w:rPr>
          <w:rFonts w:hint="default" w:ascii="仿宋_GB2312" w:hAnsi="仿宋_GB2312" w:eastAsia="仿宋_GB2312" w:cs="仿宋_GB2312"/>
          <w:sz w:val="32"/>
          <w:szCs w:val="32"/>
          <w:lang w:val="en-US" w:eastAsia="zh-CN"/>
        </w:rPr>
        <w:t>75</w:t>
      </w:r>
      <w:r>
        <w:rPr>
          <w:rFonts w:hint="eastAsia" w:ascii="仿宋_GB2312" w:hAnsi="仿宋_GB2312" w:eastAsia="仿宋_GB2312" w:cs="仿宋_GB2312"/>
          <w:sz w:val="32"/>
          <w:szCs w:val="32"/>
          <w:lang w:val="en-US" w:eastAsia="zh-CN"/>
        </w:rPr>
        <w:t>分以下。</w:t>
      </w:r>
    </w:p>
    <w:p w14:paraId="092CB33A">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仿宋_GB2312" w:hAnsi="仿宋_GB2312" w:eastAsia="仿宋_GB2312" w:cs="仿宋_GB2312"/>
          <w:sz w:val="32"/>
          <w:szCs w:val="32"/>
          <w:lang w:val="en-US" w:eastAsia="zh-CN"/>
        </w:rPr>
      </w:pPr>
    </w:p>
    <w:p w14:paraId="51F28750">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sz w:val="32"/>
          <w:szCs w:val="32"/>
          <w:lang w:val="en-US" w:eastAsia="zh-CN"/>
        </w:rPr>
      </w:pPr>
      <w:r>
        <w:rPr>
          <w:rFonts w:hint="default" w:ascii="仿宋_GB2312" w:hAnsi="仿宋_GB2312" w:eastAsia="仿宋_GB2312" w:cs="仿宋_GB2312"/>
          <w:sz w:val="32"/>
          <w:szCs w:val="32"/>
          <w:lang w:val="en-US" w:eastAsia="zh-CN"/>
        </w:rPr>
        <w:t>第十一条 养老机构信用等级的评价周期为每年一次，计算时间从1月1日至12月31日，每年3月底之前完成上一年度的信用评价工作。</w:t>
      </w:r>
    </w:p>
    <w:p w14:paraId="281C9924">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仿宋_GB2312" w:hAnsi="仿宋_GB2312" w:eastAsia="仿宋_GB2312" w:cs="仿宋_GB2312"/>
          <w:sz w:val="32"/>
          <w:szCs w:val="32"/>
          <w:lang w:val="en-US" w:eastAsia="zh-CN"/>
        </w:rPr>
      </w:pPr>
    </w:p>
    <w:p w14:paraId="045DFA81">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sz w:val="32"/>
          <w:szCs w:val="32"/>
          <w:lang w:val="en-US" w:eastAsia="zh-CN"/>
        </w:rPr>
      </w:pPr>
      <w:r>
        <w:rPr>
          <w:rFonts w:hint="default" w:ascii="仿宋_GB2312" w:hAnsi="仿宋_GB2312" w:eastAsia="仿宋_GB2312" w:cs="仿宋_GB2312"/>
          <w:sz w:val="32"/>
          <w:szCs w:val="32"/>
          <w:lang w:val="en-US" w:eastAsia="zh-CN"/>
        </w:rPr>
        <w:t>第十二条 养老机构信用评价按照下列程序实施：</w:t>
      </w:r>
    </w:p>
    <w:p w14:paraId="24FCFDDF">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sz w:val="32"/>
          <w:szCs w:val="32"/>
          <w:lang w:val="en-US" w:eastAsia="zh-CN"/>
        </w:rPr>
      </w:pPr>
      <w:r>
        <w:rPr>
          <w:rFonts w:hint="default" w:ascii="仿宋_GB2312" w:hAnsi="仿宋_GB2312" w:eastAsia="仿宋_GB2312" w:cs="仿宋_GB2312"/>
          <w:sz w:val="32"/>
          <w:szCs w:val="32"/>
          <w:lang w:val="en-US" w:eastAsia="zh-CN"/>
        </w:rPr>
        <w:t>（一）信用等级初评。区民政部门按照评分规则，依据归集的信用信息，进行信用等级初评。可委托第三方机构承办具体评价事务。</w:t>
      </w:r>
    </w:p>
    <w:p w14:paraId="09913F19">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sz w:val="32"/>
          <w:szCs w:val="32"/>
          <w:lang w:val="en-US" w:eastAsia="zh-CN"/>
        </w:rPr>
      </w:pPr>
      <w:r>
        <w:rPr>
          <w:rFonts w:hint="default" w:ascii="仿宋_GB2312" w:hAnsi="仿宋_GB2312" w:eastAsia="仿宋_GB2312" w:cs="仿宋_GB2312"/>
          <w:sz w:val="32"/>
          <w:szCs w:val="32"/>
          <w:lang w:val="en-US" w:eastAsia="zh-CN"/>
        </w:rPr>
        <w:t>（二）初评结果告知。区民政部门</w:t>
      </w:r>
      <w:r>
        <w:rPr>
          <w:rFonts w:hint="eastAsia" w:ascii="仿宋_GB2312" w:hAnsi="仿宋_GB2312" w:eastAsia="仿宋_GB2312" w:cs="仿宋_GB2312"/>
          <w:sz w:val="32"/>
          <w:szCs w:val="32"/>
          <w:lang w:val="en-US" w:eastAsia="zh-CN"/>
        </w:rPr>
        <w:t>将初评结果</w:t>
      </w:r>
      <w:r>
        <w:rPr>
          <w:rFonts w:hint="default" w:ascii="仿宋_GB2312" w:hAnsi="仿宋_GB2312" w:eastAsia="仿宋_GB2312" w:cs="仿宋_GB2312"/>
          <w:sz w:val="32"/>
          <w:szCs w:val="32"/>
          <w:lang w:val="en-US" w:eastAsia="zh-CN"/>
        </w:rPr>
        <w:t>通知养老机构；养老机构自收到通知之日起7个工作日内，可提出异议，并提供佐证材料。</w:t>
      </w:r>
    </w:p>
    <w:p w14:paraId="180C416D">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sz w:val="32"/>
          <w:szCs w:val="32"/>
          <w:lang w:val="en-US" w:eastAsia="zh-CN"/>
        </w:rPr>
      </w:pPr>
      <w:r>
        <w:rPr>
          <w:rFonts w:hint="default" w:ascii="仿宋_GB2312" w:hAnsi="仿宋_GB2312" w:eastAsia="仿宋_GB2312" w:cs="仿宋_GB2312"/>
          <w:sz w:val="32"/>
          <w:szCs w:val="32"/>
          <w:lang w:val="en-US" w:eastAsia="zh-CN"/>
        </w:rPr>
        <w:t>（三）信用异议核实。</w:t>
      </w:r>
      <w:r>
        <w:rPr>
          <w:rFonts w:hint="eastAsia" w:ascii="仿宋_GB2312" w:hAnsi="仿宋_GB2312" w:eastAsia="仿宋_GB2312" w:cs="仿宋_GB2312"/>
          <w:sz w:val="32"/>
          <w:szCs w:val="32"/>
          <w:lang w:val="en-US" w:eastAsia="zh-CN"/>
        </w:rPr>
        <w:t>区</w:t>
      </w:r>
      <w:r>
        <w:rPr>
          <w:rFonts w:hint="default" w:ascii="仿宋_GB2312" w:hAnsi="仿宋_GB2312" w:eastAsia="仿宋_GB2312" w:cs="仿宋_GB2312"/>
          <w:sz w:val="32"/>
          <w:szCs w:val="32"/>
          <w:lang w:val="en-US" w:eastAsia="zh-CN"/>
        </w:rPr>
        <w:t>民政部门应在收到异议材料7个工作日内作出是否更正的决定，并及时告知异议提出机构；作出不予更正决定的，应当说明理由。</w:t>
      </w:r>
    </w:p>
    <w:p w14:paraId="7AA8DBFE">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sz w:val="32"/>
          <w:szCs w:val="32"/>
          <w:lang w:val="en-US" w:eastAsia="zh-CN"/>
        </w:rPr>
      </w:pPr>
      <w:r>
        <w:rPr>
          <w:rFonts w:hint="default"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lang w:val="en-US" w:eastAsia="zh-CN"/>
        </w:rPr>
        <w:t>四</w:t>
      </w:r>
      <w:r>
        <w:rPr>
          <w:rFonts w:hint="default" w:ascii="仿宋_GB2312" w:hAnsi="仿宋_GB2312" w:eastAsia="仿宋_GB2312" w:cs="仿宋_GB2312"/>
          <w:sz w:val="32"/>
          <w:szCs w:val="32"/>
          <w:lang w:val="en-US" w:eastAsia="zh-CN"/>
        </w:rPr>
        <w:t>）发布评价结果。区民政部门将养老机构信用评价结果在政府门户网站进行公示。</w:t>
      </w:r>
    </w:p>
    <w:p w14:paraId="193B5C03">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仿宋_GB2312" w:hAnsi="仿宋_GB2312" w:eastAsia="仿宋_GB2312" w:cs="仿宋_GB2312"/>
          <w:sz w:val="32"/>
          <w:szCs w:val="32"/>
          <w:lang w:val="en-US" w:eastAsia="zh-CN"/>
        </w:rPr>
      </w:pPr>
    </w:p>
    <w:p w14:paraId="1A1FE683">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sz w:val="32"/>
          <w:szCs w:val="32"/>
          <w:lang w:val="en-US" w:eastAsia="zh-CN"/>
        </w:rPr>
      </w:pPr>
      <w:r>
        <w:rPr>
          <w:rFonts w:hint="default" w:ascii="仿宋_GB2312" w:hAnsi="仿宋_GB2312" w:eastAsia="仿宋_GB2312" w:cs="仿宋_GB2312"/>
          <w:sz w:val="32"/>
          <w:szCs w:val="32"/>
          <w:lang w:val="en-US" w:eastAsia="zh-CN"/>
        </w:rPr>
        <w:t>第十三条 信用等级评价期间，养老机构有以下情形之一的，不列入信用评价范围：</w:t>
      </w:r>
    </w:p>
    <w:p w14:paraId="572E02E0">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sz w:val="32"/>
          <w:szCs w:val="32"/>
          <w:lang w:val="en-US" w:eastAsia="zh-CN"/>
        </w:rPr>
      </w:pPr>
      <w:r>
        <w:rPr>
          <w:rFonts w:hint="default" w:ascii="仿宋_GB2312" w:hAnsi="仿宋_GB2312" w:eastAsia="仿宋_GB2312" w:cs="仿宋_GB2312"/>
          <w:sz w:val="32"/>
          <w:szCs w:val="32"/>
          <w:lang w:val="en-US" w:eastAsia="zh-CN"/>
        </w:rPr>
        <w:t>（一）新投入运营不满一年的；</w:t>
      </w:r>
    </w:p>
    <w:p w14:paraId="13B32287">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sz w:val="32"/>
          <w:szCs w:val="32"/>
          <w:lang w:val="en-US" w:eastAsia="zh-CN"/>
        </w:rPr>
      </w:pPr>
      <w:r>
        <w:rPr>
          <w:rFonts w:hint="default" w:ascii="仿宋_GB2312" w:hAnsi="仿宋_GB2312" w:eastAsia="仿宋_GB2312" w:cs="仿宋_GB2312"/>
          <w:sz w:val="32"/>
          <w:szCs w:val="32"/>
          <w:lang w:val="en-US" w:eastAsia="zh-CN"/>
        </w:rPr>
        <w:t>（二）暂停或中止养老服务的；</w:t>
      </w:r>
    </w:p>
    <w:p w14:paraId="47513EAC">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sz w:val="32"/>
          <w:szCs w:val="32"/>
          <w:lang w:val="en-US" w:eastAsia="zh-CN"/>
        </w:rPr>
      </w:pPr>
      <w:r>
        <w:rPr>
          <w:rFonts w:hint="default" w:ascii="仿宋_GB2312" w:hAnsi="仿宋_GB2312" w:eastAsia="仿宋_GB2312" w:cs="仿宋_GB2312"/>
          <w:sz w:val="32"/>
          <w:szCs w:val="32"/>
          <w:lang w:val="en-US" w:eastAsia="zh-CN"/>
        </w:rPr>
        <w:t>（三）涉嫌违法经营已经立案尚未作出决定的；</w:t>
      </w:r>
    </w:p>
    <w:p w14:paraId="4F4FBF1C">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sz w:val="32"/>
          <w:szCs w:val="32"/>
          <w:lang w:val="en-US" w:eastAsia="zh-CN"/>
        </w:rPr>
      </w:pPr>
      <w:r>
        <w:rPr>
          <w:rFonts w:hint="default" w:ascii="仿宋_GB2312" w:hAnsi="仿宋_GB2312" w:eastAsia="仿宋_GB2312" w:cs="仿宋_GB2312"/>
          <w:sz w:val="32"/>
          <w:szCs w:val="32"/>
          <w:lang w:val="en-US" w:eastAsia="zh-CN"/>
        </w:rPr>
        <w:t>（四）其他不列入信用评价的情形。</w:t>
      </w:r>
    </w:p>
    <w:p w14:paraId="2FE24E33">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仿宋_GB2312" w:hAnsi="仿宋_GB2312" w:eastAsia="仿宋_GB2312" w:cs="仿宋_GB2312"/>
          <w:sz w:val="32"/>
          <w:szCs w:val="32"/>
          <w:lang w:val="en-US" w:eastAsia="zh-CN"/>
        </w:rPr>
      </w:pPr>
    </w:p>
    <w:p w14:paraId="7B428BD7">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sz w:val="32"/>
          <w:szCs w:val="32"/>
          <w:lang w:val="en-US" w:eastAsia="zh-CN"/>
        </w:rPr>
      </w:pPr>
      <w:r>
        <w:rPr>
          <w:rFonts w:hint="default" w:ascii="仿宋_GB2312" w:hAnsi="仿宋_GB2312" w:eastAsia="仿宋_GB2312" w:cs="仿宋_GB2312"/>
          <w:sz w:val="32"/>
          <w:szCs w:val="32"/>
          <w:lang w:val="en-US" w:eastAsia="zh-CN"/>
        </w:rPr>
        <w:t>第十四条 养老机构存在以下情形之一的，按最低一级D级确定评价等级：</w:t>
      </w:r>
    </w:p>
    <w:p w14:paraId="54804F51">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sz w:val="32"/>
          <w:szCs w:val="32"/>
          <w:lang w:val="en-US" w:eastAsia="zh-CN"/>
        </w:rPr>
      </w:pPr>
      <w:r>
        <w:rPr>
          <w:rFonts w:hint="default" w:ascii="仿宋_GB2312" w:hAnsi="仿宋_GB2312" w:eastAsia="仿宋_GB2312" w:cs="仿宋_GB2312"/>
          <w:sz w:val="32"/>
          <w:szCs w:val="32"/>
          <w:lang w:val="en-US" w:eastAsia="zh-CN"/>
        </w:rPr>
        <w:t>（一）无医疗、食品、康复等资质证明（许可证）开展相关活动或提供相关服务的；</w:t>
      </w:r>
    </w:p>
    <w:p w14:paraId="50084BF5">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sz w:val="32"/>
          <w:szCs w:val="32"/>
          <w:lang w:val="en-US" w:eastAsia="zh-CN"/>
        </w:rPr>
      </w:pPr>
      <w:r>
        <w:rPr>
          <w:rFonts w:hint="default" w:ascii="仿宋_GB2312" w:hAnsi="仿宋_GB2312" w:eastAsia="仿宋_GB2312" w:cs="仿宋_GB2312"/>
          <w:sz w:val="32"/>
          <w:szCs w:val="32"/>
          <w:lang w:val="en-US" w:eastAsia="zh-CN"/>
        </w:rPr>
        <w:t>（二）存在虐待、欺诈老年人等情形，构成犯罪的；</w:t>
      </w:r>
    </w:p>
    <w:p w14:paraId="28E0BA12">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sz w:val="32"/>
          <w:szCs w:val="32"/>
          <w:lang w:val="en-US" w:eastAsia="zh-CN"/>
        </w:rPr>
      </w:pPr>
      <w:r>
        <w:rPr>
          <w:rFonts w:hint="default" w:ascii="仿宋_GB2312" w:hAnsi="仿宋_GB2312" w:eastAsia="仿宋_GB2312" w:cs="仿宋_GB2312"/>
          <w:sz w:val="32"/>
          <w:szCs w:val="32"/>
          <w:lang w:val="en-US" w:eastAsia="zh-CN"/>
        </w:rPr>
        <w:t>（三）经有权机关认定，对发生亡人安全事故负有主要责任的；</w:t>
      </w:r>
    </w:p>
    <w:p w14:paraId="3595D693">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sz w:val="32"/>
          <w:szCs w:val="32"/>
          <w:lang w:val="en-US" w:eastAsia="zh-CN"/>
        </w:rPr>
      </w:pPr>
      <w:r>
        <w:rPr>
          <w:rFonts w:hint="default" w:ascii="仿宋_GB2312" w:hAnsi="仿宋_GB2312" w:eastAsia="仿宋_GB2312" w:cs="仿宋_GB2312"/>
          <w:sz w:val="32"/>
          <w:szCs w:val="32"/>
          <w:lang w:val="en-US" w:eastAsia="zh-CN"/>
        </w:rPr>
        <w:t>（四）被列入失信联合惩戒对象名单或被人民法院认定为失信被执行人的。</w:t>
      </w:r>
    </w:p>
    <w:p w14:paraId="42C70009">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仿宋_GB2312" w:hAnsi="仿宋_GB2312" w:eastAsia="仿宋_GB2312" w:cs="仿宋_GB2312"/>
          <w:sz w:val="32"/>
          <w:szCs w:val="32"/>
          <w:lang w:val="en-US" w:eastAsia="zh-CN"/>
        </w:rPr>
      </w:pPr>
    </w:p>
    <w:p w14:paraId="615061A7">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黑体" w:hAnsi="黑体" w:eastAsia="黑体" w:cs="黑体"/>
          <w:sz w:val="32"/>
          <w:szCs w:val="32"/>
          <w:lang w:val="en-US" w:eastAsia="zh-CN"/>
        </w:rPr>
      </w:pPr>
      <w:r>
        <w:rPr>
          <w:rFonts w:hint="default" w:ascii="黑体" w:hAnsi="黑体" w:eastAsia="黑体" w:cs="黑体"/>
          <w:sz w:val="32"/>
          <w:szCs w:val="32"/>
          <w:lang w:val="en-US" w:eastAsia="zh-CN"/>
        </w:rPr>
        <w:t>第四章 评价结果应用</w:t>
      </w:r>
    </w:p>
    <w:p w14:paraId="5AC5E435">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第十五条 </w:t>
      </w:r>
      <w:r>
        <w:rPr>
          <w:rFonts w:hint="default" w:ascii="仿宋_GB2312" w:hAnsi="仿宋_GB2312" w:eastAsia="仿宋_GB2312" w:cs="仿宋_GB2312"/>
          <w:sz w:val="32"/>
          <w:szCs w:val="32"/>
          <w:lang w:val="en-US" w:eastAsia="zh-CN"/>
        </w:rPr>
        <w:t>区</w:t>
      </w:r>
      <w:r>
        <w:rPr>
          <w:rFonts w:hint="eastAsia" w:ascii="仿宋_GB2312" w:hAnsi="仿宋_GB2312" w:eastAsia="仿宋_GB2312" w:cs="仿宋_GB2312"/>
          <w:sz w:val="32"/>
          <w:szCs w:val="32"/>
          <w:lang w:val="en-US" w:eastAsia="zh-CN"/>
        </w:rPr>
        <w:t>、镇（街道）</w:t>
      </w:r>
      <w:r>
        <w:rPr>
          <w:rFonts w:hint="default" w:ascii="仿宋_GB2312" w:hAnsi="仿宋_GB2312" w:eastAsia="仿宋_GB2312" w:cs="仿宋_GB2312"/>
          <w:sz w:val="32"/>
          <w:szCs w:val="32"/>
          <w:lang w:val="en-US" w:eastAsia="zh-CN"/>
        </w:rPr>
        <w:t>民政部门将信用评价结果作为重要参考，依法依规对不同等级的养老机构实施差异化监管。</w:t>
      </w:r>
    </w:p>
    <w:p w14:paraId="51D7A947">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仿宋_GB2312" w:hAnsi="仿宋_GB2312" w:eastAsia="仿宋_GB2312" w:cs="仿宋_GB2312"/>
          <w:sz w:val="32"/>
          <w:szCs w:val="32"/>
          <w:lang w:val="en-US" w:eastAsia="zh-CN"/>
        </w:rPr>
      </w:pPr>
    </w:p>
    <w:p w14:paraId="6885E46D">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sz w:val="32"/>
          <w:szCs w:val="32"/>
          <w:lang w:val="en-US" w:eastAsia="zh-CN"/>
        </w:rPr>
      </w:pPr>
      <w:r>
        <w:rPr>
          <w:rFonts w:hint="default" w:ascii="仿宋_GB2312" w:hAnsi="仿宋_GB2312" w:eastAsia="仿宋_GB2312" w:cs="仿宋_GB2312"/>
          <w:sz w:val="32"/>
          <w:szCs w:val="32"/>
          <w:lang w:val="en-US" w:eastAsia="zh-CN"/>
        </w:rPr>
        <w:t>第十六条 对信用等级A级的养老机构，依法采取以下激励措施：</w:t>
      </w:r>
    </w:p>
    <w:p w14:paraId="5B4627CE">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sz w:val="32"/>
          <w:szCs w:val="32"/>
          <w:lang w:val="en-US" w:eastAsia="zh-CN"/>
        </w:rPr>
      </w:pPr>
      <w:r>
        <w:rPr>
          <w:rFonts w:hint="default" w:ascii="仿宋_GB2312" w:hAnsi="仿宋_GB2312" w:eastAsia="仿宋_GB2312" w:cs="仿宋_GB2312"/>
          <w:sz w:val="32"/>
          <w:szCs w:val="32"/>
          <w:lang w:val="en-US" w:eastAsia="zh-CN"/>
        </w:rPr>
        <w:t>（一）当年不列入民政部门牵头组织的“双随机、一公开”执法检查范围，并将其他</w:t>
      </w:r>
      <w:r>
        <w:rPr>
          <w:rFonts w:hint="eastAsia" w:ascii="仿宋_GB2312" w:hAnsi="仿宋_GB2312" w:eastAsia="仿宋_GB2312" w:cs="仿宋_GB2312"/>
          <w:sz w:val="32"/>
          <w:szCs w:val="32"/>
          <w:lang w:val="en-US" w:eastAsia="zh-CN"/>
        </w:rPr>
        <w:t>日常</w:t>
      </w:r>
      <w:r>
        <w:rPr>
          <w:rFonts w:hint="default" w:ascii="仿宋_GB2312" w:hAnsi="仿宋_GB2312" w:eastAsia="仿宋_GB2312" w:cs="仿宋_GB2312"/>
          <w:sz w:val="32"/>
          <w:szCs w:val="32"/>
          <w:lang w:val="en-US" w:eastAsia="zh-CN"/>
        </w:rPr>
        <w:t>检查比例降低为正常比例的50%及以下；</w:t>
      </w:r>
    </w:p>
    <w:p w14:paraId="09F5A3B2">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sz w:val="32"/>
          <w:szCs w:val="32"/>
          <w:lang w:val="en-US" w:eastAsia="zh-CN"/>
        </w:rPr>
      </w:pPr>
      <w:r>
        <w:rPr>
          <w:rFonts w:hint="default" w:ascii="仿宋_GB2312" w:hAnsi="仿宋_GB2312" w:eastAsia="仿宋_GB2312" w:cs="仿宋_GB2312"/>
          <w:sz w:val="32"/>
          <w:szCs w:val="32"/>
          <w:lang w:val="en-US" w:eastAsia="zh-CN"/>
        </w:rPr>
        <w:t>（二）在财政性资金和项目支持中，同等条件下优先支持；</w:t>
      </w:r>
    </w:p>
    <w:p w14:paraId="22659006">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sz w:val="32"/>
          <w:szCs w:val="32"/>
          <w:lang w:val="en-US" w:eastAsia="zh-CN"/>
        </w:rPr>
      </w:pPr>
      <w:r>
        <w:rPr>
          <w:rFonts w:hint="default" w:ascii="仿宋_GB2312" w:hAnsi="仿宋_GB2312" w:eastAsia="仿宋_GB2312" w:cs="仿宋_GB2312"/>
          <w:sz w:val="32"/>
          <w:szCs w:val="32"/>
          <w:lang w:val="en-US" w:eastAsia="zh-CN"/>
        </w:rPr>
        <w:t>（三）在各级开展的评比表彰活动中，同等条件下优先推荐；</w:t>
      </w:r>
    </w:p>
    <w:p w14:paraId="680EDA75">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sz w:val="32"/>
          <w:szCs w:val="32"/>
          <w:lang w:val="en-US" w:eastAsia="zh-CN"/>
        </w:rPr>
      </w:pPr>
      <w:r>
        <w:rPr>
          <w:rFonts w:hint="default" w:ascii="仿宋_GB2312" w:hAnsi="仿宋_GB2312" w:eastAsia="仿宋_GB2312" w:cs="仿宋_GB2312"/>
          <w:sz w:val="32"/>
          <w:szCs w:val="32"/>
          <w:lang w:val="en-US" w:eastAsia="zh-CN"/>
        </w:rPr>
        <w:t>（四）其他法律法规、政策文件允许采取的激励措施。</w:t>
      </w:r>
    </w:p>
    <w:p w14:paraId="39F5199B">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仿宋_GB2312" w:hAnsi="仿宋_GB2312" w:eastAsia="仿宋_GB2312" w:cs="仿宋_GB2312"/>
          <w:sz w:val="32"/>
          <w:szCs w:val="32"/>
          <w:lang w:val="en-US" w:eastAsia="zh-CN"/>
        </w:rPr>
      </w:pPr>
    </w:p>
    <w:p w14:paraId="5F0996CA">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sz w:val="32"/>
          <w:szCs w:val="32"/>
          <w:lang w:val="en-US" w:eastAsia="zh-CN"/>
        </w:rPr>
      </w:pPr>
      <w:r>
        <w:rPr>
          <w:rFonts w:hint="default" w:ascii="仿宋_GB2312" w:hAnsi="仿宋_GB2312" w:eastAsia="仿宋_GB2312" w:cs="仿宋_GB2312"/>
          <w:sz w:val="32"/>
          <w:szCs w:val="32"/>
          <w:lang w:val="en-US" w:eastAsia="zh-CN"/>
        </w:rPr>
        <w:t>第十七条 对信用等级B级的养老机构，实施正常管理。</w:t>
      </w:r>
    </w:p>
    <w:p w14:paraId="5D65F1CD">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仿宋_GB2312" w:hAnsi="仿宋_GB2312" w:eastAsia="仿宋_GB2312" w:cs="仿宋_GB2312"/>
          <w:sz w:val="32"/>
          <w:szCs w:val="32"/>
          <w:lang w:val="en-US" w:eastAsia="zh-CN"/>
        </w:rPr>
      </w:pPr>
    </w:p>
    <w:p w14:paraId="0E0CABBB">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sz w:val="32"/>
          <w:szCs w:val="32"/>
          <w:lang w:val="en-US" w:eastAsia="zh-CN"/>
        </w:rPr>
      </w:pPr>
      <w:r>
        <w:rPr>
          <w:rFonts w:hint="default" w:ascii="仿宋_GB2312" w:hAnsi="仿宋_GB2312" w:eastAsia="仿宋_GB2312" w:cs="仿宋_GB2312"/>
          <w:sz w:val="32"/>
          <w:szCs w:val="32"/>
          <w:lang w:val="en-US" w:eastAsia="zh-CN"/>
        </w:rPr>
        <w:t>第十八条 对信用等级C级的养老机构，实施下列管理措施：</w:t>
      </w:r>
    </w:p>
    <w:p w14:paraId="0C72F4DB">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sz w:val="32"/>
          <w:szCs w:val="32"/>
          <w:lang w:val="en-US" w:eastAsia="zh-CN"/>
        </w:rPr>
      </w:pPr>
      <w:r>
        <w:rPr>
          <w:rFonts w:hint="default" w:ascii="仿宋_GB2312" w:hAnsi="仿宋_GB2312" w:eastAsia="仿宋_GB2312" w:cs="仿宋_GB2312"/>
          <w:sz w:val="32"/>
          <w:szCs w:val="32"/>
          <w:lang w:val="en-US" w:eastAsia="zh-CN"/>
        </w:rPr>
        <w:t>（一）列入当年民政部门牵头组织的“双随机、一公开”</w:t>
      </w:r>
      <w:r>
        <w:rPr>
          <w:rFonts w:hint="eastAsia" w:ascii="仿宋_GB2312" w:hAnsi="仿宋_GB2312" w:eastAsia="仿宋_GB2312" w:cs="仿宋_GB2312"/>
          <w:sz w:val="32"/>
          <w:szCs w:val="32"/>
          <w:lang w:val="en-US" w:eastAsia="zh-CN"/>
        </w:rPr>
        <w:t>抽查</w:t>
      </w:r>
      <w:r>
        <w:rPr>
          <w:rFonts w:hint="default" w:ascii="仿宋_GB2312" w:hAnsi="仿宋_GB2312" w:eastAsia="仿宋_GB2312" w:cs="仿宋_GB2312"/>
          <w:sz w:val="32"/>
          <w:szCs w:val="32"/>
          <w:lang w:val="en-US" w:eastAsia="zh-CN"/>
        </w:rPr>
        <w:t>范围，并适当提高其他</w:t>
      </w:r>
      <w:r>
        <w:rPr>
          <w:rFonts w:hint="eastAsia" w:ascii="仿宋_GB2312" w:hAnsi="仿宋_GB2312" w:eastAsia="仿宋_GB2312" w:cs="仿宋_GB2312"/>
          <w:sz w:val="32"/>
          <w:szCs w:val="32"/>
          <w:lang w:val="en-US" w:eastAsia="zh-CN"/>
        </w:rPr>
        <w:t>日常</w:t>
      </w:r>
      <w:r>
        <w:rPr>
          <w:rFonts w:hint="default" w:ascii="仿宋_GB2312" w:hAnsi="仿宋_GB2312" w:eastAsia="仿宋_GB2312" w:cs="仿宋_GB2312"/>
          <w:sz w:val="32"/>
          <w:szCs w:val="32"/>
          <w:lang w:val="en-US" w:eastAsia="zh-CN"/>
        </w:rPr>
        <w:t>检查比例和频次；</w:t>
      </w:r>
    </w:p>
    <w:p w14:paraId="7574B159">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sz w:val="32"/>
          <w:szCs w:val="32"/>
          <w:lang w:val="en-US" w:eastAsia="zh-CN"/>
        </w:rPr>
      </w:pPr>
      <w:r>
        <w:rPr>
          <w:rFonts w:hint="default" w:ascii="仿宋_GB2312" w:hAnsi="仿宋_GB2312" w:eastAsia="仿宋_GB2312" w:cs="仿宋_GB2312"/>
          <w:sz w:val="32"/>
          <w:szCs w:val="32"/>
          <w:lang w:val="en-US" w:eastAsia="zh-CN"/>
        </w:rPr>
        <w:t>（二）加强行政指导，督促其修复信用，守法经营；</w:t>
      </w:r>
    </w:p>
    <w:p w14:paraId="39F00BF7">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sz w:val="32"/>
          <w:szCs w:val="32"/>
          <w:lang w:val="en-US" w:eastAsia="zh-CN"/>
        </w:rPr>
      </w:pPr>
      <w:r>
        <w:rPr>
          <w:rFonts w:hint="default"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lang w:val="en-US" w:eastAsia="zh-CN"/>
        </w:rPr>
        <w:t>三</w:t>
      </w:r>
      <w:r>
        <w:rPr>
          <w:rFonts w:hint="default" w:ascii="仿宋_GB2312" w:hAnsi="仿宋_GB2312" w:eastAsia="仿宋_GB2312" w:cs="仿宋_GB2312"/>
          <w:sz w:val="32"/>
          <w:szCs w:val="32"/>
          <w:lang w:val="en-US" w:eastAsia="zh-CN"/>
        </w:rPr>
        <w:t>）其他可依法采取的管理措施。</w:t>
      </w:r>
    </w:p>
    <w:p w14:paraId="734190D8">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仿宋_GB2312" w:hAnsi="仿宋_GB2312" w:eastAsia="仿宋_GB2312" w:cs="仿宋_GB2312"/>
          <w:sz w:val="32"/>
          <w:szCs w:val="32"/>
          <w:lang w:val="en-US" w:eastAsia="zh-CN"/>
        </w:rPr>
      </w:pPr>
    </w:p>
    <w:p w14:paraId="42416466">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sz w:val="32"/>
          <w:szCs w:val="32"/>
          <w:lang w:val="en-US" w:eastAsia="zh-CN"/>
        </w:rPr>
      </w:pPr>
      <w:r>
        <w:rPr>
          <w:rFonts w:hint="default" w:ascii="仿宋_GB2312" w:hAnsi="仿宋_GB2312" w:eastAsia="仿宋_GB2312" w:cs="仿宋_GB2312"/>
          <w:sz w:val="32"/>
          <w:szCs w:val="32"/>
          <w:lang w:val="en-US" w:eastAsia="zh-CN"/>
        </w:rPr>
        <w:t>第十九条 对信用等级D级的养老机构，实施下列管理措施：</w:t>
      </w:r>
    </w:p>
    <w:p w14:paraId="635B1C38">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sz w:val="32"/>
          <w:szCs w:val="32"/>
          <w:lang w:val="en-US" w:eastAsia="zh-CN"/>
        </w:rPr>
      </w:pPr>
      <w:r>
        <w:rPr>
          <w:rFonts w:hint="default" w:ascii="仿宋_GB2312" w:hAnsi="仿宋_GB2312" w:eastAsia="仿宋_GB2312" w:cs="仿宋_GB2312"/>
          <w:sz w:val="32"/>
          <w:szCs w:val="32"/>
          <w:lang w:val="en-US" w:eastAsia="zh-CN"/>
        </w:rPr>
        <w:t>（一）列入当年民政部门牵头组织的“双随机、一公开”</w:t>
      </w:r>
      <w:r>
        <w:rPr>
          <w:rFonts w:hint="eastAsia" w:ascii="仿宋_GB2312" w:hAnsi="仿宋_GB2312" w:eastAsia="仿宋_GB2312" w:cs="仿宋_GB2312"/>
          <w:sz w:val="32"/>
          <w:szCs w:val="32"/>
          <w:lang w:val="en-US" w:eastAsia="zh-CN"/>
        </w:rPr>
        <w:t>抽查</w:t>
      </w:r>
      <w:r>
        <w:rPr>
          <w:rFonts w:hint="default" w:ascii="仿宋_GB2312" w:hAnsi="仿宋_GB2312" w:eastAsia="仿宋_GB2312" w:cs="仿宋_GB2312"/>
          <w:sz w:val="32"/>
          <w:szCs w:val="32"/>
          <w:lang w:val="en-US" w:eastAsia="zh-CN"/>
        </w:rPr>
        <w:t>范围，提高其他</w:t>
      </w:r>
      <w:r>
        <w:rPr>
          <w:rFonts w:hint="eastAsia" w:ascii="仿宋_GB2312" w:hAnsi="仿宋_GB2312" w:eastAsia="仿宋_GB2312" w:cs="仿宋_GB2312"/>
          <w:sz w:val="32"/>
          <w:szCs w:val="32"/>
          <w:lang w:val="en-US" w:eastAsia="zh-CN"/>
        </w:rPr>
        <w:t>日常</w:t>
      </w:r>
      <w:r>
        <w:rPr>
          <w:rFonts w:hint="default" w:ascii="仿宋_GB2312" w:hAnsi="仿宋_GB2312" w:eastAsia="仿宋_GB2312" w:cs="仿宋_GB2312"/>
          <w:sz w:val="32"/>
          <w:szCs w:val="32"/>
          <w:lang w:val="en-US" w:eastAsia="zh-CN"/>
        </w:rPr>
        <w:t>检查比例和频次，对法定代表人、主要负责人进行约谈；</w:t>
      </w:r>
    </w:p>
    <w:p w14:paraId="3BD04046">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sz w:val="32"/>
          <w:szCs w:val="32"/>
          <w:lang w:val="en-US" w:eastAsia="zh-CN"/>
        </w:rPr>
      </w:pPr>
      <w:r>
        <w:rPr>
          <w:rFonts w:hint="default" w:ascii="仿宋_GB2312" w:hAnsi="仿宋_GB2312" w:eastAsia="仿宋_GB2312" w:cs="仿宋_GB2312"/>
          <w:sz w:val="32"/>
          <w:szCs w:val="32"/>
          <w:lang w:val="en-US" w:eastAsia="zh-CN"/>
        </w:rPr>
        <w:t>（二）在各项专项治理中列为重点关注对象；</w:t>
      </w:r>
    </w:p>
    <w:p w14:paraId="2C7E3567">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sz w:val="32"/>
          <w:szCs w:val="32"/>
          <w:lang w:val="en-US" w:eastAsia="zh-CN"/>
        </w:rPr>
      </w:pPr>
      <w:r>
        <w:rPr>
          <w:rFonts w:hint="default"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lang w:val="en-US" w:eastAsia="zh-CN"/>
        </w:rPr>
        <w:t>三</w:t>
      </w:r>
      <w:r>
        <w:rPr>
          <w:rFonts w:hint="default" w:ascii="仿宋_GB2312" w:hAnsi="仿宋_GB2312" w:eastAsia="仿宋_GB2312" w:cs="仿宋_GB2312"/>
          <w:sz w:val="32"/>
          <w:szCs w:val="32"/>
          <w:lang w:val="en-US" w:eastAsia="zh-CN"/>
        </w:rPr>
        <w:t>）在必要时，应依法依规与相关部门采取联合惩戒措施；</w:t>
      </w:r>
    </w:p>
    <w:p w14:paraId="5DB2714C">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sz w:val="32"/>
          <w:szCs w:val="32"/>
          <w:lang w:val="en-US" w:eastAsia="zh-CN"/>
        </w:rPr>
      </w:pPr>
      <w:r>
        <w:rPr>
          <w:rFonts w:hint="default"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lang w:val="en-US" w:eastAsia="zh-CN"/>
        </w:rPr>
        <w:t>四</w:t>
      </w:r>
      <w:r>
        <w:rPr>
          <w:rFonts w:hint="default" w:ascii="仿宋_GB2312" w:hAnsi="仿宋_GB2312" w:eastAsia="仿宋_GB2312" w:cs="仿宋_GB2312"/>
          <w:sz w:val="32"/>
          <w:szCs w:val="32"/>
          <w:lang w:val="en-US" w:eastAsia="zh-CN"/>
        </w:rPr>
        <w:t>）其他可依法采取的管理措施。</w:t>
      </w:r>
    </w:p>
    <w:p w14:paraId="745D215B">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仿宋_GB2312" w:hAnsi="仿宋_GB2312" w:eastAsia="仿宋_GB2312" w:cs="仿宋_GB2312"/>
          <w:sz w:val="32"/>
          <w:szCs w:val="32"/>
          <w:lang w:val="en-US" w:eastAsia="zh-CN"/>
        </w:rPr>
      </w:pPr>
    </w:p>
    <w:p w14:paraId="7EF631D4">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sz w:val="32"/>
          <w:szCs w:val="32"/>
          <w:lang w:val="en-US" w:eastAsia="zh-CN"/>
        </w:rPr>
      </w:pPr>
      <w:r>
        <w:rPr>
          <w:rFonts w:hint="default" w:ascii="仿宋_GB2312" w:hAnsi="仿宋_GB2312" w:eastAsia="仿宋_GB2312" w:cs="仿宋_GB2312"/>
          <w:sz w:val="32"/>
          <w:szCs w:val="32"/>
          <w:lang w:val="en-US" w:eastAsia="zh-CN"/>
        </w:rPr>
        <w:t>第二十条 养老机构信用等级被评为C级、D级的，经积极纠正不良行为、履行相关义务并经原信用信息部门确认后，在系统内向</w:t>
      </w:r>
      <w:r>
        <w:rPr>
          <w:rFonts w:hint="eastAsia" w:ascii="仿宋_GB2312" w:hAnsi="仿宋_GB2312" w:eastAsia="仿宋_GB2312" w:cs="仿宋_GB2312"/>
          <w:sz w:val="32"/>
          <w:szCs w:val="32"/>
          <w:lang w:val="en-US" w:eastAsia="zh-CN"/>
        </w:rPr>
        <w:t>区</w:t>
      </w:r>
      <w:r>
        <w:rPr>
          <w:rFonts w:hint="default" w:ascii="仿宋_GB2312" w:hAnsi="仿宋_GB2312" w:eastAsia="仿宋_GB2312" w:cs="仿宋_GB2312"/>
          <w:sz w:val="32"/>
          <w:szCs w:val="32"/>
          <w:lang w:val="en-US" w:eastAsia="zh-CN"/>
        </w:rPr>
        <w:t>民政部门提出重新进行信用评价的申请，并提供佐证材料。</w:t>
      </w:r>
    </w:p>
    <w:p w14:paraId="4CB07040">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sz w:val="32"/>
          <w:szCs w:val="32"/>
          <w:lang w:val="en-US" w:eastAsia="zh-CN"/>
        </w:rPr>
      </w:pPr>
      <w:r>
        <w:rPr>
          <w:rFonts w:hint="default" w:ascii="仿宋_GB2312" w:hAnsi="仿宋_GB2312" w:eastAsia="仿宋_GB2312" w:cs="仿宋_GB2312"/>
          <w:sz w:val="32"/>
          <w:szCs w:val="32"/>
          <w:lang w:val="en-US" w:eastAsia="zh-CN"/>
        </w:rPr>
        <w:t>民政部门应根据材料审核、现场确认等情况，在15个工作日内确定是否重新进行信用评价；确定重新进行信用评价的，应在7个工作日内重新进行评价；不予重新评定的，应当告知理由。养老机构信用等级被评为D级的，重新进行信用评价不得评为A级。</w:t>
      </w:r>
    </w:p>
    <w:p w14:paraId="1B6BF625">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sz w:val="32"/>
          <w:szCs w:val="32"/>
          <w:lang w:val="en-US" w:eastAsia="zh-CN"/>
        </w:rPr>
      </w:pPr>
      <w:r>
        <w:rPr>
          <w:rFonts w:hint="default" w:ascii="仿宋_GB2312" w:hAnsi="仿宋_GB2312" w:eastAsia="仿宋_GB2312" w:cs="仿宋_GB2312"/>
          <w:sz w:val="32"/>
          <w:szCs w:val="32"/>
          <w:lang w:val="en-US" w:eastAsia="zh-CN"/>
        </w:rPr>
        <w:t>养老机构失信信息信用修复按照国家和省、市有关规定执行。</w:t>
      </w:r>
    </w:p>
    <w:p w14:paraId="7E8B677E">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sz w:val="32"/>
          <w:szCs w:val="32"/>
          <w:lang w:val="en-US" w:eastAsia="zh-CN"/>
        </w:rPr>
      </w:pPr>
    </w:p>
    <w:p w14:paraId="66F4CC58">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sz w:val="32"/>
          <w:szCs w:val="32"/>
          <w:lang w:val="en-US" w:eastAsia="zh-CN"/>
        </w:rPr>
      </w:pPr>
      <w:r>
        <w:rPr>
          <w:rFonts w:hint="default" w:ascii="仿宋_GB2312" w:hAnsi="仿宋_GB2312" w:eastAsia="仿宋_GB2312" w:cs="仿宋_GB2312"/>
          <w:sz w:val="32"/>
          <w:szCs w:val="32"/>
          <w:lang w:val="en-US" w:eastAsia="zh-CN"/>
        </w:rPr>
        <w:t>第二十一条 对于未列入评价范围的养老机构，参照B级养老机构实施管理，待满足评价条件后纳入评价。</w:t>
      </w:r>
    </w:p>
    <w:p w14:paraId="4EF0DFFD">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sz w:val="32"/>
          <w:szCs w:val="32"/>
          <w:lang w:val="en-US" w:eastAsia="zh-CN"/>
        </w:rPr>
      </w:pPr>
    </w:p>
    <w:p w14:paraId="6D8159A7">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sz w:val="32"/>
          <w:szCs w:val="32"/>
          <w:lang w:val="en-US" w:eastAsia="zh-CN"/>
        </w:rPr>
      </w:pPr>
      <w:r>
        <w:rPr>
          <w:rFonts w:hint="default" w:ascii="仿宋_GB2312" w:hAnsi="仿宋_GB2312" w:eastAsia="仿宋_GB2312" w:cs="仿宋_GB2312"/>
          <w:sz w:val="32"/>
          <w:szCs w:val="32"/>
          <w:lang w:val="en-US" w:eastAsia="zh-CN"/>
        </w:rPr>
        <w:t>第二十二条 鼓励养老服务领域行业协会加强行业信用管理建设，依照章程对失信会员采取业内警告、降低会员级别、取消会员资格等措施。</w:t>
      </w:r>
    </w:p>
    <w:p w14:paraId="62819D85">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sz w:val="32"/>
          <w:szCs w:val="32"/>
          <w:lang w:val="en-US" w:eastAsia="zh-CN"/>
        </w:rPr>
      </w:pPr>
    </w:p>
    <w:p w14:paraId="497E9202">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第五章 附 则</w:t>
      </w:r>
    </w:p>
    <w:p w14:paraId="71EE9BAA">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sz w:val="32"/>
          <w:szCs w:val="32"/>
          <w:lang w:val="en-US" w:eastAsia="zh-CN"/>
        </w:rPr>
      </w:pPr>
      <w:r>
        <w:rPr>
          <w:rFonts w:hint="default" w:ascii="仿宋_GB2312" w:hAnsi="仿宋_GB2312" w:eastAsia="仿宋_GB2312" w:cs="仿宋_GB2312"/>
          <w:sz w:val="32"/>
          <w:szCs w:val="32"/>
          <w:lang w:val="en-US" w:eastAsia="zh-CN"/>
        </w:rPr>
        <w:t>第二十三条 民政部门工作人员在开展养老机构信用等级评定中滥用职权、徇私舞弊、玩忽职守的，视其情节轻重给与批评教育或者行政处分，构成犯罪的，依法追究刑事责任。</w:t>
      </w:r>
    </w:p>
    <w:p w14:paraId="440AAEEB">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sz w:val="32"/>
          <w:szCs w:val="32"/>
          <w:lang w:val="en-US" w:eastAsia="zh-CN"/>
        </w:rPr>
      </w:pPr>
    </w:p>
    <w:p w14:paraId="7FDF21D1">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sz w:val="32"/>
          <w:szCs w:val="32"/>
          <w:lang w:val="en-US" w:eastAsia="zh-CN"/>
        </w:rPr>
      </w:pPr>
      <w:r>
        <w:rPr>
          <w:rFonts w:hint="default" w:ascii="仿宋_GB2312" w:hAnsi="仿宋_GB2312" w:eastAsia="仿宋_GB2312" w:cs="仿宋_GB2312"/>
          <w:sz w:val="32"/>
          <w:szCs w:val="32"/>
          <w:lang w:val="en-US" w:eastAsia="zh-CN"/>
        </w:rPr>
        <w:t>第二十四条 本办法由</w:t>
      </w:r>
      <w:r>
        <w:rPr>
          <w:rFonts w:hint="eastAsia" w:ascii="仿宋_GB2312" w:hAnsi="仿宋_GB2312" w:eastAsia="仿宋_GB2312" w:cs="仿宋_GB2312"/>
          <w:sz w:val="32"/>
          <w:szCs w:val="32"/>
          <w:lang w:val="en-US" w:eastAsia="zh-CN"/>
        </w:rPr>
        <w:t>南海区</w:t>
      </w:r>
      <w:r>
        <w:rPr>
          <w:rFonts w:hint="default" w:ascii="仿宋_GB2312" w:hAnsi="仿宋_GB2312" w:eastAsia="仿宋_GB2312" w:cs="仿宋_GB2312"/>
          <w:sz w:val="32"/>
          <w:szCs w:val="32"/>
          <w:lang w:val="en-US" w:eastAsia="zh-CN"/>
        </w:rPr>
        <w:t>民政局负责解释。</w:t>
      </w:r>
    </w:p>
    <w:p w14:paraId="42225F9C">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sz w:val="32"/>
          <w:szCs w:val="32"/>
          <w:lang w:val="en-US" w:eastAsia="zh-CN"/>
        </w:rPr>
      </w:pPr>
    </w:p>
    <w:p w14:paraId="3687EA17">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sz w:val="32"/>
          <w:szCs w:val="32"/>
          <w:lang w:val="en-US" w:eastAsia="zh-CN"/>
        </w:rPr>
      </w:pPr>
      <w:r>
        <w:rPr>
          <w:rFonts w:hint="default" w:ascii="仿宋_GB2312" w:hAnsi="仿宋_GB2312" w:eastAsia="仿宋_GB2312" w:cs="仿宋_GB2312"/>
          <w:sz w:val="32"/>
          <w:szCs w:val="32"/>
          <w:lang w:val="en-US" w:eastAsia="zh-CN"/>
        </w:rPr>
        <w:t>第二十五条 本办法自202</w:t>
      </w:r>
      <w:r>
        <w:rPr>
          <w:rFonts w:hint="eastAsia" w:ascii="仿宋_GB2312" w:hAnsi="仿宋_GB2312" w:eastAsia="仿宋_GB2312" w:cs="仿宋_GB2312"/>
          <w:sz w:val="32"/>
          <w:szCs w:val="32"/>
          <w:lang w:val="en-US" w:eastAsia="zh-CN"/>
        </w:rPr>
        <w:t>6</w:t>
      </w:r>
      <w:r>
        <w:rPr>
          <w:rFonts w:hint="default" w:ascii="仿宋_GB2312" w:hAnsi="仿宋_GB2312" w:eastAsia="仿宋_GB2312" w:cs="仿宋_GB2312"/>
          <w:sz w:val="32"/>
          <w:szCs w:val="32"/>
          <w:lang w:val="en-US" w:eastAsia="zh-CN"/>
        </w:rPr>
        <w:t>年</w:t>
      </w:r>
      <w:r>
        <w:rPr>
          <w:rFonts w:hint="eastAsia" w:ascii="仿宋_GB2312" w:hAnsi="仿宋_GB2312" w:eastAsia="仿宋_GB2312" w:cs="仿宋_GB2312"/>
          <w:sz w:val="32"/>
          <w:szCs w:val="32"/>
          <w:lang w:val="en-US" w:eastAsia="zh-CN"/>
        </w:rPr>
        <w:t xml:space="preserve">  </w:t>
      </w:r>
      <w:r>
        <w:rPr>
          <w:rFonts w:hint="default" w:ascii="仿宋_GB2312" w:hAnsi="仿宋_GB2312" w:eastAsia="仿宋_GB2312" w:cs="仿宋_GB2312"/>
          <w:sz w:val="32"/>
          <w:szCs w:val="32"/>
          <w:lang w:val="en-US" w:eastAsia="zh-CN"/>
        </w:rPr>
        <w:t>月</w:t>
      </w:r>
      <w:r>
        <w:rPr>
          <w:rFonts w:hint="eastAsia" w:ascii="仿宋_GB2312" w:hAnsi="仿宋_GB2312" w:eastAsia="仿宋_GB2312" w:cs="仿宋_GB2312"/>
          <w:sz w:val="32"/>
          <w:szCs w:val="32"/>
          <w:lang w:val="en-US" w:eastAsia="zh-CN"/>
        </w:rPr>
        <w:t xml:space="preserve">  </w:t>
      </w:r>
      <w:r>
        <w:rPr>
          <w:rFonts w:hint="default" w:ascii="仿宋_GB2312" w:hAnsi="仿宋_GB2312" w:eastAsia="仿宋_GB2312" w:cs="仿宋_GB2312"/>
          <w:sz w:val="32"/>
          <w:szCs w:val="32"/>
          <w:lang w:val="en-US" w:eastAsia="zh-CN"/>
        </w:rPr>
        <w:t>日起施行</w:t>
      </w:r>
      <w:r>
        <w:rPr>
          <w:rFonts w:hint="eastAsia" w:ascii="仿宋_GB2312" w:hAnsi="仿宋_GB2312" w:eastAsia="仿宋_GB2312" w:cs="仿宋_GB2312"/>
          <w:color w:val="auto"/>
          <w:sz w:val="32"/>
          <w:szCs w:val="32"/>
          <w:highlight w:val="none"/>
          <w:lang w:val="en-US" w:eastAsia="zh-CN"/>
        </w:rPr>
        <w:t>，有效期5年。</w:t>
      </w:r>
    </w:p>
    <w:p w14:paraId="32F12AEA">
      <w:pPr>
        <w:keepNext w:val="0"/>
        <w:keepLines w:val="0"/>
        <w:pageBreakBefore w:val="0"/>
        <w:widowControl w:val="0"/>
        <w:kinsoku/>
        <w:wordWrap/>
        <w:overflowPunct/>
        <w:topLinePunct w:val="0"/>
        <w:autoSpaceDE/>
        <w:autoSpaceDN/>
        <w:bidi w:val="0"/>
        <w:adjustRightInd/>
        <w:snapToGrid/>
        <w:ind w:firstLine="640" w:firstLineChars="200"/>
        <w:jc w:val="both"/>
        <w:textAlignment w:val="auto"/>
        <w:rPr>
          <w:rFonts w:hint="default" w:ascii="仿宋_GB2312" w:hAnsi="仿宋_GB2312" w:eastAsia="仿宋_GB2312" w:cs="仿宋_GB2312"/>
          <w:sz w:val="32"/>
          <w:szCs w:val="32"/>
          <w:lang w:val="en-US" w:eastAsia="zh-CN"/>
        </w:rPr>
      </w:pPr>
    </w:p>
    <w:p w14:paraId="3FD54429">
      <w:pPr>
        <w:keepNext w:val="0"/>
        <w:keepLines w:val="0"/>
        <w:pageBreakBefore w:val="0"/>
        <w:widowControl w:val="0"/>
        <w:kinsoku/>
        <w:wordWrap/>
        <w:overflowPunct/>
        <w:topLinePunct w:val="0"/>
        <w:autoSpaceDE/>
        <w:autoSpaceDN/>
        <w:bidi w:val="0"/>
        <w:adjustRightInd/>
        <w:snapToGrid/>
        <w:ind w:firstLine="640" w:firstLineChars="200"/>
        <w:jc w:val="both"/>
        <w:textAlignment w:val="auto"/>
        <w:rPr>
          <w:rFonts w:hint="default" w:ascii="仿宋_GB2312" w:hAnsi="仿宋_GB2312" w:eastAsia="仿宋_GB2312" w:cs="仿宋_GB2312"/>
          <w:sz w:val="32"/>
          <w:szCs w:val="32"/>
          <w:lang w:val="en-US" w:eastAsia="zh-CN"/>
        </w:rPr>
        <w:sectPr>
          <w:footerReference r:id="rId3" w:type="default"/>
          <w:footerReference r:id="rId4" w:type="even"/>
          <w:pgSz w:w="11906" w:h="16838"/>
          <w:pgMar w:top="2098" w:right="1474" w:bottom="1984" w:left="1587" w:header="851" w:footer="992" w:gutter="0"/>
          <w:cols w:space="425" w:num="1"/>
          <w:docGrid w:type="lines" w:linePitch="312" w:charSpace="0"/>
        </w:sectPr>
      </w:pPr>
    </w:p>
    <w:p w14:paraId="2052AA3C">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0"/>
        <w:jc w:val="both"/>
        <w:textAlignment w:val="auto"/>
        <w:rPr>
          <w:rFonts w:hint="eastAsia" w:ascii="黑体" w:hAnsi="黑体" w:eastAsia="黑体" w:cs="黑体"/>
          <w:i w:val="0"/>
          <w:iCs w:val="0"/>
          <w:caps w:val="0"/>
          <w:color w:val="333333"/>
          <w:spacing w:val="0"/>
          <w:sz w:val="32"/>
          <w:szCs w:val="32"/>
          <w:shd w:val="clear" w:fill="FFFFFF"/>
          <w:lang w:eastAsia="zh-CN"/>
        </w:rPr>
      </w:pPr>
      <w:r>
        <w:rPr>
          <w:rFonts w:hint="eastAsia" w:ascii="黑体" w:hAnsi="黑体" w:eastAsia="黑体" w:cs="黑体"/>
          <w:i w:val="0"/>
          <w:iCs w:val="0"/>
          <w:caps w:val="0"/>
          <w:color w:val="333333"/>
          <w:spacing w:val="0"/>
          <w:sz w:val="32"/>
          <w:szCs w:val="32"/>
          <w:shd w:val="clear" w:fill="FFFFFF"/>
          <w:lang w:eastAsia="zh-CN"/>
        </w:rPr>
        <w:t>附件</w:t>
      </w:r>
    </w:p>
    <w:p w14:paraId="63C0F5B7">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0"/>
        <w:jc w:val="center"/>
        <w:textAlignment w:val="auto"/>
        <w:rPr>
          <w:rFonts w:hint="eastAsia" w:ascii="方正小标宋简体" w:hAnsi="方正小标宋简体" w:eastAsia="方正小标宋简体" w:cs="方正小标宋简体"/>
          <w:i w:val="0"/>
          <w:iCs w:val="0"/>
          <w:caps w:val="0"/>
          <w:color w:val="333333"/>
          <w:spacing w:val="0"/>
          <w:sz w:val="44"/>
          <w:szCs w:val="44"/>
        </w:rPr>
      </w:pPr>
      <w:r>
        <w:rPr>
          <w:rFonts w:hint="eastAsia" w:ascii="方正小标宋简体" w:hAnsi="方正小标宋简体" w:eastAsia="方正小标宋简体" w:cs="方正小标宋简体"/>
          <w:i w:val="0"/>
          <w:iCs w:val="0"/>
          <w:caps w:val="0"/>
          <w:color w:val="333333"/>
          <w:spacing w:val="0"/>
          <w:sz w:val="44"/>
          <w:szCs w:val="44"/>
          <w:shd w:val="clear" w:fill="FFFFFF"/>
        </w:rPr>
        <w:t>南海区养老机构信用评价指标</w:t>
      </w:r>
    </w:p>
    <w:tbl>
      <w:tblPr>
        <w:tblStyle w:val="7"/>
        <w:tblW w:w="8840" w:type="dxa"/>
        <w:jc w:val="center"/>
        <w:tblBorders>
          <w:top w:val="single" w:color="000000" w:sz="6" w:space="0"/>
          <w:left w:val="single" w:color="000000" w:sz="6" w:space="0"/>
          <w:bottom w:val="single" w:color="000000" w:sz="6" w:space="0"/>
          <w:right w:val="single" w:color="000000" w:sz="6" w:space="0"/>
          <w:insideH w:val="outset" w:color="auto" w:sz="6" w:space="0"/>
          <w:insideV w:val="outset" w:color="auto" w:sz="6" w:space="0"/>
        </w:tblBorders>
        <w:shd w:val="clear" w:color="auto" w:fill="FFFFFF"/>
        <w:tblLayout w:type="autofit"/>
        <w:tblCellMar>
          <w:top w:w="0" w:type="dxa"/>
          <w:left w:w="0" w:type="dxa"/>
          <w:bottom w:w="0" w:type="dxa"/>
          <w:right w:w="0" w:type="dxa"/>
        </w:tblCellMar>
      </w:tblPr>
      <w:tblGrid>
        <w:gridCol w:w="551"/>
        <w:gridCol w:w="1121"/>
        <w:gridCol w:w="3034"/>
        <w:gridCol w:w="1087"/>
        <w:gridCol w:w="3047"/>
      </w:tblGrid>
      <w:tr w14:paraId="407A945D">
        <w:tblPrEx>
          <w:tblBorders>
            <w:top w:val="single" w:color="000000" w:sz="6" w:space="0"/>
            <w:left w:val="single" w:color="000000" w:sz="6" w:space="0"/>
            <w:bottom w:val="single" w:color="000000" w:sz="6" w:space="0"/>
            <w:right w:val="single" w:color="000000"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0" w:hRule="atLeast"/>
          <w:tblHeader/>
          <w:jc w:val="center"/>
        </w:trPr>
        <w:tc>
          <w:tcPr>
            <w:tcW w:w="551" w:type="dxa"/>
            <w:tcBorders>
              <w:top w:val="outset" w:color="auto" w:sz="6" w:space="0"/>
              <w:left w:val="outset" w:color="auto" w:sz="6" w:space="0"/>
              <w:bottom w:val="single" w:color="auto" w:sz="6" w:space="0"/>
              <w:right w:val="single" w:color="auto" w:sz="6" w:space="0"/>
            </w:tcBorders>
            <w:shd w:val="clear" w:color="auto" w:fill="FFFFFF"/>
            <w:noWrap w:val="0"/>
            <w:tcMar>
              <w:top w:w="-1" w:type="dxa"/>
              <w:left w:w="-1" w:type="dxa"/>
              <w:bottom w:w="-1" w:type="dxa"/>
              <w:right w:w="-1" w:type="dxa"/>
            </w:tcMar>
            <w:vAlign w:val="center"/>
          </w:tcPr>
          <w:p w14:paraId="2D90111C">
            <w:pPr>
              <w:pStyle w:val="6"/>
              <w:keepNext w:val="0"/>
              <w:keepLines w:val="0"/>
              <w:widowControl/>
              <w:suppressLineNumbers w:val="0"/>
              <w:pBdr>
                <w:top w:val="none" w:color="auto" w:sz="0" w:space="0"/>
                <w:left w:val="none" w:color="auto" w:sz="0" w:space="0"/>
                <w:bottom w:val="none" w:color="auto" w:sz="0" w:space="0"/>
                <w:right w:val="none" w:color="auto" w:sz="0" w:space="0"/>
              </w:pBdr>
              <w:snapToGrid w:val="0"/>
              <w:spacing w:before="0" w:beforeAutospacing="0" w:after="0" w:afterAutospacing="0"/>
              <w:ind w:left="0" w:leftChars="0" w:right="0" w:rightChars="0" w:firstLine="0" w:firstLineChars="0"/>
              <w:jc w:val="center"/>
              <w:rPr>
                <w:rFonts w:ascii="方正黑体_GBK" w:eastAsia="方正黑体_GBK"/>
                <w:b/>
                <w:bCs w:val="0"/>
                <w:i w:val="0"/>
                <w:iCs w:val="0"/>
                <w:sz w:val="22"/>
                <w:szCs w:val="21"/>
              </w:rPr>
            </w:pPr>
            <w:r>
              <w:rPr>
                <w:rFonts w:ascii="方正黑体_GBK" w:hAnsi="方正黑体_GBK" w:eastAsia="方正黑体_GBK" w:cs="方正黑体_GBK"/>
                <w:b/>
                <w:bCs w:val="0"/>
                <w:i w:val="0"/>
                <w:iCs w:val="0"/>
                <w:caps w:val="0"/>
                <w:color w:val="333333"/>
                <w:spacing w:val="0"/>
                <w:sz w:val="22"/>
                <w:szCs w:val="22"/>
              </w:rPr>
              <w:t>序号</w:t>
            </w:r>
          </w:p>
        </w:tc>
        <w:tc>
          <w:tcPr>
            <w:tcW w:w="1121" w:type="dxa"/>
            <w:tcBorders>
              <w:top w:val="outset" w:color="auto" w:sz="6" w:space="0"/>
              <w:left w:val="single" w:color="auto" w:sz="6" w:space="0"/>
              <w:bottom w:val="single" w:color="auto" w:sz="6" w:space="0"/>
              <w:right w:val="single" w:color="auto" w:sz="6" w:space="0"/>
            </w:tcBorders>
            <w:shd w:val="clear" w:color="auto" w:fill="FFFFFF"/>
            <w:noWrap w:val="0"/>
            <w:tcMar>
              <w:top w:w="-1" w:type="dxa"/>
              <w:left w:w="-1" w:type="dxa"/>
              <w:bottom w:w="-1" w:type="dxa"/>
              <w:right w:w="-1" w:type="dxa"/>
            </w:tcMar>
            <w:vAlign w:val="center"/>
          </w:tcPr>
          <w:p w14:paraId="0460F66E">
            <w:pPr>
              <w:pStyle w:val="6"/>
              <w:keepNext w:val="0"/>
              <w:keepLines w:val="0"/>
              <w:widowControl/>
              <w:suppressLineNumbers w:val="0"/>
              <w:pBdr>
                <w:top w:val="none" w:color="auto" w:sz="0" w:space="0"/>
                <w:left w:val="none" w:color="auto" w:sz="0" w:space="0"/>
                <w:bottom w:val="none" w:color="auto" w:sz="0" w:space="0"/>
                <w:right w:val="none" w:color="auto" w:sz="0" w:space="0"/>
              </w:pBdr>
              <w:snapToGrid w:val="0"/>
              <w:spacing w:before="0" w:beforeAutospacing="0" w:after="0" w:afterAutospacing="0"/>
              <w:ind w:left="0" w:leftChars="0" w:right="0" w:rightChars="0" w:firstLine="0" w:firstLineChars="0"/>
              <w:jc w:val="center"/>
              <w:rPr>
                <w:rFonts w:ascii="方正黑体_GBK" w:eastAsia="方正黑体_GBK"/>
                <w:b/>
                <w:bCs w:val="0"/>
                <w:i w:val="0"/>
                <w:iCs w:val="0"/>
                <w:sz w:val="22"/>
                <w:szCs w:val="21"/>
              </w:rPr>
            </w:pPr>
            <w:r>
              <w:rPr>
                <w:rFonts w:hint="default" w:ascii="方正黑体_GBK" w:hAnsi="方正黑体_GBK" w:eastAsia="方正黑体_GBK" w:cs="方正黑体_GBK"/>
                <w:b/>
                <w:bCs w:val="0"/>
                <w:i w:val="0"/>
                <w:iCs w:val="0"/>
                <w:caps w:val="0"/>
                <w:color w:val="333333"/>
                <w:spacing w:val="0"/>
                <w:sz w:val="22"/>
                <w:szCs w:val="22"/>
              </w:rPr>
              <w:t>一级指标</w:t>
            </w:r>
          </w:p>
        </w:tc>
        <w:tc>
          <w:tcPr>
            <w:tcW w:w="3034" w:type="dxa"/>
            <w:tcBorders>
              <w:top w:val="outset" w:color="auto" w:sz="6" w:space="0"/>
              <w:left w:val="single" w:color="auto" w:sz="6" w:space="0"/>
              <w:bottom w:val="single" w:color="auto" w:sz="6" w:space="0"/>
              <w:right w:val="single" w:color="auto" w:sz="6" w:space="0"/>
            </w:tcBorders>
            <w:shd w:val="clear" w:color="auto" w:fill="FFFFFF"/>
            <w:noWrap w:val="0"/>
            <w:tcMar>
              <w:top w:w="-1" w:type="dxa"/>
              <w:left w:w="-1" w:type="dxa"/>
              <w:bottom w:w="-1" w:type="dxa"/>
              <w:right w:w="-1" w:type="dxa"/>
            </w:tcMar>
            <w:vAlign w:val="center"/>
          </w:tcPr>
          <w:p w14:paraId="4252279E">
            <w:pPr>
              <w:pStyle w:val="6"/>
              <w:keepNext w:val="0"/>
              <w:keepLines w:val="0"/>
              <w:widowControl/>
              <w:suppressLineNumbers w:val="0"/>
              <w:pBdr>
                <w:top w:val="none" w:color="auto" w:sz="0" w:space="0"/>
                <w:left w:val="none" w:color="auto" w:sz="0" w:space="0"/>
                <w:bottom w:val="none" w:color="auto" w:sz="0" w:space="0"/>
                <w:right w:val="none" w:color="auto" w:sz="0" w:space="0"/>
              </w:pBdr>
              <w:snapToGrid w:val="0"/>
              <w:spacing w:before="0" w:beforeAutospacing="0" w:after="0" w:afterAutospacing="0"/>
              <w:ind w:left="0" w:leftChars="0" w:right="0" w:rightChars="0" w:firstLine="0" w:firstLineChars="0"/>
              <w:jc w:val="center"/>
              <w:rPr>
                <w:rFonts w:ascii="方正黑体_GBK" w:eastAsia="方正黑体_GBK"/>
                <w:b/>
                <w:bCs w:val="0"/>
                <w:i w:val="0"/>
                <w:iCs w:val="0"/>
                <w:sz w:val="22"/>
                <w:szCs w:val="21"/>
              </w:rPr>
            </w:pPr>
            <w:r>
              <w:rPr>
                <w:rFonts w:hint="eastAsia" w:ascii="方正黑体_GBK" w:hAnsi="方正黑体_GBK" w:eastAsia="方正黑体_GBK" w:cs="方正黑体_GBK"/>
                <w:b/>
                <w:bCs w:val="0"/>
                <w:i w:val="0"/>
                <w:iCs w:val="0"/>
                <w:caps w:val="0"/>
                <w:color w:val="333333"/>
                <w:spacing w:val="0"/>
                <w:sz w:val="22"/>
                <w:szCs w:val="22"/>
                <w:lang w:val="en-US" w:eastAsia="zh-CN"/>
              </w:rPr>
              <w:t>二</w:t>
            </w:r>
            <w:r>
              <w:rPr>
                <w:rFonts w:hint="default" w:ascii="方正黑体_GBK" w:hAnsi="方正黑体_GBK" w:eastAsia="方正黑体_GBK" w:cs="方正黑体_GBK"/>
                <w:b/>
                <w:bCs w:val="0"/>
                <w:i w:val="0"/>
                <w:iCs w:val="0"/>
                <w:caps w:val="0"/>
                <w:color w:val="333333"/>
                <w:spacing w:val="0"/>
                <w:sz w:val="22"/>
                <w:szCs w:val="22"/>
              </w:rPr>
              <w:t>级指标</w:t>
            </w:r>
          </w:p>
        </w:tc>
        <w:tc>
          <w:tcPr>
            <w:tcW w:w="1087" w:type="dxa"/>
            <w:tcBorders>
              <w:top w:val="outset" w:color="auto" w:sz="6" w:space="0"/>
              <w:left w:val="single" w:color="auto" w:sz="6" w:space="0"/>
              <w:bottom w:val="single" w:color="auto" w:sz="6" w:space="0"/>
              <w:right w:val="outset" w:color="auto" w:sz="6" w:space="0"/>
            </w:tcBorders>
            <w:shd w:val="clear" w:color="auto" w:fill="FFFFFF"/>
            <w:noWrap w:val="0"/>
            <w:tcMar>
              <w:top w:w="-1" w:type="dxa"/>
              <w:left w:w="-1" w:type="dxa"/>
              <w:bottom w:w="-1" w:type="dxa"/>
              <w:right w:w="-1" w:type="dxa"/>
            </w:tcMar>
            <w:vAlign w:val="center"/>
          </w:tcPr>
          <w:p w14:paraId="4D5BA2A0">
            <w:pPr>
              <w:pStyle w:val="6"/>
              <w:keepNext w:val="0"/>
              <w:keepLines w:val="0"/>
              <w:widowControl/>
              <w:suppressLineNumbers w:val="0"/>
              <w:pBdr>
                <w:top w:val="none" w:color="auto" w:sz="0" w:space="0"/>
                <w:left w:val="none" w:color="auto" w:sz="0" w:space="0"/>
                <w:bottom w:val="none" w:color="auto" w:sz="0" w:space="0"/>
                <w:right w:val="none" w:color="auto" w:sz="0" w:space="0"/>
              </w:pBdr>
              <w:snapToGrid w:val="0"/>
              <w:spacing w:before="0" w:beforeAutospacing="0" w:after="0" w:afterAutospacing="0"/>
              <w:ind w:left="0" w:leftChars="0" w:right="0" w:rightChars="0" w:firstLine="0" w:firstLineChars="0"/>
              <w:jc w:val="center"/>
              <w:rPr>
                <w:rFonts w:hint="eastAsia" w:ascii="方正黑体_GBK" w:hAnsi="方正黑体_GBK" w:eastAsia="方正黑体_GBK" w:cs="方正黑体_GBK"/>
                <w:b/>
                <w:bCs w:val="0"/>
                <w:i w:val="0"/>
                <w:iCs w:val="0"/>
                <w:caps w:val="0"/>
                <w:color w:val="333333"/>
                <w:spacing w:val="0"/>
                <w:sz w:val="22"/>
                <w:szCs w:val="22"/>
                <w:lang w:eastAsia="zh-CN"/>
              </w:rPr>
            </w:pPr>
            <w:r>
              <w:rPr>
                <w:rFonts w:hint="eastAsia" w:ascii="方正黑体_GBK" w:hAnsi="方正黑体_GBK" w:eastAsia="方正黑体_GBK" w:cs="方正黑体_GBK"/>
                <w:b/>
                <w:bCs w:val="0"/>
                <w:i w:val="0"/>
                <w:iCs w:val="0"/>
                <w:caps w:val="0"/>
                <w:color w:val="333333"/>
                <w:spacing w:val="0"/>
                <w:sz w:val="22"/>
                <w:szCs w:val="22"/>
                <w:lang w:eastAsia="zh-CN"/>
              </w:rPr>
              <w:t>分值</w:t>
            </w:r>
          </w:p>
        </w:tc>
        <w:tc>
          <w:tcPr>
            <w:tcW w:w="3047" w:type="dxa"/>
            <w:tcBorders>
              <w:top w:val="outset" w:color="auto" w:sz="6" w:space="0"/>
              <w:left w:val="single" w:color="auto" w:sz="6" w:space="0"/>
              <w:bottom w:val="single" w:color="auto" w:sz="6" w:space="0"/>
              <w:right w:val="outset" w:color="auto" w:sz="6" w:space="0"/>
            </w:tcBorders>
            <w:shd w:val="clear" w:color="auto" w:fill="FFFFFF"/>
            <w:noWrap w:val="0"/>
            <w:tcMar>
              <w:top w:w="-1" w:type="dxa"/>
              <w:left w:w="-1" w:type="dxa"/>
              <w:bottom w:w="-1" w:type="dxa"/>
              <w:right w:w="-1" w:type="dxa"/>
            </w:tcMar>
            <w:vAlign w:val="center"/>
          </w:tcPr>
          <w:p w14:paraId="0057C5F5">
            <w:pPr>
              <w:pStyle w:val="6"/>
              <w:keepNext w:val="0"/>
              <w:keepLines w:val="0"/>
              <w:widowControl/>
              <w:suppressLineNumbers w:val="0"/>
              <w:pBdr>
                <w:top w:val="none" w:color="auto" w:sz="0" w:space="0"/>
                <w:left w:val="none" w:color="auto" w:sz="0" w:space="0"/>
                <w:bottom w:val="none" w:color="auto" w:sz="0" w:space="0"/>
                <w:right w:val="none" w:color="auto" w:sz="0" w:space="0"/>
              </w:pBdr>
              <w:snapToGrid w:val="0"/>
              <w:spacing w:before="0" w:beforeAutospacing="0" w:after="0" w:afterAutospacing="0"/>
              <w:ind w:left="0" w:leftChars="0" w:right="0" w:rightChars="0" w:firstLine="0" w:firstLineChars="0"/>
              <w:jc w:val="center"/>
              <w:rPr>
                <w:rFonts w:hint="eastAsia" w:ascii="方正黑体_GBK" w:eastAsia="方正黑体_GBK"/>
                <w:b/>
                <w:bCs w:val="0"/>
                <w:i w:val="0"/>
                <w:iCs w:val="0"/>
                <w:sz w:val="22"/>
                <w:szCs w:val="21"/>
                <w:lang w:eastAsia="zh-CN"/>
              </w:rPr>
            </w:pPr>
            <w:r>
              <w:rPr>
                <w:rFonts w:hint="eastAsia" w:ascii="方正黑体_GBK" w:hAnsi="方正黑体_GBK" w:eastAsia="方正黑体_GBK" w:cs="方正黑体_GBK"/>
                <w:b/>
                <w:bCs w:val="0"/>
                <w:i w:val="0"/>
                <w:iCs w:val="0"/>
                <w:caps w:val="0"/>
                <w:color w:val="333333"/>
                <w:spacing w:val="0"/>
                <w:sz w:val="22"/>
                <w:szCs w:val="22"/>
                <w:lang w:eastAsia="zh-CN"/>
              </w:rPr>
              <w:t>评分方式</w:t>
            </w:r>
          </w:p>
        </w:tc>
      </w:tr>
      <w:tr w14:paraId="0273DE2D">
        <w:tblPrEx>
          <w:tblBorders>
            <w:top w:val="single" w:color="000000" w:sz="6" w:space="0"/>
            <w:left w:val="single" w:color="000000" w:sz="6" w:space="0"/>
            <w:bottom w:val="single" w:color="000000" w:sz="6" w:space="0"/>
            <w:right w:val="single" w:color="000000" w:sz="6" w:space="0"/>
            <w:insideH w:val="outset" w:color="auto" w:sz="6" w:space="0"/>
            <w:insideV w:val="outset" w:color="auto" w:sz="6" w:space="0"/>
          </w:tblBorders>
          <w:tblCellMar>
            <w:top w:w="0" w:type="dxa"/>
            <w:left w:w="0" w:type="dxa"/>
            <w:bottom w:w="0" w:type="dxa"/>
            <w:right w:w="0" w:type="dxa"/>
          </w:tblCellMar>
        </w:tblPrEx>
        <w:trPr>
          <w:trHeight w:val="0" w:hRule="atLeast"/>
          <w:jc w:val="center"/>
        </w:trPr>
        <w:tc>
          <w:tcPr>
            <w:tcW w:w="551" w:type="dxa"/>
            <w:tcBorders>
              <w:top w:val="single" w:color="auto" w:sz="6" w:space="0"/>
              <w:left w:val="outset" w:color="auto" w:sz="6" w:space="0"/>
              <w:bottom w:val="single" w:color="auto" w:sz="6" w:space="0"/>
              <w:right w:val="single" w:color="auto" w:sz="6" w:space="0"/>
            </w:tcBorders>
            <w:shd w:val="clear" w:color="auto" w:fill="FFFFFF"/>
            <w:noWrap w:val="0"/>
            <w:tcMar>
              <w:top w:w="-1" w:type="dxa"/>
              <w:left w:w="-1" w:type="dxa"/>
              <w:bottom w:w="-1" w:type="dxa"/>
              <w:right w:w="-1" w:type="dxa"/>
            </w:tcMar>
            <w:vAlign w:val="center"/>
          </w:tcPr>
          <w:p w14:paraId="6CDDBA68">
            <w:pPr>
              <w:pStyle w:val="6"/>
              <w:keepNext w:val="0"/>
              <w:keepLines w:val="0"/>
              <w:widowControl/>
              <w:suppressLineNumbers w:val="0"/>
              <w:pBdr>
                <w:top w:val="none" w:color="auto" w:sz="0" w:space="0"/>
                <w:left w:val="none" w:color="auto" w:sz="0" w:space="0"/>
                <w:bottom w:val="none" w:color="auto" w:sz="0" w:space="0"/>
                <w:right w:val="none" w:color="auto" w:sz="0" w:space="0"/>
              </w:pBdr>
              <w:snapToGrid w:val="0"/>
              <w:spacing w:before="0" w:beforeAutospacing="0" w:after="0" w:afterAutospacing="0"/>
              <w:ind w:left="0" w:leftChars="0" w:right="0" w:rightChars="0" w:firstLine="0" w:firstLineChars="0"/>
              <w:jc w:val="center"/>
              <w:rPr>
                <w:rFonts w:hint="eastAsia" w:ascii="方正仿宋_GBK" w:hAnsi="Times New Roman" w:eastAsia="方正仿宋_GBK" w:cs="Times New Roman"/>
                <w:b w:val="0"/>
                <w:bCs w:val="0"/>
                <w:i w:val="0"/>
                <w:iCs w:val="0"/>
                <w:caps w:val="0"/>
                <w:color w:val="333333"/>
                <w:spacing w:val="0"/>
                <w:sz w:val="22"/>
                <w:szCs w:val="22"/>
                <w:lang w:val="en-US" w:eastAsia="zh-CN"/>
              </w:rPr>
            </w:pPr>
            <w:r>
              <w:rPr>
                <w:rFonts w:hint="eastAsia" w:ascii="方正仿宋_GBK" w:hAnsi="Times New Roman" w:eastAsia="方正仿宋_GBK" w:cs="Times New Roman"/>
                <w:b w:val="0"/>
                <w:bCs w:val="0"/>
                <w:i w:val="0"/>
                <w:iCs w:val="0"/>
                <w:caps w:val="0"/>
                <w:color w:val="333333"/>
                <w:spacing w:val="0"/>
                <w:sz w:val="22"/>
                <w:szCs w:val="22"/>
                <w:lang w:val="en-US" w:eastAsia="zh-CN"/>
              </w:rPr>
              <w:t>1</w:t>
            </w:r>
          </w:p>
        </w:tc>
        <w:tc>
          <w:tcPr>
            <w:tcW w:w="1121" w:type="dxa"/>
            <w:vMerge w:val="restart"/>
            <w:tcBorders>
              <w:top w:val="single" w:color="auto" w:sz="6" w:space="0"/>
              <w:left w:val="single" w:color="auto" w:sz="6" w:space="0"/>
              <w:right w:val="single" w:color="auto" w:sz="6" w:space="0"/>
            </w:tcBorders>
            <w:shd w:val="clear" w:color="auto" w:fill="FFFFFF"/>
            <w:noWrap w:val="0"/>
            <w:tcMar>
              <w:top w:w="-1" w:type="dxa"/>
              <w:left w:w="-1" w:type="dxa"/>
              <w:bottom w:w="-1" w:type="dxa"/>
              <w:right w:w="-1" w:type="dxa"/>
            </w:tcMar>
            <w:vAlign w:val="center"/>
          </w:tcPr>
          <w:p w14:paraId="65213959">
            <w:pPr>
              <w:pStyle w:val="6"/>
              <w:keepNext w:val="0"/>
              <w:keepLines w:val="0"/>
              <w:widowControl/>
              <w:suppressLineNumbers w:val="0"/>
              <w:pBdr>
                <w:top w:val="none" w:color="auto" w:sz="0" w:space="0"/>
                <w:left w:val="none" w:color="auto" w:sz="0" w:space="0"/>
                <w:bottom w:val="none" w:color="auto" w:sz="0" w:space="0"/>
                <w:right w:val="none" w:color="auto" w:sz="0" w:space="0"/>
              </w:pBdr>
              <w:snapToGrid w:val="0"/>
              <w:spacing w:before="0" w:beforeAutospacing="0" w:after="0" w:afterAutospacing="0"/>
              <w:ind w:left="0" w:leftChars="0" w:right="0" w:rightChars="0" w:firstLine="0" w:firstLineChars="0"/>
              <w:jc w:val="center"/>
              <w:rPr>
                <w:rFonts w:hint="eastAsia" w:ascii="仿宋_GB2312" w:hAnsi="宋体" w:eastAsia="仿宋_GB2312" w:cs="仿宋_GB2312"/>
                <w:i w:val="0"/>
                <w:iCs w:val="0"/>
                <w:caps w:val="0"/>
                <w:color w:val="666666"/>
                <w:spacing w:val="0"/>
                <w:sz w:val="24"/>
                <w:szCs w:val="24"/>
                <w:shd w:val="clear" w:fill="FFFFFF"/>
                <w:lang w:eastAsia="zh-CN"/>
              </w:rPr>
            </w:pPr>
            <w:r>
              <w:rPr>
                <w:rFonts w:hint="eastAsia" w:ascii="仿宋_GB2312" w:hAnsi="宋体" w:eastAsia="仿宋_GB2312" w:cs="仿宋_GB2312"/>
                <w:i w:val="0"/>
                <w:iCs w:val="0"/>
                <w:caps w:val="0"/>
                <w:color w:val="666666"/>
                <w:spacing w:val="0"/>
                <w:sz w:val="24"/>
                <w:szCs w:val="24"/>
                <w:shd w:val="clear" w:fill="FFFFFF"/>
                <w:lang w:eastAsia="zh-CN"/>
              </w:rPr>
              <w:t>基本信息</w:t>
            </w:r>
          </w:p>
        </w:tc>
        <w:tc>
          <w:tcPr>
            <w:tcW w:w="3034" w:type="dxa"/>
            <w:tcBorders>
              <w:top w:val="single" w:color="auto" w:sz="6" w:space="0"/>
              <w:left w:val="single" w:color="auto" w:sz="6" w:space="0"/>
              <w:bottom w:val="single" w:color="auto" w:sz="6" w:space="0"/>
              <w:right w:val="single" w:color="auto" w:sz="6" w:space="0"/>
            </w:tcBorders>
            <w:shd w:val="clear" w:color="auto" w:fill="FFFFFF"/>
            <w:noWrap w:val="0"/>
            <w:tcMar>
              <w:top w:w="-1" w:type="dxa"/>
              <w:left w:w="-1" w:type="dxa"/>
              <w:bottom w:w="-1" w:type="dxa"/>
              <w:right w:w="-1" w:type="dxa"/>
            </w:tcMar>
            <w:vAlign w:val="center"/>
          </w:tcPr>
          <w:p w14:paraId="56C0522F">
            <w:pPr>
              <w:pStyle w:val="6"/>
              <w:keepNext w:val="0"/>
              <w:keepLines w:val="0"/>
              <w:widowControl/>
              <w:suppressLineNumbers w:val="0"/>
              <w:pBdr>
                <w:top w:val="none" w:color="auto" w:sz="0" w:space="0"/>
                <w:left w:val="none" w:color="auto" w:sz="0" w:space="0"/>
                <w:bottom w:val="none" w:color="auto" w:sz="0" w:space="0"/>
                <w:right w:val="none" w:color="auto" w:sz="0" w:space="0"/>
              </w:pBdr>
              <w:snapToGrid w:val="0"/>
              <w:spacing w:before="0" w:beforeAutospacing="0" w:after="0" w:afterAutospacing="0"/>
              <w:ind w:left="0" w:leftChars="0" w:right="0" w:rightChars="0" w:firstLine="0" w:firstLineChars="0"/>
              <w:jc w:val="center"/>
              <w:rPr>
                <w:rFonts w:hint="eastAsia" w:ascii="仿宋_GB2312" w:hAnsi="宋体" w:eastAsia="仿宋_GB2312" w:cs="仿宋_GB2312"/>
                <w:i w:val="0"/>
                <w:iCs w:val="0"/>
                <w:caps w:val="0"/>
                <w:color w:val="666666"/>
                <w:spacing w:val="0"/>
                <w:sz w:val="24"/>
                <w:szCs w:val="24"/>
                <w:shd w:val="clear" w:fill="FFFFFF"/>
                <w:lang w:eastAsia="zh-CN"/>
              </w:rPr>
            </w:pPr>
            <w:r>
              <w:rPr>
                <w:rFonts w:hint="eastAsia" w:ascii="仿宋_GB2312" w:hAnsi="宋体" w:eastAsia="仿宋_GB2312" w:cs="仿宋_GB2312"/>
                <w:i w:val="0"/>
                <w:iCs w:val="0"/>
                <w:caps w:val="0"/>
                <w:color w:val="666666"/>
                <w:spacing w:val="0"/>
                <w:sz w:val="24"/>
                <w:szCs w:val="24"/>
                <w:shd w:val="clear" w:fill="FFFFFF"/>
                <w:lang w:eastAsia="zh-CN"/>
              </w:rPr>
              <w:t>养老机构基本信息出现变动时，及时准确向区民政部门申请备案变更</w:t>
            </w:r>
          </w:p>
        </w:tc>
        <w:tc>
          <w:tcPr>
            <w:tcW w:w="1087" w:type="dxa"/>
            <w:tcBorders>
              <w:top w:val="single" w:color="auto" w:sz="6" w:space="0"/>
              <w:left w:val="single" w:color="auto" w:sz="6" w:space="0"/>
              <w:bottom w:val="single" w:color="auto" w:sz="6" w:space="0"/>
              <w:right w:val="outset" w:color="auto" w:sz="6" w:space="0"/>
            </w:tcBorders>
            <w:shd w:val="clear" w:color="auto" w:fill="FFFFFF"/>
            <w:noWrap w:val="0"/>
            <w:tcMar>
              <w:top w:w="-1" w:type="dxa"/>
              <w:left w:w="-1" w:type="dxa"/>
              <w:bottom w:w="-1" w:type="dxa"/>
              <w:right w:w="-1" w:type="dxa"/>
            </w:tcMar>
            <w:vAlign w:val="center"/>
          </w:tcPr>
          <w:p w14:paraId="286F208E">
            <w:pPr>
              <w:pStyle w:val="6"/>
              <w:keepNext w:val="0"/>
              <w:keepLines w:val="0"/>
              <w:widowControl/>
              <w:suppressLineNumbers w:val="0"/>
              <w:pBdr>
                <w:top w:val="none" w:color="auto" w:sz="0" w:space="0"/>
                <w:left w:val="none" w:color="auto" w:sz="0" w:space="0"/>
                <w:bottom w:val="none" w:color="auto" w:sz="0" w:space="0"/>
                <w:right w:val="none" w:color="auto" w:sz="0" w:space="0"/>
              </w:pBdr>
              <w:snapToGrid w:val="0"/>
              <w:spacing w:before="0" w:beforeAutospacing="0" w:after="0" w:afterAutospacing="0"/>
              <w:ind w:left="0" w:leftChars="0" w:right="0" w:rightChars="0" w:firstLine="0" w:firstLineChars="0"/>
              <w:jc w:val="center"/>
              <w:rPr>
                <w:rFonts w:hint="default" w:ascii="仿宋_GB2312" w:hAnsi="宋体" w:eastAsia="仿宋_GB2312" w:cs="仿宋_GB2312"/>
                <w:i w:val="0"/>
                <w:iCs w:val="0"/>
                <w:caps w:val="0"/>
                <w:color w:val="666666"/>
                <w:spacing w:val="0"/>
                <w:sz w:val="24"/>
                <w:szCs w:val="24"/>
                <w:shd w:val="clear" w:fill="FFFFFF"/>
                <w:lang w:val="en-US" w:eastAsia="zh-CN"/>
              </w:rPr>
            </w:pPr>
            <w:r>
              <w:rPr>
                <w:rFonts w:hint="eastAsia" w:ascii="仿宋_GB2312" w:hAnsi="宋体" w:eastAsia="仿宋_GB2312" w:cs="仿宋_GB2312"/>
                <w:i w:val="0"/>
                <w:iCs w:val="0"/>
                <w:caps w:val="0"/>
                <w:color w:val="666666"/>
                <w:spacing w:val="0"/>
                <w:sz w:val="24"/>
                <w:szCs w:val="24"/>
                <w:shd w:val="clear" w:fill="FFFFFF"/>
                <w:lang w:val="en-US" w:eastAsia="zh-CN"/>
              </w:rPr>
              <w:t>3</w:t>
            </w:r>
          </w:p>
        </w:tc>
        <w:tc>
          <w:tcPr>
            <w:tcW w:w="3047" w:type="dxa"/>
            <w:tcBorders>
              <w:top w:val="single" w:color="auto" w:sz="6" w:space="0"/>
              <w:left w:val="single" w:color="auto" w:sz="6" w:space="0"/>
              <w:bottom w:val="single" w:color="auto" w:sz="6" w:space="0"/>
              <w:right w:val="outset" w:color="auto" w:sz="6" w:space="0"/>
            </w:tcBorders>
            <w:shd w:val="clear" w:color="auto" w:fill="FFFFFF"/>
            <w:noWrap w:val="0"/>
            <w:tcMar>
              <w:top w:w="-1" w:type="dxa"/>
              <w:left w:w="-1" w:type="dxa"/>
              <w:bottom w:w="-1" w:type="dxa"/>
              <w:right w:w="-1" w:type="dxa"/>
            </w:tcMar>
            <w:vAlign w:val="center"/>
          </w:tcPr>
          <w:p w14:paraId="2F97BB6F">
            <w:pPr>
              <w:pStyle w:val="6"/>
              <w:keepNext w:val="0"/>
              <w:keepLines w:val="0"/>
              <w:widowControl/>
              <w:suppressLineNumbers w:val="0"/>
              <w:pBdr>
                <w:top w:val="none" w:color="auto" w:sz="0" w:space="0"/>
                <w:left w:val="none" w:color="auto" w:sz="0" w:space="0"/>
                <w:bottom w:val="none" w:color="auto" w:sz="0" w:space="0"/>
                <w:right w:val="none" w:color="auto" w:sz="0" w:space="0"/>
              </w:pBdr>
              <w:snapToGrid w:val="0"/>
              <w:spacing w:before="0" w:beforeAutospacing="0" w:after="0" w:afterAutospacing="0"/>
              <w:ind w:left="0" w:leftChars="0" w:right="0" w:rightChars="0" w:firstLine="0" w:firstLineChars="0"/>
              <w:jc w:val="center"/>
              <w:rPr>
                <w:rFonts w:hint="eastAsia" w:ascii="仿宋_GB2312" w:hAnsi="宋体" w:eastAsia="仿宋_GB2312" w:cs="仿宋_GB2312"/>
                <w:i w:val="0"/>
                <w:iCs w:val="0"/>
                <w:caps w:val="0"/>
                <w:color w:val="666666"/>
                <w:spacing w:val="0"/>
                <w:sz w:val="24"/>
                <w:szCs w:val="24"/>
                <w:shd w:val="clear" w:fill="FFFFFF"/>
                <w:lang w:eastAsia="zh-CN"/>
              </w:rPr>
            </w:pPr>
            <w:r>
              <w:rPr>
                <w:rFonts w:hint="eastAsia" w:ascii="仿宋_GB2312" w:hAnsi="宋体" w:eastAsia="仿宋_GB2312" w:cs="仿宋_GB2312"/>
                <w:i w:val="0"/>
                <w:iCs w:val="0"/>
                <w:caps w:val="0"/>
                <w:color w:val="666666"/>
                <w:spacing w:val="0"/>
                <w:sz w:val="24"/>
                <w:szCs w:val="24"/>
                <w:shd w:val="clear" w:fill="FFFFFF"/>
                <w:lang w:eastAsia="zh-CN"/>
              </w:rPr>
              <w:t>相关信息准确不扣分；</w:t>
            </w:r>
          </w:p>
          <w:p w14:paraId="77909A22">
            <w:pPr>
              <w:pStyle w:val="6"/>
              <w:keepNext w:val="0"/>
              <w:keepLines w:val="0"/>
              <w:widowControl/>
              <w:suppressLineNumbers w:val="0"/>
              <w:pBdr>
                <w:top w:val="none" w:color="auto" w:sz="0" w:space="0"/>
                <w:left w:val="none" w:color="auto" w:sz="0" w:space="0"/>
                <w:bottom w:val="none" w:color="auto" w:sz="0" w:space="0"/>
                <w:right w:val="none" w:color="auto" w:sz="0" w:space="0"/>
              </w:pBdr>
              <w:snapToGrid w:val="0"/>
              <w:spacing w:before="0" w:beforeAutospacing="0" w:after="0" w:afterAutospacing="0"/>
              <w:ind w:left="0" w:leftChars="0" w:right="0" w:rightChars="0" w:firstLine="0" w:firstLineChars="0"/>
              <w:jc w:val="center"/>
              <w:rPr>
                <w:rFonts w:hint="default" w:ascii="仿宋_GB2312" w:hAnsi="宋体" w:eastAsia="仿宋_GB2312" w:cs="仿宋_GB2312"/>
                <w:i w:val="0"/>
                <w:iCs w:val="0"/>
                <w:caps w:val="0"/>
                <w:color w:val="666666"/>
                <w:spacing w:val="0"/>
                <w:sz w:val="24"/>
                <w:szCs w:val="24"/>
                <w:shd w:val="clear" w:fill="FFFFFF"/>
                <w:lang w:val="en-US" w:eastAsia="zh-CN"/>
              </w:rPr>
            </w:pPr>
            <w:r>
              <w:rPr>
                <w:rFonts w:hint="eastAsia" w:ascii="仿宋_GB2312" w:hAnsi="宋体" w:eastAsia="仿宋_GB2312" w:cs="仿宋_GB2312"/>
                <w:i w:val="0"/>
                <w:iCs w:val="0"/>
                <w:caps w:val="0"/>
                <w:color w:val="666666"/>
                <w:spacing w:val="0"/>
                <w:sz w:val="24"/>
                <w:szCs w:val="24"/>
                <w:shd w:val="clear" w:fill="FFFFFF"/>
                <w:lang w:eastAsia="zh-CN"/>
              </w:rPr>
              <w:t>信息不符或未及时变更备案扣</w:t>
            </w:r>
            <w:r>
              <w:rPr>
                <w:rFonts w:hint="eastAsia" w:ascii="仿宋_GB2312" w:hAnsi="宋体" w:eastAsia="仿宋_GB2312" w:cs="仿宋_GB2312"/>
                <w:i w:val="0"/>
                <w:iCs w:val="0"/>
                <w:caps w:val="0"/>
                <w:color w:val="666666"/>
                <w:spacing w:val="0"/>
                <w:sz w:val="24"/>
                <w:szCs w:val="24"/>
                <w:shd w:val="clear" w:fill="FFFFFF"/>
                <w:lang w:val="en-US" w:eastAsia="zh-CN"/>
              </w:rPr>
              <w:t>3分。</w:t>
            </w:r>
          </w:p>
        </w:tc>
      </w:tr>
      <w:tr w14:paraId="75E5EA37">
        <w:tblPrEx>
          <w:tblBorders>
            <w:top w:val="single" w:color="000000" w:sz="6" w:space="0"/>
            <w:left w:val="single" w:color="000000" w:sz="6" w:space="0"/>
            <w:bottom w:val="single" w:color="000000" w:sz="6" w:space="0"/>
            <w:right w:val="single" w:color="000000" w:sz="6" w:space="0"/>
            <w:insideH w:val="outset" w:color="auto" w:sz="6" w:space="0"/>
            <w:insideV w:val="outset" w:color="auto" w:sz="6" w:space="0"/>
          </w:tblBorders>
          <w:tblCellMar>
            <w:top w:w="0" w:type="dxa"/>
            <w:left w:w="0" w:type="dxa"/>
            <w:bottom w:w="0" w:type="dxa"/>
            <w:right w:w="0" w:type="dxa"/>
          </w:tblCellMar>
        </w:tblPrEx>
        <w:trPr>
          <w:trHeight w:val="0" w:hRule="atLeast"/>
          <w:jc w:val="center"/>
        </w:trPr>
        <w:tc>
          <w:tcPr>
            <w:tcW w:w="551" w:type="dxa"/>
            <w:tcBorders>
              <w:top w:val="single" w:color="auto" w:sz="6" w:space="0"/>
              <w:left w:val="outset" w:color="auto" w:sz="6" w:space="0"/>
              <w:bottom w:val="single" w:color="auto" w:sz="6" w:space="0"/>
              <w:right w:val="single" w:color="auto" w:sz="6" w:space="0"/>
            </w:tcBorders>
            <w:shd w:val="clear" w:color="auto" w:fill="FFFFFF"/>
            <w:noWrap w:val="0"/>
            <w:tcMar>
              <w:top w:w="-1" w:type="dxa"/>
              <w:left w:w="-1" w:type="dxa"/>
              <w:bottom w:w="-1" w:type="dxa"/>
              <w:right w:w="-1" w:type="dxa"/>
            </w:tcMar>
            <w:vAlign w:val="center"/>
          </w:tcPr>
          <w:p w14:paraId="504BF115">
            <w:pPr>
              <w:pStyle w:val="6"/>
              <w:keepNext w:val="0"/>
              <w:keepLines w:val="0"/>
              <w:widowControl/>
              <w:suppressLineNumbers w:val="0"/>
              <w:pBdr>
                <w:top w:val="none" w:color="auto" w:sz="0" w:space="0"/>
                <w:left w:val="none" w:color="auto" w:sz="0" w:space="0"/>
                <w:bottom w:val="none" w:color="auto" w:sz="0" w:space="0"/>
                <w:right w:val="none" w:color="auto" w:sz="0" w:space="0"/>
              </w:pBdr>
              <w:snapToGrid w:val="0"/>
              <w:spacing w:before="0" w:beforeAutospacing="0" w:after="0" w:afterAutospacing="0"/>
              <w:ind w:left="0" w:leftChars="0" w:right="0" w:rightChars="0" w:firstLine="0" w:firstLineChars="0"/>
              <w:jc w:val="center"/>
              <w:rPr>
                <w:rFonts w:hint="eastAsia" w:ascii="方正仿宋_GBK" w:hAnsi="Times New Roman" w:eastAsia="方正仿宋_GBK" w:cs="Times New Roman"/>
                <w:b w:val="0"/>
                <w:bCs w:val="0"/>
                <w:i w:val="0"/>
                <w:iCs w:val="0"/>
                <w:caps w:val="0"/>
                <w:color w:val="333333"/>
                <w:spacing w:val="0"/>
                <w:sz w:val="22"/>
                <w:szCs w:val="22"/>
                <w:lang w:val="en-US" w:eastAsia="zh-CN"/>
              </w:rPr>
            </w:pPr>
            <w:r>
              <w:rPr>
                <w:rFonts w:hint="eastAsia" w:ascii="方正仿宋_GBK" w:hAnsi="Times New Roman" w:eastAsia="方正仿宋_GBK" w:cs="Times New Roman"/>
                <w:b w:val="0"/>
                <w:bCs w:val="0"/>
                <w:i w:val="0"/>
                <w:iCs w:val="0"/>
                <w:caps w:val="0"/>
                <w:color w:val="333333"/>
                <w:spacing w:val="0"/>
                <w:sz w:val="22"/>
                <w:szCs w:val="22"/>
                <w:lang w:val="en-US" w:eastAsia="zh-CN"/>
              </w:rPr>
              <w:t>2</w:t>
            </w:r>
          </w:p>
        </w:tc>
        <w:tc>
          <w:tcPr>
            <w:tcW w:w="1121" w:type="dxa"/>
            <w:vMerge w:val="continue"/>
            <w:tcBorders>
              <w:left w:val="single" w:color="auto" w:sz="6" w:space="0"/>
              <w:right w:val="single" w:color="auto" w:sz="6" w:space="0"/>
            </w:tcBorders>
            <w:shd w:val="clear" w:color="auto" w:fill="FFFFFF"/>
            <w:noWrap w:val="0"/>
            <w:tcMar>
              <w:top w:w="-1" w:type="dxa"/>
              <w:left w:w="-1" w:type="dxa"/>
              <w:bottom w:w="-1" w:type="dxa"/>
              <w:right w:w="-1" w:type="dxa"/>
            </w:tcMar>
            <w:vAlign w:val="center"/>
          </w:tcPr>
          <w:p w14:paraId="7AC569A7">
            <w:pPr>
              <w:pStyle w:val="6"/>
              <w:keepNext w:val="0"/>
              <w:keepLines w:val="0"/>
              <w:widowControl/>
              <w:suppressLineNumbers w:val="0"/>
              <w:pBdr>
                <w:top w:val="none" w:color="auto" w:sz="0" w:space="0"/>
                <w:left w:val="none" w:color="auto" w:sz="0" w:space="0"/>
                <w:bottom w:val="none" w:color="auto" w:sz="0" w:space="0"/>
                <w:right w:val="none" w:color="auto" w:sz="0" w:space="0"/>
              </w:pBdr>
              <w:snapToGrid w:val="0"/>
              <w:spacing w:before="0" w:beforeAutospacing="0" w:after="0" w:afterAutospacing="0"/>
              <w:ind w:left="0" w:leftChars="0" w:right="0" w:rightChars="0" w:firstLine="0" w:firstLineChars="0"/>
              <w:jc w:val="center"/>
              <w:rPr>
                <w:rFonts w:hint="eastAsia" w:ascii="仿宋_GB2312" w:hAnsi="宋体" w:eastAsia="仿宋_GB2312" w:cs="仿宋_GB2312"/>
                <w:i w:val="0"/>
                <w:iCs w:val="0"/>
                <w:caps w:val="0"/>
                <w:color w:val="666666"/>
                <w:spacing w:val="0"/>
                <w:sz w:val="24"/>
                <w:szCs w:val="24"/>
                <w:shd w:val="clear" w:fill="FFFFFF"/>
                <w:lang w:eastAsia="zh-CN"/>
              </w:rPr>
            </w:pPr>
          </w:p>
        </w:tc>
        <w:tc>
          <w:tcPr>
            <w:tcW w:w="3034" w:type="dxa"/>
            <w:tcBorders>
              <w:top w:val="single" w:color="auto" w:sz="6" w:space="0"/>
              <w:left w:val="single" w:color="auto" w:sz="6" w:space="0"/>
              <w:bottom w:val="single" w:color="auto" w:sz="6" w:space="0"/>
              <w:right w:val="single" w:color="auto" w:sz="6" w:space="0"/>
            </w:tcBorders>
            <w:shd w:val="clear" w:color="auto" w:fill="FFFFFF"/>
            <w:noWrap w:val="0"/>
            <w:tcMar>
              <w:top w:w="-1" w:type="dxa"/>
              <w:left w:w="-1" w:type="dxa"/>
              <w:bottom w:w="-1" w:type="dxa"/>
              <w:right w:w="-1" w:type="dxa"/>
            </w:tcMar>
            <w:vAlign w:val="center"/>
          </w:tcPr>
          <w:p w14:paraId="63357194">
            <w:pPr>
              <w:pStyle w:val="6"/>
              <w:keepNext w:val="0"/>
              <w:keepLines w:val="0"/>
              <w:widowControl/>
              <w:suppressLineNumbers w:val="0"/>
              <w:pBdr>
                <w:top w:val="none" w:color="auto" w:sz="0" w:space="0"/>
                <w:left w:val="none" w:color="auto" w:sz="0" w:space="0"/>
                <w:bottom w:val="none" w:color="auto" w:sz="0" w:space="0"/>
                <w:right w:val="none" w:color="auto" w:sz="0" w:space="0"/>
              </w:pBdr>
              <w:snapToGrid w:val="0"/>
              <w:spacing w:before="0" w:beforeAutospacing="0" w:after="0" w:afterAutospacing="0"/>
              <w:ind w:left="0" w:leftChars="0" w:right="0" w:rightChars="0" w:firstLine="0" w:firstLineChars="0"/>
              <w:jc w:val="center"/>
              <w:rPr>
                <w:rFonts w:hint="eastAsia" w:ascii="仿宋_GB2312" w:hAnsi="宋体" w:eastAsia="仿宋_GB2312" w:cs="仿宋_GB2312"/>
                <w:i w:val="0"/>
                <w:iCs w:val="0"/>
                <w:caps w:val="0"/>
                <w:color w:val="666666"/>
                <w:spacing w:val="0"/>
                <w:sz w:val="24"/>
                <w:szCs w:val="24"/>
                <w:shd w:val="clear" w:fill="FFFFFF"/>
                <w:lang w:eastAsia="zh-CN"/>
              </w:rPr>
            </w:pPr>
            <w:r>
              <w:rPr>
                <w:rFonts w:hint="default" w:ascii="仿宋_GB2312" w:hAnsi="宋体" w:eastAsia="仿宋_GB2312" w:cs="仿宋_GB2312"/>
                <w:i w:val="0"/>
                <w:iCs w:val="0"/>
                <w:caps w:val="0"/>
                <w:color w:val="666666"/>
                <w:spacing w:val="0"/>
                <w:sz w:val="24"/>
                <w:szCs w:val="24"/>
                <w:shd w:val="clear" w:fill="FFFFFF"/>
                <w:lang w:val="en-US" w:eastAsia="zh-CN"/>
              </w:rPr>
              <w:t>养老机构</w:t>
            </w:r>
            <w:r>
              <w:rPr>
                <w:rFonts w:hint="eastAsia" w:ascii="仿宋_GB2312" w:hAnsi="宋体" w:eastAsia="仿宋_GB2312" w:cs="仿宋_GB2312"/>
                <w:i w:val="0"/>
                <w:iCs w:val="0"/>
                <w:caps w:val="0"/>
                <w:color w:val="666666"/>
                <w:spacing w:val="0"/>
                <w:sz w:val="24"/>
                <w:szCs w:val="24"/>
                <w:shd w:val="clear" w:fill="FFFFFF"/>
                <w:lang w:val="en-US" w:eastAsia="zh-CN"/>
              </w:rPr>
              <w:t>参与星级</w:t>
            </w:r>
            <w:r>
              <w:rPr>
                <w:rFonts w:hint="default" w:ascii="仿宋_GB2312" w:hAnsi="宋体" w:eastAsia="仿宋_GB2312" w:cs="仿宋_GB2312"/>
                <w:i w:val="0"/>
                <w:iCs w:val="0"/>
                <w:caps w:val="0"/>
                <w:color w:val="666666"/>
                <w:spacing w:val="0"/>
                <w:sz w:val="24"/>
                <w:szCs w:val="24"/>
                <w:shd w:val="clear" w:fill="FFFFFF"/>
                <w:lang w:val="en-US" w:eastAsia="zh-CN"/>
              </w:rPr>
              <w:t>评定</w:t>
            </w:r>
          </w:p>
        </w:tc>
        <w:tc>
          <w:tcPr>
            <w:tcW w:w="1087" w:type="dxa"/>
            <w:tcBorders>
              <w:top w:val="single" w:color="auto" w:sz="6" w:space="0"/>
              <w:left w:val="single" w:color="auto" w:sz="6" w:space="0"/>
              <w:bottom w:val="single" w:color="auto" w:sz="6" w:space="0"/>
              <w:right w:val="outset" w:color="auto" w:sz="6" w:space="0"/>
            </w:tcBorders>
            <w:shd w:val="clear" w:color="auto" w:fill="FFFFFF"/>
            <w:noWrap w:val="0"/>
            <w:tcMar>
              <w:top w:w="-1" w:type="dxa"/>
              <w:left w:w="-1" w:type="dxa"/>
              <w:bottom w:w="-1" w:type="dxa"/>
              <w:right w:w="-1" w:type="dxa"/>
            </w:tcMar>
            <w:vAlign w:val="center"/>
          </w:tcPr>
          <w:p w14:paraId="7D12C38B">
            <w:pPr>
              <w:pStyle w:val="6"/>
              <w:keepNext w:val="0"/>
              <w:keepLines w:val="0"/>
              <w:widowControl/>
              <w:suppressLineNumbers w:val="0"/>
              <w:pBdr>
                <w:top w:val="none" w:color="auto" w:sz="0" w:space="0"/>
                <w:left w:val="none" w:color="auto" w:sz="0" w:space="0"/>
                <w:bottom w:val="none" w:color="auto" w:sz="0" w:space="0"/>
                <w:right w:val="none" w:color="auto" w:sz="0" w:space="0"/>
              </w:pBdr>
              <w:snapToGrid w:val="0"/>
              <w:spacing w:before="0" w:beforeAutospacing="0" w:after="0" w:afterAutospacing="0"/>
              <w:ind w:left="0" w:leftChars="0" w:right="0" w:rightChars="0" w:firstLine="0" w:firstLineChars="0"/>
              <w:jc w:val="center"/>
              <w:rPr>
                <w:rFonts w:hint="default" w:ascii="仿宋_GB2312" w:hAnsi="宋体" w:eastAsia="仿宋_GB2312" w:cs="仿宋_GB2312"/>
                <w:i w:val="0"/>
                <w:iCs w:val="0"/>
                <w:caps w:val="0"/>
                <w:color w:val="666666"/>
                <w:spacing w:val="0"/>
                <w:sz w:val="24"/>
                <w:szCs w:val="24"/>
                <w:shd w:val="clear" w:fill="FFFFFF"/>
                <w:lang w:val="en-US" w:eastAsia="zh-CN"/>
              </w:rPr>
            </w:pPr>
            <w:r>
              <w:rPr>
                <w:rFonts w:hint="eastAsia" w:ascii="仿宋_GB2312" w:hAnsi="宋体" w:eastAsia="仿宋_GB2312" w:cs="仿宋_GB2312"/>
                <w:i w:val="0"/>
                <w:iCs w:val="0"/>
                <w:caps w:val="0"/>
                <w:color w:val="666666"/>
                <w:spacing w:val="0"/>
                <w:sz w:val="24"/>
                <w:szCs w:val="24"/>
                <w:shd w:val="clear" w:fill="FFFFFF"/>
                <w:lang w:val="en-US" w:eastAsia="zh-CN"/>
              </w:rPr>
              <w:t>5</w:t>
            </w:r>
          </w:p>
        </w:tc>
        <w:tc>
          <w:tcPr>
            <w:tcW w:w="3047" w:type="dxa"/>
            <w:tcBorders>
              <w:top w:val="single" w:color="auto" w:sz="6" w:space="0"/>
              <w:left w:val="single" w:color="auto" w:sz="6" w:space="0"/>
              <w:bottom w:val="single" w:color="auto" w:sz="6" w:space="0"/>
              <w:right w:val="outset" w:color="auto" w:sz="6" w:space="0"/>
            </w:tcBorders>
            <w:shd w:val="clear" w:color="auto" w:fill="FFFFFF"/>
            <w:noWrap w:val="0"/>
            <w:tcMar>
              <w:top w:w="-1" w:type="dxa"/>
              <w:left w:w="-1" w:type="dxa"/>
              <w:bottom w:w="-1" w:type="dxa"/>
              <w:right w:w="-1" w:type="dxa"/>
            </w:tcMar>
            <w:vAlign w:val="center"/>
          </w:tcPr>
          <w:p w14:paraId="22BE872C">
            <w:pPr>
              <w:pStyle w:val="6"/>
              <w:keepNext w:val="0"/>
              <w:keepLines w:val="0"/>
              <w:widowControl/>
              <w:suppressLineNumbers w:val="0"/>
              <w:pBdr>
                <w:top w:val="none" w:color="auto" w:sz="0" w:space="0"/>
                <w:left w:val="none" w:color="auto" w:sz="0" w:space="0"/>
                <w:bottom w:val="none" w:color="auto" w:sz="0" w:space="0"/>
                <w:right w:val="none" w:color="auto" w:sz="0" w:space="0"/>
              </w:pBdr>
              <w:snapToGrid w:val="0"/>
              <w:spacing w:before="0" w:beforeAutospacing="0" w:after="0" w:afterAutospacing="0"/>
              <w:ind w:left="0" w:leftChars="0" w:right="0" w:rightChars="0" w:firstLine="0" w:firstLineChars="0"/>
              <w:jc w:val="center"/>
              <w:rPr>
                <w:rFonts w:hint="eastAsia" w:ascii="仿宋_GB2312" w:hAnsi="宋体" w:eastAsia="仿宋_GB2312" w:cs="仿宋_GB2312"/>
                <w:i w:val="0"/>
                <w:iCs w:val="0"/>
                <w:caps w:val="0"/>
                <w:color w:val="666666"/>
                <w:spacing w:val="0"/>
                <w:sz w:val="24"/>
                <w:szCs w:val="24"/>
                <w:shd w:val="clear" w:fill="FFFFFF"/>
                <w:lang w:eastAsia="zh-CN"/>
              </w:rPr>
            </w:pPr>
            <w:r>
              <w:rPr>
                <w:rFonts w:hint="eastAsia" w:ascii="仿宋_GB2312" w:hAnsi="宋体" w:eastAsia="仿宋_GB2312" w:cs="仿宋_GB2312"/>
                <w:i w:val="0"/>
                <w:iCs w:val="0"/>
                <w:caps w:val="0"/>
                <w:color w:val="666666"/>
                <w:spacing w:val="0"/>
                <w:sz w:val="24"/>
                <w:szCs w:val="24"/>
                <w:shd w:val="clear" w:fill="FFFFFF"/>
                <w:lang w:eastAsia="zh-CN"/>
              </w:rPr>
              <w:t>五星级养老机构：</w:t>
            </w:r>
            <w:r>
              <w:rPr>
                <w:rFonts w:hint="default" w:ascii="仿宋_GB2312" w:hAnsi="宋体" w:eastAsia="仿宋_GB2312" w:cs="仿宋_GB2312"/>
                <w:i w:val="0"/>
                <w:iCs w:val="0"/>
                <w:caps w:val="0"/>
                <w:color w:val="666666"/>
                <w:spacing w:val="0"/>
                <w:sz w:val="24"/>
                <w:szCs w:val="24"/>
                <w:shd w:val="clear" w:fill="FFFFFF"/>
                <w:lang w:eastAsia="zh-CN"/>
              </w:rPr>
              <w:t>5</w:t>
            </w:r>
            <w:r>
              <w:rPr>
                <w:rFonts w:hint="eastAsia" w:ascii="仿宋_GB2312" w:hAnsi="宋体" w:eastAsia="仿宋_GB2312" w:cs="仿宋_GB2312"/>
                <w:i w:val="0"/>
                <w:iCs w:val="0"/>
                <w:caps w:val="0"/>
                <w:color w:val="666666"/>
                <w:spacing w:val="0"/>
                <w:sz w:val="24"/>
                <w:szCs w:val="24"/>
                <w:shd w:val="clear" w:fill="FFFFFF"/>
                <w:lang w:eastAsia="zh-CN"/>
              </w:rPr>
              <w:t>分。</w:t>
            </w:r>
          </w:p>
          <w:p w14:paraId="59365711">
            <w:pPr>
              <w:pStyle w:val="6"/>
              <w:keepNext w:val="0"/>
              <w:keepLines w:val="0"/>
              <w:widowControl/>
              <w:suppressLineNumbers w:val="0"/>
              <w:pBdr>
                <w:top w:val="none" w:color="auto" w:sz="0" w:space="0"/>
                <w:left w:val="none" w:color="auto" w:sz="0" w:space="0"/>
                <w:bottom w:val="none" w:color="auto" w:sz="0" w:space="0"/>
                <w:right w:val="none" w:color="auto" w:sz="0" w:space="0"/>
              </w:pBdr>
              <w:snapToGrid w:val="0"/>
              <w:spacing w:before="0" w:beforeAutospacing="0" w:after="0" w:afterAutospacing="0"/>
              <w:ind w:left="0" w:leftChars="0" w:right="0" w:rightChars="0" w:firstLine="0" w:firstLineChars="0"/>
              <w:jc w:val="center"/>
              <w:rPr>
                <w:rFonts w:hint="eastAsia" w:ascii="仿宋_GB2312" w:hAnsi="宋体" w:eastAsia="仿宋_GB2312" w:cs="仿宋_GB2312"/>
                <w:i w:val="0"/>
                <w:iCs w:val="0"/>
                <w:caps w:val="0"/>
                <w:color w:val="666666"/>
                <w:spacing w:val="0"/>
                <w:sz w:val="24"/>
                <w:szCs w:val="24"/>
                <w:shd w:val="clear" w:fill="FFFFFF"/>
                <w:lang w:eastAsia="zh-CN"/>
              </w:rPr>
            </w:pPr>
            <w:r>
              <w:rPr>
                <w:rFonts w:hint="eastAsia" w:ascii="仿宋_GB2312" w:hAnsi="宋体" w:eastAsia="仿宋_GB2312" w:cs="仿宋_GB2312"/>
                <w:i w:val="0"/>
                <w:iCs w:val="0"/>
                <w:caps w:val="0"/>
                <w:color w:val="666666"/>
                <w:spacing w:val="0"/>
                <w:sz w:val="24"/>
                <w:szCs w:val="24"/>
                <w:shd w:val="clear" w:fill="FFFFFF"/>
                <w:lang w:eastAsia="zh-CN"/>
              </w:rPr>
              <w:t>四星级养老机构：</w:t>
            </w:r>
            <w:r>
              <w:rPr>
                <w:rFonts w:hint="default" w:ascii="仿宋_GB2312" w:hAnsi="宋体" w:eastAsia="仿宋_GB2312" w:cs="仿宋_GB2312"/>
                <w:i w:val="0"/>
                <w:iCs w:val="0"/>
                <w:caps w:val="0"/>
                <w:color w:val="666666"/>
                <w:spacing w:val="0"/>
                <w:sz w:val="24"/>
                <w:szCs w:val="24"/>
                <w:shd w:val="clear" w:fill="FFFFFF"/>
                <w:lang w:eastAsia="zh-CN"/>
              </w:rPr>
              <w:t>4</w:t>
            </w:r>
            <w:r>
              <w:rPr>
                <w:rFonts w:hint="eastAsia" w:ascii="仿宋_GB2312" w:hAnsi="宋体" w:eastAsia="仿宋_GB2312" w:cs="仿宋_GB2312"/>
                <w:i w:val="0"/>
                <w:iCs w:val="0"/>
                <w:caps w:val="0"/>
                <w:color w:val="666666"/>
                <w:spacing w:val="0"/>
                <w:sz w:val="24"/>
                <w:szCs w:val="24"/>
                <w:shd w:val="clear" w:fill="FFFFFF"/>
                <w:lang w:eastAsia="zh-CN"/>
              </w:rPr>
              <w:t>分。</w:t>
            </w:r>
          </w:p>
          <w:p w14:paraId="088E1693">
            <w:pPr>
              <w:pStyle w:val="6"/>
              <w:keepNext w:val="0"/>
              <w:keepLines w:val="0"/>
              <w:widowControl/>
              <w:suppressLineNumbers w:val="0"/>
              <w:pBdr>
                <w:top w:val="none" w:color="auto" w:sz="0" w:space="0"/>
                <w:left w:val="none" w:color="auto" w:sz="0" w:space="0"/>
                <w:bottom w:val="none" w:color="auto" w:sz="0" w:space="0"/>
                <w:right w:val="none" w:color="auto" w:sz="0" w:space="0"/>
              </w:pBdr>
              <w:snapToGrid w:val="0"/>
              <w:spacing w:before="0" w:beforeAutospacing="0" w:after="0" w:afterAutospacing="0"/>
              <w:ind w:left="0" w:leftChars="0" w:right="0" w:rightChars="0" w:firstLine="0" w:firstLineChars="0"/>
              <w:jc w:val="center"/>
              <w:rPr>
                <w:rFonts w:hint="eastAsia" w:ascii="仿宋_GB2312" w:hAnsi="宋体" w:eastAsia="仿宋_GB2312" w:cs="仿宋_GB2312"/>
                <w:i w:val="0"/>
                <w:iCs w:val="0"/>
                <w:caps w:val="0"/>
                <w:color w:val="666666"/>
                <w:spacing w:val="0"/>
                <w:sz w:val="24"/>
                <w:szCs w:val="24"/>
                <w:shd w:val="clear" w:fill="FFFFFF"/>
                <w:lang w:eastAsia="zh-CN"/>
              </w:rPr>
            </w:pPr>
            <w:r>
              <w:rPr>
                <w:rFonts w:hint="eastAsia" w:ascii="仿宋_GB2312" w:hAnsi="宋体" w:eastAsia="仿宋_GB2312" w:cs="仿宋_GB2312"/>
                <w:i w:val="0"/>
                <w:iCs w:val="0"/>
                <w:caps w:val="0"/>
                <w:color w:val="666666"/>
                <w:spacing w:val="0"/>
                <w:sz w:val="24"/>
                <w:szCs w:val="24"/>
                <w:shd w:val="clear" w:fill="FFFFFF"/>
                <w:lang w:eastAsia="zh-CN"/>
              </w:rPr>
              <w:t>三星级养老机构：</w:t>
            </w:r>
            <w:r>
              <w:rPr>
                <w:rFonts w:hint="default" w:ascii="仿宋_GB2312" w:hAnsi="宋体" w:eastAsia="仿宋_GB2312" w:cs="仿宋_GB2312"/>
                <w:i w:val="0"/>
                <w:iCs w:val="0"/>
                <w:caps w:val="0"/>
                <w:color w:val="666666"/>
                <w:spacing w:val="0"/>
                <w:sz w:val="24"/>
                <w:szCs w:val="24"/>
                <w:shd w:val="clear" w:fill="FFFFFF"/>
                <w:lang w:eastAsia="zh-CN"/>
              </w:rPr>
              <w:t>3</w:t>
            </w:r>
            <w:r>
              <w:rPr>
                <w:rFonts w:hint="eastAsia" w:ascii="仿宋_GB2312" w:hAnsi="宋体" w:eastAsia="仿宋_GB2312" w:cs="仿宋_GB2312"/>
                <w:i w:val="0"/>
                <w:iCs w:val="0"/>
                <w:caps w:val="0"/>
                <w:color w:val="666666"/>
                <w:spacing w:val="0"/>
                <w:sz w:val="24"/>
                <w:szCs w:val="24"/>
                <w:shd w:val="clear" w:fill="FFFFFF"/>
                <w:lang w:eastAsia="zh-CN"/>
              </w:rPr>
              <w:t>分。</w:t>
            </w:r>
          </w:p>
          <w:p w14:paraId="4E6890ED">
            <w:pPr>
              <w:pStyle w:val="6"/>
              <w:keepNext w:val="0"/>
              <w:keepLines w:val="0"/>
              <w:widowControl/>
              <w:suppressLineNumbers w:val="0"/>
              <w:pBdr>
                <w:top w:val="none" w:color="auto" w:sz="0" w:space="0"/>
                <w:left w:val="none" w:color="auto" w:sz="0" w:space="0"/>
                <w:bottom w:val="none" w:color="auto" w:sz="0" w:space="0"/>
                <w:right w:val="none" w:color="auto" w:sz="0" w:space="0"/>
              </w:pBdr>
              <w:snapToGrid w:val="0"/>
              <w:spacing w:before="0" w:beforeAutospacing="0" w:after="0" w:afterAutospacing="0"/>
              <w:ind w:left="0" w:leftChars="0" w:right="0" w:rightChars="0" w:firstLine="0" w:firstLineChars="0"/>
              <w:jc w:val="center"/>
              <w:rPr>
                <w:rFonts w:hint="eastAsia" w:ascii="仿宋_GB2312" w:hAnsi="宋体" w:eastAsia="仿宋_GB2312" w:cs="仿宋_GB2312"/>
                <w:i w:val="0"/>
                <w:iCs w:val="0"/>
                <w:caps w:val="0"/>
                <w:color w:val="666666"/>
                <w:spacing w:val="0"/>
                <w:sz w:val="24"/>
                <w:szCs w:val="24"/>
                <w:shd w:val="clear" w:fill="FFFFFF"/>
                <w:lang w:eastAsia="zh-CN"/>
              </w:rPr>
            </w:pPr>
            <w:r>
              <w:rPr>
                <w:rFonts w:hint="eastAsia" w:ascii="仿宋_GB2312" w:hAnsi="宋体" w:eastAsia="仿宋_GB2312" w:cs="仿宋_GB2312"/>
                <w:i w:val="0"/>
                <w:iCs w:val="0"/>
                <w:caps w:val="0"/>
                <w:color w:val="666666"/>
                <w:spacing w:val="0"/>
                <w:sz w:val="24"/>
                <w:szCs w:val="24"/>
                <w:shd w:val="clear" w:fill="FFFFFF"/>
                <w:lang w:eastAsia="zh-CN"/>
              </w:rPr>
              <w:t>二星级养老机构：</w:t>
            </w:r>
            <w:r>
              <w:rPr>
                <w:rFonts w:hint="default" w:ascii="仿宋_GB2312" w:hAnsi="宋体" w:eastAsia="仿宋_GB2312" w:cs="仿宋_GB2312"/>
                <w:i w:val="0"/>
                <w:iCs w:val="0"/>
                <w:caps w:val="0"/>
                <w:color w:val="666666"/>
                <w:spacing w:val="0"/>
                <w:sz w:val="24"/>
                <w:szCs w:val="24"/>
                <w:shd w:val="clear" w:fill="FFFFFF"/>
                <w:lang w:eastAsia="zh-CN"/>
              </w:rPr>
              <w:t>2</w:t>
            </w:r>
            <w:r>
              <w:rPr>
                <w:rFonts w:hint="eastAsia" w:ascii="仿宋_GB2312" w:hAnsi="宋体" w:eastAsia="仿宋_GB2312" w:cs="仿宋_GB2312"/>
                <w:i w:val="0"/>
                <w:iCs w:val="0"/>
                <w:caps w:val="0"/>
                <w:color w:val="666666"/>
                <w:spacing w:val="0"/>
                <w:sz w:val="24"/>
                <w:szCs w:val="24"/>
                <w:shd w:val="clear" w:fill="FFFFFF"/>
                <w:lang w:eastAsia="zh-CN"/>
              </w:rPr>
              <w:t>分。</w:t>
            </w:r>
          </w:p>
          <w:p w14:paraId="25CE02F1">
            <w:pPr>
              <w:pStyle w:val="6"/>
              <w:keepNext w:val="0"/>
              <w:keepLines w:val="0"/>
              <w:widowControl/>
              <w:suppressLineNumbers w:val="0"/>
              <w:pBdr>
                <w:top w:val="none" w:color="auto" w:sz="0" w:space="0"/>
                <w:left w:val="none" w:color="auto" w:sz="0" w:space="0"/>
                <w:bottom w:val="none" w:color="auto" w:sz="0" w:space="0"/>
                <w:right w:val="none" w:color="auto" w:sz="0" w:space="0"/>
              </w:pBdr>
              <w:snapToGrid w:val="0"/>
              <w:spacing w:before="0" w:beforeAutospacing="0" w:after="0" w:afterAutospacing="0"/>
              <w:ind w:left="0" w:leftChars="0" w:right="0" w:rightChars="0" w:firstLine="0" w:firstLineChars="0"/>
              <w:jc w:val="center"/>
              <w:rPr>
                <w:rFonts w:hint="eastAsia" w:ascii="仿宋_GB2312" w:hAnsi="宋体" w:eastAsia="仿宋_GB2312" w:cs="仿宋_GB2312"/>
                <w:i w:val="0"/>
                <w:iCs w:val="0"/>
                <w:caps w:val="0"/>
                <w:color w:val="666666"/>
                <w:spacing w:val="0"/>
                <w:sz w:val="24"/>
                <w:szCs w:val="24"/>
                <w:shd w:val="clear" w:fill="FFFFFF"/>
                <w:lang w:eastAsia="zh-CN"/>
              </w:rPr>
            </w:pPr>
            <w:r>
              <w:rPr>
                <w:rFonts w:hint="eastAsia" w:ascii="仿宋_GB2312" w:hAnsi="宋体" w:eastAsia="仿宋_GB2312" w:cs="仿宋_GB2312"/>
                <w:i w:val="0"/>
                <w:iCs w:val="0"/>
                <w:caps w:val="0"/>
                <w:color w:val="666666"/>
                <w:spacing w:val="0"/>
                <w:sz w:val="24"/>
                <w:szCs w:val="24"/>
                <w:shd w:val="clear" w:fill="FFFFFF"/>
                <w:lang w:eastAsia="zh-CN"/>
              </w:rPr>
              <w:t>一星级养老机构：</w:t>
            </w:r>
            <w:r>
              <w:rPr>
                <w:rFonts w:hint="default" w:ascii="仿宋_GB2312" w:hAnsi="宋体" w:eastAsia="仿宋_GB2312" w:cs="仿宋_GB2312"/>
                <w:i w:val="0"/>
                <w:iCs w:val="0"/>
                <w:caps w:val="0"/>
                <w:color w:val="666666"/>
                <w:spacing w:val="0"/>
                <w:sz w:val="24"/>
                <w:szCs w:val="24"/>
                <w:shd w:val="clear" w:fill="FFFFFF"/>
                <w:lang w:eastAsia="zh-CN"/>
              </w:rPr>
              <w:t>1</w:t>
            </w:r>
            <w:r>
              <w:rPr>
                <w:rFonts w:hint="eastAsia" w:ascii="仿宋_GB2312" w:hAnsi="宋体" w:eastAsia="仿宋_GB2312" w:cs="仿宋_GB2312"/>
                <w:i w:val="0"/>
                <w:iCs w:val="0"/>
                <w:caps w:val="0"/>
                <w:color w:val="666666"/>
                <w:spacing w:val="0"/>
                <w:sz w:val="24"/>
                <w:szCs w:val="24"/>
                <w:shd w:val="clear" w:fill="FFFFFF"/>
                <w:lang w:eastAsia="zh-CN"/>
              </w:rPr>
              <w:t>分。</w:t>
            </w:r>
          </w:p>
          <w:p w14:paraId="21BD6B2F">
            <w:pPr>
              <w:pStyle w:val="6"/>
              <w:keepNext w:val="0"/>
              <w:keepLines w:val="0"/>
              <w:widowControl/>
              <w:suppressLineNumbers w:val="0"/>
              <w:pBdr>
                <w:top w:val="none" w:color="auto" w:sz="0" w:space="0"/>
                <w:left w:val="none" w:color="auto" w:sz="0" w:space="0"/>
                <w:bottom w:val="none" w:color="auto" w:sz="0" w:space="0"/>
                <w:right w:val="none" w:color="auto" w:sz="0" w:space="0"/>
              </w:pBdr>
              <w:snapToGrid w:val="0"/>
              <w:spacing w:before="0" w:beforeAutospacing="0" w:after="0" w:afterAutospacing="0"/>
              <w:ind w:left="0" w:leftChars="0" w:right="0" w:rightChars="0" w:firstLine="0" w:firstLineChars="0"/>
              <w:jc w:val="center"/>
              <w:rPr>
                <w:rFonts w:hint="eastAsia" w:ascii="仿宋_GB2312" w:hAnsi="宋体" w:eastAsia="仿宋_GB2312" w:cs="仿宋_GB2312"/>
                <w:i w:val="0"/>
                <w:iCs w:val="0"/>
                <w:caps w:val="0"/>
                <w:color w:val="666666"/>
                <w:spacing w:val="0"/>
                <w:sz w:val="24"/>
                <w:szCs w:val="24"/>
                <w:shd w:val="clear" w:fill="FFFFFF"/>
                <w:lang w:eastAsia="zh-CN"/>
              </w:rPr>
            </w:pPr>
            <w:r>
              <w:rPr>
                <w:rFonts w:hint="eastAsia" w:ascii="仿宋_GB2312" w:hAnsi="宋体" w:eastAsia="仿宋_GB2312" w:cs="仿宋_GB2312"/>
                <w:i w:val="0"/>
                <w:iCs w:val="0"/>
                <w:caps w:val="0"/>
                <w:color w:val="666666"/>
                <w:spacing w:val="0"/>
                <w:sz w:val="24"/>
                <w:szCs w:val="24"/>
                <w:shd w:val="clear" w:fill="FFFFFF"/>
                <w:lang w:eastAsia="zh-CN"/>
              </w:rPr>
              <w:t>无等级：</w:t>
            </w:r>
            <w:r>
              <w:rPr>
                <w:rFonts w:hint="default" w:ascii="仿宋_GB2312" w:hAnsi="宋体" w:eastAsia="仿宋_GB2312" w:cs="仿宋_GB2312"/>
                <w:i w:val="0"/>
                <w:iCs w:val="0"/>
                <w:caps w:val="0"/>
                <w:color w:val="666666"/>
                <w:spacing w:val="0"/>
                <w:sz w:val="24"/>
                <w:szCs w:val="24"/>
                <w:shd w:val="clear" w:fill="FFFFFF"/>
                <w:lang w:eastAsia="zh-CN"/>
              </w:rPr>
              <w:t>0</w:t>
            </w:r>
            <w:r>
              <w:rPr>
                <w:rFonts w:hint="eastAsia" w:ascii="仿宋_GB2312" w:hAnsi="宋体" w:eastAsia="仿宋_GB2312" w:cs="仿宋_GB2312"/>
                <w:i w:val="0"/>
                <w:iCs w:val="0"/>
                <w:caps w:val="0"/>
                <w:color w:val="666666"/>
                <w:spacing w:val="0"/>
                <w:sz w:val="24"/>
                <w:szCs w:val="24"/>
                <w:shd w:val="clear" w:fill="FFFFFF"/>
                <w:lang w:eastAsia="zh-CN"/>
              </w:rPr>
              <w:t>分。</w:t>
            </w:r>
          </w:p>
        </w:tc>
      </w:tr>
      <w:tr w14:paraId="5FF8B77D">
        <w:tblPrEx>
          <w:tblBorders>
            <w:top w:val="single" w:color="000000" w:sz="6" w:space="0"/>
            <w:left w:val="single" w:color="000000" w:sz="6" w:space="0"/>
            <w:bottom w:val="single" w:color="000000" w:sz="6" w:space="0"/>
            <w:right w:val="single" w:color="000000" w:sz="6" w:space="0"/>
            <w:insideH w:val="outset" w:color="auto" w:sz="6" w:space="0"/>
            <w:insideV w:val="outset" w:color="auto" w:sz="6" w:space="0"/>
          </w:tblBorders>
          <w:tblCellMar>
            <w:top w:w="0" w:type="dxa"/>
            <w:left w:w="0" w:type="dxa"/>
            <w:bottom w:w="0" w:type="dxa"/>
            <w:right w:w="0" w:type="dxa"/>
          </w:tblCellMar>
        </w:tblPrEx>
        <w:trPr>
          <w:trHeight w:val="0" w:hRule="atLeast"/>
          <w:jc w:val="center"/>
        </w:trPr>
        <w:tc>
          <w:tcPr>
            <w:tcW w:w="551" w:type="dxa"/>
            <w:tcBorders>
              <w:top w:val="single" w:color="auto" w:sz="6" w:space="0"/>
              <w:left w:val="outset" w:color="auto" w:sz="6" w:space="0"/>
              <w:bottom w:val="single" w:color="auto" w:sz="6" w:space="0"/>
              <w:right w:val="single" w:color="auto" w:sz="6" w:space="0"/>
            </w:tcBorders>
            <w:shd w:val="clear" w:color="auto" w:fill="FFFFFF"/>
            <w:noWrap w:val="0"/>
            <w:tcMar>
              <w:top w:w="-1" w:type="dxa"/>
              <w:left w:w="-1" w:type="dxa"/>
              <w:bottom w:w="-1" w:type="dxa"/>
              <w:right w:w="-1" w:type="dxa"/>
            </w:tcMar>
            <w:vAlign w:val="center"/>
          </w:tcPr>
          <w:p w14:paraId="4F18A344">
            <w:pPr>
              <w:pStyle w:val="6"/>
              <w:keepNext w:val="0"/>
              <w:keepLines w:val="0"/>
              <w:widowControl/>
              <w:suppressLineNumbers w:val="0"/>
              <w:pBdr>
                <w:top w:val="none" w:color="auto" w:sz="0" w:space="0"/>
                <w:left w:val="none" w:color="auto" w:sz="0" w:space="0"/>
                <w:bottom w:val="none" w:color="auto" w:sz="0" w:space="0"/>
                <w:right w:val="none" w:color="auto" w:sz="0" w:space="0"/>
              </w:pBdr>
              <w:snapToGrid w:val="0"/>
              <w:spacing w:before="0" w:beforeAutospacing="0" w:after="0" w:afterAutospacing="0"/>
              <w:ind w:left="0" w:leftChars="0" w:right="0" w:rightChars="0" w:firstLine="0" w:firstLineChars="0"/>
              <w:jc w:val="center"/>
              <w:rPr>
                <w:rFonts w:hint="eastAsia" w:ascii="方正仿宋_GBK" w:hAnsi="Times New Roman" w:eastAsia="方正仿宋_GBK" w:cs="Times New Roman"/>
                <w:b w:val="0"/>
                <w:bCs w:val="0"/>
                <w:i w:val="0"/>
                <w:iCs w:val="0"/>
                <w:caps w:val="0"/>
                <w:color w:val="333333"/>
                <w:spacing w:val="0"/>
                <w:sz w:val="22"/>
                <w:szCs w:val="22"/>
                <w:lang w:val="en-US" w:eastAsia="zh-CN"/>
              </w:rPr>
            </w:pPr>
            <w:r>
              <w:rPr>
                <w:rFonts w:hint="eastAsia" w:ascii="方正仿宋_GBK" w:hAnsi="Times New Roman" w:eastAsia="方正仿宋_GBK" w:cs="Times New Roman"/>
                <w:b w:val="0"/>
                <w:bCs w:val="0"/>
                <w:i w:val="0"/>
                <w:iCs w:val="0"/>
                <w:caps w:val="0"/>
                <w:color w:val="333333"/>
                <w:spacing w:val="0"/>
                <w:sz w:val="22"/>
                <w:szCs w:val="22"/>
                <w:lang w:val="en-US" w:eastAsia="zh-CN"/>
              </w:rPr>
              <w:t>3</w:t>
            </w:r>
          </w:p>
        </w:tc>
        <w:tc>
          <w:tcPr>
            <w:tcW w:w="1121" w:type="dxa"/>
            <w:tcBorders>
              <w:top w:val="single" w:color="auto" w:sz="6" w:space="0"/>
              <w:left w:val="single" w:color="auto" w:sz="6" w:space="0"/>
              <w:right w:val="single" w:color="auto" w:sz="6" w:space="0"/>
            </w:tcBorders>
            <w:shd w:val="clear" w:color="auto" w:fill="FFFFFF"/>
            <w:noWrap w:val="0"/>
            <w:tcMar>
              <w:top w:w="-1" w:type="dxa"/>
              <w:left w:w="-1" w:type="dxa"/>
              <w:bottom w:w="-1" w:type="dxa"/>
              <w:right w:w="-1" w:type="dxa"/>
            </w:tcMar>
            <w:vAlign w:val="center"/>
          </w:tcPr>
          <w:p w14:paraId="2B9344D2">
            <w:pPr>
              <w:pStyle w:val="6"/>
              <w:keepNext w:val="0"/>
              <w:keepLines w:val="0"/>
              <w:widowControl/>
              <w:suppressLineNumbers w:val="0"/>
              <w:pBdr>
                <w:top w:val="none" w:color="auto" w:sz="0" w:space="0"/>
                <w:left w:val="none" w:color="auto" w:sz="0" w:space="0"/>
                <w:bottom w:val="none" w:color="auto" w:sz="0" w:space="0"/>
                <w:right w:val="none" w:color="auto" w:sz="0" w:space="0"/>
              </w:pBdr>
              <w:snapToGrid w:val="0"/>
              <w:spacing w:before="0" w:beforeAutospacing="0" w:after="0" w:afterAutospacing="0"/>
              <w:ind w:left="0" w:leftChars="0" w:right="0" w:rightChars="0" w:firstLine="0" w:firstLineChars="0"/>
              <w:jc w:val="center"/>
              <w:rPr>
                <w:rFonts w:hint="eastAsia" w:ascii="仿宋_GB2312" w:hAnsi="宋体" w:eastAsia="仿宋_GB2312" w:cs="仿宋_GB2312"/>
                <w:i w:val="0"/>
                <w:iCs w:val="0"/>
                <w:caps w:val="0"/>
                <w:color w:val="666666"/>
                <w:spacing w:val="0"/>
                <w:sz w:val="24"/>
                <w:szCs w:val="24"/>
                <w:shd w:val="clear" w:fill="FFFFFF"/>
                <w:lang w:eastAsia="zh-CN"/>
              </w:rPr>
            </w:pPr>
            <w:r>
              <w:rPr>
                <w:rFonts w:hint="eastAsia" w:ascii="仿宋_GB2312" w:hAnsi="宋体" w:eastAsia="仿宋_GB2312" w:cs="仿宋_GB2312"/>
                <w:i w:val="0"/>
                <w:iCs w:val="0"/>
                <w:caps w:val="0"/>
                <w:color w:val="666666"/>
                <w:spacing w:val="0"/>
                <w:sz w:val="24"/>
                <w:szCs w:val="24"/>
                <w:shd w:val="clear" w:fill="FFFFFF"/>
                <w:lang w:eastAsia="zh-CN"/>
              </w:rPr>
              <w:t>守信信息</w:t>
            </w:r>
          </w:p>
        </w:tc>
        <w:tc>
          <w:tcPr>
            <w:tcW w:w="3034" w:type="dxa"/>
            <w:tcBorders>
              <w:top w:val="single" w:color="auto" w:sz="6" w:space="0"/>
              <w:left w:val="single" w:color="auto" w:sz="6" w:space="0"/>
              <w:bottom w:val="single" w:color="auto" w:sz="6" w:space="0"/>
              <w:right w:val="single" w:color="auto" w:sz="6" w:space="0"/>
            </w:tcBorders>
            <w:shd w:val="clear" w:color="auto" w:fill="FFFFFF"/>
            <w:noWrap w:val="0"/>
            <w:tcMar>
              <w:top w:w="-1" w:type="dxa"/>
              <w:left w:w="-1" w:type="dxa"/>
              <w:bottom w:w="-1" w:type="dxa"/>
              <w:right w:w="-1" w:type="dxa"/>
            </w:tcMar>
            <w:vAlign w:val="center"/>
          </w:tcPr>
          <w:p w14:paraId="627DCF59">
            <w:pPr>
              <w:pStyle w:val="6"/>
              <w:keepNext w:val="0"/>
              <w:keepLines w:val="0"/>
              <w:widowControl/>
              <w:suppressLineNumbers w:val="0"/>
              <w:pBdr>
                <w:top w:val="none" w:color="auto" w:sz="0" w:space="0"/>
                <w:left w:val="none" w:color="auto" w:sz="0" w:space="0"/>
                <w:bottom w:val="none" w:color="auto" w:sz="0" w:space="0"/>
                <w:right w:val="none" w:color="auto" w:sz="0" w:space="0"/>
              </w:pBdr>
              <w:snapToGrid w:val="0"/>
              <w:spacing w:before="0" w:beforeAutospacing="0" w:after="0" w:afterAutospacing="0"/>
              <w:ind w:left="0" w:leftChars="0" w:right="0" w:rightChars="0" w:firstLine="0" w:firstLineChars="0"/>
              <w:jc w:val="center"/>
              <w:rPr>
                <w:rFonts w:hint="eastAsia" w:ascii="仿宋_GB2312" w:hAnsi="宋体" w:eastAsia="仿宋_GB2312" w:cs="仿宋_GB2312"/>
                <w:i w:val="0"/>
                <w:iCs w:val="0"/>
                <w:caps w:val="0"/>
                <w:color w:val="666666"/>
                <w:spacing w:val="0"/>
                <w:sz w:val="24"/>
                <w:szCs w:val="24"/>
                <w:shd w:val="clear" w:fill="FFFFFF"/>
                <w:lang w:eastAsia="zh-CN"/>
              </w:rPr>
            </w:pPr>
            <w:r>
              <w:rPr>
                <w:rFonts w:hint="eastAsia" w:ascii="仿宋_GB2312" w:hAnsi="宋体" w:eastAsia="仿宋_GB2312" w:cs="仿宋_GB2312"/>
                <w:i w:val="0"/>
                <w:iCs w:val="0"/>
                <w:caps w:val="0"/>
                <w:color w:val="666666"/>
                <w:spacing w:val="0"/>
                <w:sz w:val="24"/>
                <w:szCs w:val="24"/>
                <w:shd w:val="clear" w:fill="FFFFFF"/>
                <w:lang w:eastAsia="zh-CN"/>
              </w:rPr>
              <w:t>由区民政部门根据《</w:t>
            </w:r>
            <w:r>
              <w:rPr>
                <w:rFonts w:hint="eastAsia" w:ascii="仿宋_GB2312" w:hAnsi="宋体" w:eastAsia="仿宋_GB2312" w:cs="仿宋_GB2312"/>
                <w:i w:val="0"/>
                <w:iCs w:val="0"/>
                <w:caps w:val="0"/>
                <w:color w:val="666666"/>
                <w:spacing w:val="0"/>
                <w:sz w:val="24"/>
                <w:szCs w:val="24"/>
                <w:shd w:val="clear" w:fill="FFFFFF"/>
                <w:lang w:val="en-US" w:eastAsia="zh-CN"/>
              </w:rPr>
              <w:t>南海区养老机构养老服务质量评估办法</w:t>
            </w:r>
            <w:r>
              <w:rPr>
                <w:rFonts w:hint="eastAsia" w:ascii="仿宋_GB2312" w:hAnsi="宋体" w:eastAsia="仿宋_GB2312" w:cs="仿宋_GB2312"/>
                <w:i w:val="0"/>
                <w:iCs w:val="0"/>
                <w:caps w:val="0"/>
                <w:color w:val="666666"/>
                <w:spacing w:val="0"/>
                <w:sz w:val="24"/>
                <w:szCs w:val="24"/>
                <w:shd w:val="clear" w:fill="FFFFFF"/>
                <w:lang w:eastAsia="zh-CN"/>
              </w:rPr>
              <w:t>》，从养老机构服务规范、安全管理、运营管理、老年人权益保护等方面组织开展</w:t>
            </w:r>
            <w:r>
              <w:rPr>
                <w:rFonts w:hint="eastAsia" w:ascii="仿宋_GB2312" w:hAnsi="宋体" w:eastAsia="仿宋_GB2312" w:cs="仿宋_GB2312"/>
                <w:i w:val="0"/>
                <w:iCs w:val="0"/>
                <w:caps w:val="0"/>
                <w:color w:val="666666"/>
                <w:spacing w:val="0"/>
                <w:sz w:val="24"/>
                <w:szCs w:val="24"/>
                <w:shd w:val="clear" w:fill="FFFFFF"/>
                <w:lang w:val="en-US" w:eastAsia="zh-CN"/>
              </w:rPr>
              <w:t>服务质量评估工作</w:t>
            </w:r>
          </w:p>
        </w:tc>
        <w:tc>
          <w:tcPr>
            <w:tcW w:w="1087" w:type="dxa"/>
            <w:tcBorders>
              <w:top w:val="single" w:color="auto" w:sz="6" w:space="0"/>
              <w:left w:val="single" w:color="auto" w:sz="6" w:space="0"/>
              <w:bottom w:val="single" w:color="auto" w:sz="6" w:space="0"/>
              <w:right w:val="outset" w:color="auto" w:sz="6" w:space="0"/>
            </w:tcBorders>
            <w:shd w:val="clear" w:color="auto" w:fill="FFFFFF"/>
            <w:noWrap w:val="0"/>
            <w:tcMar>
              <w:top w:w="-1" w:type="dxa"/>
              <w:left w:w="-1" w:type="dxa"/>
              <w:bottom w:w="-1" w:type="dxa"/>
              <w:right w:w="-1" w:type="dxa"/>
            </w:tcMar>
            <w:vAlign w:val="center"/>
          </w:tcPr>
          <w:p w14:paraId="7850A46A">
            <w:pPr>
              <w:pStyle w:val="6"/>
              <w:keepNext w:val="0"/>
              <w:keepLines w:val="0"/>
              <w:widowControl/>
              <w:suppressLineNumbers w:val="0"/>
              <w:pBdr>
                <w:top w:val="none" w:color="auto" w:sz="0" w:space="0"/>
                <w:left w:val="none" w:color="auto" w:sz="0" w:space="0"/>
                <w:bottom w:val="none" w:color="auto" w:sz="0" w:space="0"/>
                <w:right w:val="none" w:color="auto" w:sz="0" w:space="0"/>
              </w:pBdr>
              <w:snapToGrid w:val="0"/>
              <w:spacing w:before="0" w:beforeAutospacing="0" w:after="0" w:afterAutospacing="0"/>
              <w:ind w:left="0" w:leftChars="0" w:right="0" w:rightChars="0" w:firstLine="0" w:firstLineChars="0"/>
              <w:jc w:val="center"/>
              <w:rPr>
                <w:rFonts w:hint="default" w:ascii="仿宋_GB2312" w:hAnsi="宋体" w:eastAsia="仿宋_GB2312" w:cs="仿宋_GB2312"/>
                <w:i w:val="0"/>
                <w:iCs w:val="0"/>
                <w:caps w:val="0"/>
                <w:color w:val="666666"/>
                <w:spacing w:val="0"/>
                <w:sz w:val="24"/>
                <w:szCs w:val="24"/>
                <w:shd w:val="clear" w:fill="FFFFFF"/>
                <w:lang w:val="en-US" w:eastAsia="zh-CN"/>
              </w:rPr>
            </w:pPr>
            <w:r>
              <w:rPr>
                <w:rFonts w:hint="eastAsia" w:ascii="仿宋_GB2312" w:hAnsi="宋体" w:eastAsia="仿宋_GB2312" w:cs="仿宋_GB2312"/>
                <w:i w:val="0"/>
                <w:iCs w:val="0"/>
                <w:caps w:val="0"/>
                <w:color w:val="666666"/>
                <w:spacing w:val="0"/>
                <w:sz w:val="24"/>
                <w:szCs w:val="24"/>
                <w:shd w:val="clear" w:fill="FFFFFF"/>
                <w:lang w:val="en-US" w:eastAsia="zh-CN"/>
              </w:rPr>
              <w:t>80</w:t>
            </w:r>
          </w:p>
        </w:tc>
        <w:tc>
          <w:tcPr>
            <w:tcW w:w="3047" w:type="dxa"/>
            <w:tcBorders>
              <w:top w:val="single" w:color="auto" w:sz="6" w:space="0"/>
              <w:left w:val="single" w:color="auto" w:sz="6" w:space="0"/>
              <w:bottom w:val="single" w:color="auto" w:sz="6" w:space="0"/>
              <w:right w:val="outset" w:color="auto" w:sz="6" w:space="0"/>
            </w:tcBorders>
            <w:shd w:val="clear" w:color="auto" w:fill="FFFFFF"/>
            <w:noWrap w:val="0"/>
            <w:tcMar>
              <w:top w:w="-1" w:type="dxa"/>
              <w:left w:w="-1" w:type="dxa"/>
              <w:bottom w:w="-1" w:type="dxa"/>
              <w:right w:w="-1" w:type="dxa"/>
            </w:tcMar>
            <w:vAlign w:val="center"/>
          </w:tcPr>
          <w:p w14:paraId="3C684F41">
            <w:pPr>
              <w:pStyle w:val="6"/>
              <w:keepNext w:val="0"/>
              <w:keepLines w:val="0"/>
              <w:widowControl/>
              <w:suppressLineNumbers w:val="0"/>
              <w:pBdr>
                <w:top w:val="none" w:color="auto" w:sz="0" w:space="0"/>
                <w:left w:val="none" w:color="auto" w:sz="0" w:space="0"/>
                <w:bottom w:val="none" w:color="auto" w:sz="0" w:space="0"/>
                <w:right w:val="none" w:color="auto" w:sz="0" w:space="0"/>
              </w:pBdr>
              <w:snapToGrid w:val="0"/>
              <w:spacing w:before="0" w:beforeAutospacing="0" w:after="0" w:afterAutospacing="0"/>
              <w:ind w:left="0" w:leftChars="0" w:right="0" w:rightChars="0" w:firstLine="0" w:firstLineChars="0"/>
              <w:jc w:val="center"/>
              <w:rPr>
                <w:rFonts w:hint="eastAsia" w:ascii="仿宋_GB2312" w:hAnsi="宋体" w:eastAsia="仿宋_GB2312" w:cs="仿宋_GB2312"/>
                <w:i w:val="0"/>
                <w:iCs w:val="0"/>
                <w:caps w:val="0"/>
                <w:color w:val="666666"/>
                <w:spacing w:val="0"/>
                <w:sz w:val="24"/>
                <w:szCs w:val="24"/>
                <w:shd w:val="clear" w:fill="FFFFFF"/>
                <w:lang w:eastAsia="zh-CN"/>
              </w:rPr>
            </w:pPr>
            <w:r>
              <w:rPr>
                <w:rFonts w:hint="eastAsia" w:ascii="仿宋_GB2312" w:hAnsi="宋体" w:eastAsia="仿宋_GB2312" w:cs="仿宋_GB2312"/>
                <w:i w:val="0"/>
                <w:iCs w:val="0"/>
                <w:caps w:val="0"/>
                <w:color w:val="666666"/>
                <w:spacing w:val="0"/>
                <w:sz w:val="24"/>
                <w:szCs w:val="24"/>
                <w:shd w:val="clear" w:fill="FFFFFF"/>
                <w:lang w:val="en-US" w:eastAsia="zh-CN"/>
              </w:rPr>
              <w:t>养老机构养老服务质量评估得分结果*0.8</w:t>
            </w:r>
          </w:p>
        </w:tc>
      </w:tr>
      <w:tr w14:paraId="05CDAAEE">
        <w:tblPrEx>
          <w:tblBorders>
            <w:top w:val="single" w:color="000000" w:sz="6" w:space="0"/>
            <w:left w:val="single" w:color="000000" w:sz="6" w:space="0"/>
            <w:bottom w:val="single" w:color="000000" w:sz="6" w:space="0"/>
            <w:right w:val="single" w:color="000000" w:sz="6" w:space="0"/>
            <w:insideH w:val="outset" w:color="auto" w:sz="6" w:space="0"/>
            <w:insideV w:val="outset" w:color="auto" w:sz="6" w:space="0"/>
          </w:tblBorders>
          <w:tblCellMar>
            <w:top w:w="0" w:type="dxa"/>
            <w:left w:w="0" w:type="dxa"/>
            <w:bottom w:w="0" w:type="dxa"/>
            <w:right w:w="0" w:type="dxa"/>
          </w:tblCellMar>
        </w:tblPrEx>
        <w:trPr>
          <w:trHeight w:val="0" w:hRule="atLeast"/>
          <w:jc w:val="center"/>
        </w:trPr>
        <w:tc>
          <w:tcPr>
            <w:tcW w:w="551" w:type="dxa"/>
            <w:tcBorders>
              <w:top w:val="single" w:color="auto" w:sz="6" w:space="0"/>
              <w:left w:val="outset" w:color="auto" w:sz="6" w:space="0"/>
              <w:bottom w:val="single" w:color="auto" w:sz="6" w:space="0"/>
              <w:right w:val="single" w:color="auto" w:sz="6" w:space="0"/>
            </w:tcBorders>
            <w:shd w:val="clear" w:color="auto" w:fill="FFFFFF"/>
            <w:noWrap w:val="0"/>
            <w:tcMar>
              <w:top w:w="-1" w:type="dxa"/>
              <w:left w:w="-1" w:type="dxa"/>
              <w:bottom w:w="-1" w:type="dxa"/>
              <w:right w:w="-1" w:type="dxa"/>
            </w:tcMar>
            <w:vAlign w:val="center"/>
          </w:tcPr>
          <w:p w14:paraId="7631521D">
            <w:pPr>
              <w:pStyle w:val="6"/>
              <w:keepNext w:val="0"/>
              <w:keepLines w:val="0"/>
              <w:widowControl/>
              <w:suppressLineNumbers w:val="0"/>
              <w:pBdr>
                <w:top w:val="none" w:color="auto" w:sz="0" w:space="0"/>
                <w:left w:val="none" w:color="auto" w:sz="0" w:space="0"/>
                <w:bottom w:val="none" w:color="auto" w:sz="0" w:space="0"/>
                <w:right w:val="none" w:color="auto" w:sz="0" w:space="0"/>
              </w:pBdr>
              <w:snapToGrid w:val="0"/>
              <w:spacing w:before="0" w:beforeAutospacing="0" w:after="0" w:afterAutospacing="0"/>
              <w:ind w:left="0" w:leftChars="0" w:right="0" w:rightChars="0" w:firstLine="0" w:firstLineChars="0"/>
              <w:jc w:val="center"/>
              <w:rPr>
                <w:rFonts w:hint="eastAsia" w:ascii="方正仿宋_GBK" w:hAnsi="Times New Roman" w:eastAsia="方正仿宋_GBK" w:cs="Times New Roman"/>
                <w:b w:val="0"/>
                <w:bCs w:val="0"/>
                <w:i w:val="0"/>
                <w:iCs w:val="0"/>
                <w:caps w:val="0"/>
                <w:color w:val="333333"/>
                <w:spacing w:val="0"/>
                <w:sz w:val="22"/>
                <w:szCs w:val="22"/>
                <w:lang w:val="en-US" w:eastAsia="zh-CN"/>
              </w:rPr>
            </w:pPr>
            <w:r>
              <w:rPr>
                <w:rFonts w:hint="eastAsia" w:ascii="方正仿宋_GBK" w:hAnsi="Times New Roman" w:eastAsia="方正仿宋_GBK" w:cs="Times New Roman"/>
                <w:b w:val="0"/>
                <w:bCs w:val="0"/>
                <w:i w:val="0"/>
                <w:iCs w:val="0"/>
                <w:caps w:val="0"/>
                <w:color w:val="333333"/>
                <w:spacing w:val="0"/>
                <w:sz w:val="22"/>
                <w:szCs w:val="22"/>
                <w:lang w:val="en-US" w:eastAsia="zh-CN"/>
              </w:rPr>
              <w:t>4</w:t>
            </w:r>
          </w:p>
        </w:tc>
        <w:tc>
          <w:tcPr>
            <w:tcW w:w="1121" w:type="dxa"/>
            <w:vMerge w:val="restart"/>
            <w:tcBorders>
              <w:top w:val="single" w:color="auto" w:sz="6" w:space="0"/>
              <w:left w:val="single" w:color="auto" w:sz="6" w:space="0"/>
              <w:right w:val="single" w:color="auto" w:sz="6" w:space="0"/>
            </w:tcBorders>
            <w:shd w:val="clear" w:color="auto" w:fill="FFFFFF"/>
            <w:noWrap w:val="0"/>
            <w:tcMar>
              <w:top w:w="-1" w:type="dxa"/>
              <w:left w:w="-1" w:type="dxa"/>
              <w:bottom w:w="-1" w:type="dxa"/>
              <w:right w:w="-1" w:type="dxa"/>
            </w:tcMar>
            <w:vAlign w:val="center"/>
          </w:tcPr>
          <w:p w14:paraId="556EA924">
            <w:pPr>
              <w:pStyle w:val="6"/>
              <w:keepNext w:val="0"/>
              <w:keepLines w:val="0"/>
              <w:widowControl/>
              <w:suppressLineNumbers w:val="0"/>
              <w:pBdr>
                <w:top w:val="none" w:color="auto" w:sz="0" w:space="0"/>
                <w:left w:val="none" w:color="auto" w:sz="0" w:space="0"/>
                <w:bottom w:val="none" w:color="auto" w:sz="0" w:space="0"/>
                <w:right w:val="none" w:color="auto" w:sz="0" w:space="0"/>
              </w:pBdr>
              <w:snapToGrid w:val="0"/>
              <w:spacing w:before="0" w:beforeAutospacing="0" w:after="0" w:afterAutospacing="0"/>
              <w:ind w:left="0" w:leftChars="0" w:right="0" w:rightChars="0" w:firstLine="0" w:firstLineChars="0"/>
              <w:jc w:val="center"/>
              <w:rPr>
                <w:rFonts w:hint="eastAsia" w:ascii="仿宋_GB2312" w:hAnsi="宋体" w:eastAsia="仿宋_GB2312" w:cs="仿宋_GB2312"/>
                <w:i w:val="0"/>
                <w:iCs w:val="0"/>
                <w:caps w:val="0"/>
                <w:color w:val="666666"/>
                <w:spacing w:val="0"/>
                <w:sz w:val="24"/>
                <w:szCs w:val="24"/>
                <w:shd w:val="clear" w:fill="FFFFFF"/>
                <w:lang w:eastAsia="zh-CN"/>
              </w:rPr>
            </w:pPr>
            <w:r>
              <w:rPr>
                <w:rFonts w:hint="eastAsia" w:ascii="仿宋_GB2312" w:hAnsi="宋体" w:eastAsia="仿宋_GB2312" w:cs="仿宋_GB2312"/>
                <w:i w:val="0"/>
                <w:iCs w:val="0"/>
                <w:caps w:val="0"/>
                <w:color w:val="666666"/>
                <w:spacing w:val="0"/>
                <w:sz w:val="24"/>
                <w:szCs w:val="24"/>
                <w:shd w:val="clear" w:fill="FFFFFF"/>
                <w:lang w:eastAsia="zh-CN"/>
              </w:rPr>
              <w:t>失信信息</w:t>
            </w:r>
          </w:p>
        </w:tc>
        <w:tc>
          <w:tcPr>
            <w:tcW w:w="3034" w:type="dxa"/>
            <w:tcBorders>
              <w:top w:val="single" w:color="auto" w:sz="6" w:space="0"/>
              <w:left w:val="single" w:color="auto" w:sz="6" w:space="0"/>
              <w:bottom w:val="single" w:color="auto" w:sz="6" w:space="0"/>
              <w:right w:val="single" w:color="auto" w:sz="6" w:space="0"/>
            </w:tcBorders>
            <w:shd w:val="clear" w:color="auto" w:fill="FFFFFF"/>
            <w:noWrap w:val="0"/>
            <w:tcMar>
              <w:top w:w="-1" w:type="dxa"/>
              <w:left w:w="-1" w:type="dxa"/>
              <w:bottom w:w="-1" w:type="dxa"/>
              <w:right w:w="-1" w:type="dxa"/>
            </w:tcMar>
            <w:vAlign w:val="center"/>
          </w:tcPr>
          <w:p w14:paraId="4702B963">
            <w:pPr>
              <w:pStyle w:val="6"/>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napToGrid w:val="0"/>
              <w:spacing w:before="0" w:beforeAutospacing="0" w:after="0" w:afterAutospacing="0"/>
              <w:ind w:leftChars="0" w:right="0" w:rightChars="0"/>
              <w:jc w:val="center"/>
              <w:rPr>
                <w:rFonts w:hint="eastAsia" w:ascii="仿宋_GB2312" w:hAnsi="宋体" w:eastAsia="仿宋_GB2312" w:cs="仿宋_GB2312"/>
                <w:i w:val="0"/>
                <w:iCs w:val="0"/>
                <w:caps w:val="0"/>
                <w:color w:val="666666"/>
                <w:spacing w:val="0"/>
                <w:sz w:val="24"/>
                <w:szCs w:val="24"/>
                <w:shd w:val="clear" w:fill="FFFFFF"/>
                <w:lang w:val="en-US" w:eastAsia="zh-CN"/>
              </w:rPr>
            </w:pPr>
            <w:r>
              <w:rPr>
                <w:rFonts w:hint="eastAsia" w:ascii="仿宋_GB2312" w:hAnsi="宋体" w:eastAsia="仿宋_GB2312" w:cs="仿宋_GB2312"/>
                <w:i w:val="0"/>
                <w:iCs w:val="0"/>
                <w:caps w:val="0"/>
                <w:color w:val="666666"/>
                <w:spacing w:val="0"/>
                <w:sz w:val="24"/>
                <w:szCs w:val="24"/>
                <w:shd w:val="clear" w:fill="FFFFFF"/>
                <w:lang w:val="en-US" w:eastAsia="zh-CN"/>
              </w:rPr>
              <w:t>1.在</w:t>
            </w:r>
            <w:r>
              <w:rPr>
                <w:rFonts w:hint="default" w:ascii="仿宋_GB2312" w:hAnsi="宋体" w:eastAsia="仿宋_GB2312" w:cs="仿宋_GB2312"/>
                <w:i w:val="0"/>
                <w:iCs w:val="0"/>
                <w:caps w:val="0"/>
                <w:color w:val="666666"/>
                <w:spacing w:val="0"/>
                <w:sz w:val="24"/>
                <w:szCs w:val="24"/>
                <w:shd w:val="clear" w:fill="FFFFFF"/>
                <w:lang w:val="en-US" w:eastAsia="zh-CN"/>
              </w:rPr>
              <w:t>申请</w:t>
            </w:r>
            <w:r>
              <w:rPr>
                <w:rFonts w:hint="eastAsia" w:ascii="仿宋_GB2312" w:hAnsi="宋体" w:eastAsia="仿宋_GB2312" w:cs="仿宋_GB2312"/>
                <w:i w:val="0"/>
                <w:iCs w:val="0"/>
                <w:caps w:val="0"/>
                <w:color w:val="666666"/>
                <w:spacing w:val="0"/>
                <w:sz w:val="24"/>
                <w:szCs w:val="24"/>
                <w:shd w:val="clear" w:fill="FFFFFF"/>
                <w:lang w:val="en-US" w:eastAsia="zh-CN"/>
              </w:rPr>
              <w:t>财政补贴或政府监管</w:t>
            </w:r>
            <w:r>
              <w:rPr>
                <w:rFonts w:hint="default" w:ascii="仿宋_GB2312" w:hAnsi="宋体" w:eastAsia="仿宋_GB2312" w:cs="仿宋_GB2312"/>
                <w:i w:val="0"/>
                <w:iCs w:val="0"/>
                <w:caps w:val="0"/>
                <w:color w:val="666666"/>
                <w:spacing w:val="0"/>
                <w:sz w:val="24"/>
                <w:szCs w:val="24"/>
                <w:shd w:val="clear" w:fill="FFFFFF"/>
                <w:lang w:val="en-US" w:eastAsia="zh-CN"/>
              </w:rPr>
              <w:t>过程中</w:t>
            </w:r>
            <w:r>
              <w:rPr>
                <w:rFonts w:hint="eastAsia" w:ascii="仿宋_GB2312" w:hAnsi="宋体" w:eastAsia="仿宋_GB2312" w:cs="仿宋_GB2312"/>
                <w:i w:val="0"/>
                <w:iCs w:val="0"/>
                <w:caps w:val="0"/>
                <w:color w:val="666666"/>
                <w:spacing w:val="0"/>
                <w:sz w:val="24"/>
                <w:szCs w:val="24"/>
                <w:shd w:val="clear" w:fill="FFFFFF"/>
                <w:lang w:val="en-US" w:eastAsia="zh-CN"/>
              </w:rPr>
              <w:t>提供</w:t>
            </w:r>
            <w:r>
              <w:rPr>
                <w:rFonts w:hint="default" w:ascii="仿宋_GB2312" w:hAnsi="宋体" w:eastAsia="仿宋_GB2312" w:cs="仿宋_GB2312"/>
                <w:i w:val="0"/>
                <w:iCs w:val="0"/>
                <w:caps w:val="0"/>
                <w:color w:val="666666"/>
                <w:spacing w:val="0"/>
                <w:sz w:val="24"/>
                <w:szCs w:val="24"/>
                <w:shd w:val="clear" w:fill="FFFFFF"/>
                <w:lang w:val="en-US" w:eastAsia="zh-CN"/>
              </w:rPr>
              <w:t>虚假材料</w:t>
            </w:r>
            <w:r>
              <w:rPr>
                <w:rFonts w:hint="eastAsia" w:ascii="仿宋_GB2312" w:hAnsi="宋体" w:eastAsia="仿宋_GB2312" w:cs="仿宋_GB2312"/>
                <w:i w:val="0"/>
                <w:iCs w:val="0"/>
                <w:caps w:val="0"/>
                <w:color w:val="666666"/>
                <w:spacing w:val="0"/>
                <w:sz w:val="24"/>
                <w:szCs w:val="24"/>
                <w:shd w:val="clear" w:fill="FFFFFF"/>
                <w:lang w:val="en-US" w:eastAsia="zh-CN"/>
              </w:rPr>
              <w:t>或</w:t>
            </w:r>
            <w:r>
              <w:rPr>
                <w:rFonts w:hint="default" w:ascii="仿宋_GB2312" w:hAnsi="宋体" w:eastAsia="仿宋_GB2312" w:cs="仿宋_GB2312"/>
                <w:i w:val="0"/>
                <w:iCs w:val="0"/>
                <w:caps w:val="0"/>
                <w:color w:val="666666"/>
                <w:spacing w:val="0"/>
                <w:sz w:val="24"/>
                <w:szCs w:val="24"/>
                <w:shd w:val="clear" w:fill="FFFFFF"/>
                <w:lang w:val="en-US" w:eastAsia="zh-CN"/>
              </w:rPr>
              <w:t>隐瞒真实情况</w:t>
            </w:r>
            <w:r>
              <w:rPr>
                <w:rFonts w:hint="eastAsia" w:ascii="仿宋_GB2312" w:hAnsi="宋体" w:eastAsia="仿宋_GB2312" w:cs="仿宋_GB2312"/>
                <w:i w:val="0"/>
                <w:iCs w:val="0"/>
                <w:caps w:val="0"/>
                <w:color w:val="666666"/>
                <w:spacing w:val="0"/>
                <w:sz w:val="24"/>
                <w:szCs w:val="24"/>
                <w:shd w:val="clear" w:fill="FFFFFF"/>
                <w:lang w:val="en-US" w:eastAsia="zh-CN"/>
              </w:rPr>
              <w:t>等；</w:t>
            </w:r>
          </w:p>
          <w:p w14:paraId="119D0A98">
            <w:pPr>
              <w:pStyle w:val="6"/>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napToGrid w:val="0"/>
              <w:spacing w:before="0" w:beforeAutospacing="0" w:after="0" w:afterAutospacing="0"/>
              <w:ind w:leftChars="0" w:right="0" w:rightChars="0"/>
              <w:jc w:val="center"/>
              <w:rPr>
                <w:rFonts w:hint="eastAsia" w:ascii="仿宋_GB2312" w:hAnsi="宋体" w:eastAsia="仿宋_GB2312" w:cs="仿宋_GB2312"/>
                <w:i w:val="0"/>
                <w:iCs w:val="0"/>
                <w:caps w:val="0"/>
                <w:color w:val="666666"/>
                <w:spacing w:val="0"/>
                <w:sz w:val="24"/>
                <w:szCs w:val="24"/>
                <w:shd w:val="clear" w:fill="FFFFFF"/>
                <w:lang w:val="en-US" w:eastAsia="zh-CN"/>
              </w:rPr>
            </w:pPr>
            <w:r>
              <w:rPr>
                <w:rFonts w:hint="eastAsia" w:ascii="仿宋_GB2312" w:hAnsi="宋体" w:eastAsia="仿宋_GB2312" w:cs="仿宋_GB2312"/>
                <w:i w:val="0"/>
                <w:iCs w:val="0"/>
                <w:caps w:val="0"/>
                <w:color w:val="666666"/>
                <w:spacing w:val="0"/>
                <w:sz w:val="24"/>
                <w:szCs w:val="24"/>
                <w:shd w:val="clear" w:fill="FFFFFF"/>
                <w:lang w:val="en-US" w:eastAsia="zh-CN"/>
              </w:rPr>
              <w:t>2.</w:t>
            </w:r>
            <w:r>
              <w:rPr>
                <w:rFonts w:hint="default" w:ascii="仿宋_GB2312" w:hAnsi="宋体" w:eastAsia="仿宋_GB2312" w:cs="仿宋_GB2312"/>
                <w:i w:val="0"/>
                <w:iCs w:val="0"/>
                <w:caps w:val="0"/>
                <w:color w:val="666666"/>
                <w:spacing w:val="0"/>
                <w:sz w:val="24"/>
                <w:szCs w:val="24"/>
                <w:shd w:val="clear" w:fill="FFFFFF"/>
                <w:lang w:val="en-US" w:eastAsia="zh-CN"/>
              </w:rPr>
              <w:t>拒不执行生效法律文书的信息</w:t>
            </w:r>
            <w:r>
              <w:rPr>
                <w:rFonts w:hint="eastAsia" w:ascii="仿宋_GB2312" w:hAnsi="宋体" w:eastAsia="仿宋_GB2312" w:cs="仿宋_GB2312"/>
                <w:i w:val="0"/>
                <w:iCs w:val="0"/>
                <w:caps w:val="0"/>
                <w:color w:val="666666"/>
                <w:spacing w:val="0"/>
                <w:sz w:val="24"/>
                <w:szCs w:val="24"/>
                <w:shd w:val="clear" w:fill="FFFFFF"/>
                <w:lang w:val="en-US" w:eastAsia="zh-CN"/>
              </w:rPr>
              <w:t>；</w:t>
            </w:r>
          </w:p>
          <w:p w14:paraId="76EC6C62">
            <w:pPr>
              <w:pStyle w:val="6"/>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napToGrid w:val="0"/>
              <w:spacing w:before="0" w:beforeAutospacing="0" w:after="0" w:afterAutospacing="0"/>
              <w:ind w:leftChars="0" w:right="0" w:rightChars="0"/>
              <w:jc w:val="center"/>
              <w:rPr>
                <w:rFonts w:hint="eastAsia" w:ascii="仿宋_GB2312" w:hAnsi="宋体" w:eastAsia="仿宋_GB2312" w:cs="仿宋_GB2312"/>
                <w:i w:val="0"/>
                <w:iCs w:val="0"/>
                <w:caps w:val="0"/>
                <w:color w:val="666666"/>
                <w:spacing w:val="0"/>
                <w:sz w:val="24"/>
                <w:szCs w:val="24"/>
                <w:shd w:val="clear" w:fill="FFFFFF"/>
                <w:lang w:val="en-US" w:eastAsia="zh-CN"/>
              </w:rPr>
            </w:pPr>
            <w:r>
              <w:rPr>
                <w:rFonts w:hint="eastAsia" w:ascii="仿宋_GB2312" w:hAnsi="宋体" w:eastAsia="仿宋_GB2312" w:cs="仿宋_GB2312"/>
                <w:i w:val="0"/>
                <w:iCs w:val="0"/>
                <w:caps w:val="0"/>
                <w:color w:val="666666"/>
                <w:spacing w:val="0"/>
                <w:sz w:val="24"/>
                <w:szCs w:val="24"/>
                <w:shd w:val="clear" w:fill="FFFFFF"/>
                <w:lang w:val="en-US" w:eastAsia="zh-CN"/>
              </w:rPr>
              <w:t>3.当年度存在</w:t>
            </w:r>
            <w:r>
              <w:rPr>
                <w:rFonts w:hint="default" w:ascii="仿宋_GB2312" w:hAnsi="宋体" w:eastAsia="仿宋_GB2312" w:cs="仿宋_GB2312"/>
                <w:i w:val="0"/>
                <w:iCs w:val="0"/>
                <w:caps w:val="0"/>
                <w:color w:val="666666"/>
                <w:spacing w:val="0"/>
                <w:sz w:val="24"/>
                <w:szCs w:val="24"/>
                <w:shd w:val="clear" w:fill="FFFFFF"/>
                <w:lang w:val="en-US" w:eastAsia="zh-CN"/>
              </w:rPr>
              <w:t>行政处罚、行政强制信息</w:t>
            </w:r>
            <w:r>
              <w:rPr>
                <w:rFonts w:hint="eastAsia" w:ascii="仿宋_GB2312" w:hAnsi="宋体" w:eastAsia="仿宋_GB2312" w:cs="仿宋_GB2312"/>
                <w:i w:val="0"/>
                <w:iCs w:val="0"/>
                <w:caps w:val="0"/>
                <w:color w:val="666666"/>
                <w:spacing w:val="0"/>
                <w:sz w:val="24"/>
                <w:szCs w:val="24"/>
                <w:shd w:val="clear" w:fill="FFFFFF"/>
                <w:lang w:val="en-US" w:eastAsia="zh-CN"/>
              </w:rPr>
              <w:t>等情况；</w:t>
            </w:r>
          </w:p>
          <w:p w14:paraId="0EFAF317">
            <w:pPr>
              <w:pStyle w:val="6"/>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napToGrid w:val="0"/>
              <w:spacing w:before="0" w:beforeAutospacing="0" w:after="0" w:afterAutospacing="0"/>
              <w:ind w:leftChars="0" w:right="0" w:rightChars="0"/>
              <w:jc w:val="center"/>
              <w:rPr>
                <w:rFonts w:hint="default" w:ascii="仿宋_GB2312" w:hAnsi="宋体" w:eastAsia="仿宋_GB2312" w:cs="仿宋_GB2312"/>
                <w:i w:val="0"/>
                <w:iCs w:val="0"/>
                <w:caps w:val="0"/>
                <w:color w:val="666666"/>
                <w:spacing w:val="0"/>
                <w:sz w:val="24"/>
                <w:szCs w:val="24"/>
                <w:shd w:val="clear" w:fill="FFFFFF"/>
                <w:lang w:val="en-US" w:eastAsia="zh-CN"/>
              </w:rPr>
            </w:pPr>
            <w:r>
              <w:rPr>
                <w:rFonts w:hint="eastAsia" w:ascii="仿宋_GB2312" w:hAnsi="宋体" w:eastAsia="仿宋_GB2312" w:cs="仿宋_GB2312"/>
                <w:i w:val="0"/>
                <w:iCs w:val="0"/>
                <w:caps w:val="0"/>
                <w:color w:val="666666"/>
                <w:spacing w:val="0"/>
                <w:sz w:val="24"/>
                <w:szCs w:val="24"/>
                <w:shd w:val="clear" w:fill="FFFFFF"/>
                <w:lang w:val="en-US" w:eastAsia="zh-CN"/>
              </w:rPr>
              <w:t>4.</w:t>
            </w:r>
            <w:r>
              <w:rPr>
                <w:rFonts w:hint="default" w:ascii="仿宋_GB2312" w:hAnsi="宋体" w:eastAsia="仿宋_GB2312" w:cs="仿宋_GB2312"/>
                <w:i w:val="0"/>
                <w:iCs w:val="0"/>
                <w:caps w:val="0"/>
                <w:color w:val="666666"/>
                <w:spacing w:val="0"/>
                <w:sz w:val="24"/>
                <w:szCs w:val="24"/>
                <w:shd w:val="clear" w:fill="FFFFFF"/>
                <w:lang w:val="en-US" w:eastAsia="zh-CN"/>
              </w:rPr>
              <w:t>列入失信联合惩戒名单</w:t>
            </w:r>
            <w:r>
              <w:rPr>
                <w:rFonts w:hint="eastAsia" w:ascii="仿宋_GB2312" w:hAnsi="宋体" w:eastAsia="仿宋_GB2312" w:cs="仿宋_GB2312"/>
                <w:i w:val="0"/>
                <w:iCs w:val="0"/>
                <w:caps w:val="0"/>
                <w:color w:val="666666"/>
                <w:spacing w:val="0"/>
                <w:sz w:val="24"/>
                <w:szCs w:val="24"/>
                <w:shd w:val="clear" w:fill="FFFFFF"/>
                <w:lang w:val="en-US" w:eastAsia="zh-CN"/>
              </w:rPr>
              <w:t>、</w:t>
            </w:r>
            <w:r>
              <w:rPr>
                <w:rFonts w:hint="default" w:ascii="仿宋_GB2312" w:hAnsi="宋体" w:eastAsia="仿宋_GB2312" w:cs="仿宋_GB2312"/>
                <w:i w:val="0"/>
                <w:iCs w:val="0"/>
                <w:caps w:val="0"/>
                <w:color w:val="666666"/>
                <w:spacing w:val="0"/>
                <w:sz w:val="24"/>
                <w:szCs w:val="24"/>
                <w:shd w:val="clear" w:fill="FFFFFF"/>
                <w:lang w:val="en-US" w:eastAsia="zh-CN"/>
              </w:rPr>
              <w:t>失信被执行人名单</w:t>
            </w:r>
            <w:r>
              <w:rPr>
                <w:rFonts w:hint="eastAsia" w:ascii="仿宋_GB2312" w:hAnsi="宋体" w:eastAsia="仿宋_GB2312" w:cs="仿宋_GB2312"/>
                <w:i w:val="0"/>
                <w:iCs w:val="0"/>
                <w:caps w:val="0"/>
                <w:color w:val="666666"/>
                <w:spacing w:val="0"/>
                <w:sz w:val="24"/>
                <w:szCs w:val="24"/>
                <w:shd w:val="clear" w:fill="FFFFFF"/>
                <w:lang w:val="en-US" w:eastAsia="zh-CN"/>
              </w:rPr>
              <w:t>等</w:t>
            </w:r>
            <w:r>
              <w:rPr>
                <w:rFonts w:hint="default" w:ascii="仿宋_GB2312" w:hAnsi="宋体" w:eastAsia="仿宋_GB2312" w:cs="仿宋_GB2312"/>
                <w:i w:val="0"/>
                <w:iCs w:val="0"/>
                <w:caps w:val="0"/>
                <w:color w:val="666666"/>
                <w:spacing w:val="0"/>
                <w:sz w:val="24"/>
                <w:szCs w:val="24"/>
                <w:shd w:val="clear" w:fill="FFFFFF"/>
                <w:lang w:val="en-US" w:eastAsia="zh-CN"/>
              </w:rPr>
              <w:t>情况（含养老机构和机构法定代表人）</w:t>
            </w:r>
            <w:r>
              <w:rPr>
                <w:rFonts w:hint="eastAsia" w:ascii="仿宋_GB2312" w:hAnsi="宋体" w:eastAsia="仿宋_GB2312" w:cs="仿宋_GB2312"/>
                <w:i w:val="0"/>
                <w:iCs w:val="0"/>
                <w:caps w:val="0"/>
                <w:color w:val="666666"/>
                <w:spacing w:val="0"/>
                <w:sz w:val="24"/>
                <w:szCs w:val="24"/>
                <w:shd w:val="clear" w:fill="FFFFFF"/>
                <w:lang w:val="en-US" w:eastAsia="zh-CN"/>
              </w:rPr>
              <w:t>；</w:t>
            </w:r>
          </w:p>
          <w:p w14:paraId="7F1126DB">
            <w:pPr>
              <w:pStyle w:val="6"/>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napToGrid w:val="0"/>
              <w:spacing w:before="0" w:beforeAutospacing="0" w:after="0" w:afterAutospacing="0"/>
              <w:ind w:leftChars="0" w:right="0" w:rightChars="0"/>
              <w:jc w:val="center"/>
              <w:rPr>
                <w:rFonts w:hint="default" w:ascii="仿宋_GB2312" w:hAnsi="宋体" w:eastAsia="仿宋_GB2312" w:cs="仿宋_GB2312"/>
                <w:i w:val="0"/>
                <w:iCs w:val="0"/>
                <w:caps w:val="0"/>
                <w:color w:val="666666"/>
                <w:spacing w:val="0"/>
                <w:sz w:val="24"/>
                <w:szCs w:val="24"/>
                <w:shd w:val="clear" w:fill="FFFFFF"/>
                <w:lang w:val="en-US" w:eastAsia="zh-CN"/>
              </w:rPr>
            </w:pPr>
            <w:r>
              <w:rPr>
                <w:rFonts w:hint="eastAsia" w:ascii="仿宋_GB2312" w:hAnsi="宋体" w:eastAsia="仿宋_GB2312" w:cs="仿宋_GB2312"/>
                <w:i w:val="0"/>
                <w:iCs w:val="0"/>
                <w:caps w:val="0"/>
                <w:color w:val="666666"/>
                <w:spacing w:val="0"/>
                <w:sz w:val="24"/>
                <w:szCs w:val="24"/>
                <w:shd w:val="clear" w:fill="FFFFFF"/>
                <w:lang w:val="en-US" w:eastAsia="zh-CN"/>
              </w:rPr>
              <w:t>5.</w:t>
            </w:r>
            <w:r>
              <w:rPr>
                <w:rFonts w:hint="default" w:ascii="仿宋_GB2312" w:hAnsi="宋体" w:eastAsia="仿宋_GB2312" w:cs="仿宋_GB2312"/>
                <w:i w:val="0"/>
                <w:iCs w:val="0"/>
                <w:caps w:val="0"/>
                <w:color w:val="666666"/>
                <w:spacing w:val="0"/>
                <w:sz w:val="24"/>
                <w:szCs w:val="24"/>
                <w:shd w:val="clear" w:fill="FFFFFF"/>
                <w:lang w:val="en-US" w:eastAsia="zh-CN"/>
              </w:rPr>
              <w:t>其他与养老机构相关的失信信息。</w:t>
            </w:r>
          </w:p>
        </w:tc>
        <w:tc>
          <w:tcPr>
            <w:tcW w:w="1087" w:type="dxa"/>
            <w:tcBorders>
              <w:top w:val="single" w:color="auto" w:sz="6" w:space="0"/>
              <w:left w:val="single" w:color="auto" w:sz="6" w:space="0"/>
              <w:bottom w:val="single" w:color="auto" w:sz="6" w:space="0"/>
              <w:right w:val="outset" w:color="auto" w:sz="6" w:space="0"/>
            </w:tcBorders>
            <w:shd w:val="clear" w:color="auto" w:fill="FFFFFF"/>
            <w:noWrap w:val="0"/>
            <w:tcMar>
              <w:top w:w="-1" w:type="dxa"/>
              <w:left w:w="-1" w:type="dxa"/>
              <w:bottom w:w="-1" w:type="dxa"/>
              <w:right w:w="-1" w:type="dxa"/>
            </w:tcMar>
            <w:vAlign w:val="center"/>
          </w:tcPr>
          <w:p w14:paraId="06E84345">
            <w:pPr>
              <w:pStyle w:val="6"/>
              <w:keepNext w:val="0"/>
              <w:keepLines w:val="0"/>
              <w:widowControl/>
              <w:suppressLineNumbers w:val="0"/>
              <w:pBdr>
                <w:top w:val="none" w:color="auto" w:sz="0" w:space="0"/>
                <w:left w:val="none" w:color="auto" w:sz="0" w:space="0"/>
                <w:bottom w:val="none" w:color="auto" w:sz="0" w:space="0"/>
                <w:right w:val="none" w:color="auto" w:sz="0" w:space="0"/>
              </w:pBdr>
              <w:snapToGrid w:val="0"/>
              <w:spacing w:before="0" w:beforeAutospacing="0" w:after="0" w:afterAutospacing="0"/>
              <w:ind w:left="0" w:leftChars="0" w:right="0" w:rightChars="0" w:firstLine="0" w:firstLineChars="0"/>
              <w:jc w:val="center"/>
              <w:rPr>
                <w:rFonts w:hint="eastAsia" w:ascii="仿宋_GB2312" w:hAnsi="宋体" w:eastAsia="仿宋_GB2312" w:cs="仿宋_GB2312"/>
                <w:i w:val="0"/>
                <w:iCs w:val="0"/>
                <w:caps w:val="0"/>
                <w:color w:val="666666"/>
                <w:spacing w:val="0"/>
                <w:sz w:val="24"/>
                <w:szCs w:val="24"/>
                <w:shd w:val="clear" w:fill="FFFFFF"/>
                <w:lang w:val="en-US" w:eastAsia="zh-CN"/>
              </w:rPr>
            </w:pPr>
            <w:r>
              <w:rPr>
                <w:rFonts w:hint="eastAsia" w:ascii="仿宋_GB2312" w:hAnsi="宋体" w:eastAsia="仿宋_GB2312" w:cs="仿宋_GB2312"/>
                <w:i w:val="0"/>
                <w:iCs w:val="0"/>
                <w:caps w:val="0"/>
                <w:color w:val="666666"/>
                <w:spacing w:val="0"/>
                <w:sz w:val="24"/>
                <w:szCs w:val="24"/>
                <w:shd w:val="clear" w:fill="FFFFFF"/>
                <w:lang w:val="en-US" w:eastAsia="zh-CN"/>
              </w:rPr>
              <w:t>6</w:t>
            </w:r>
          </w:p>
        </w:tc>
        <w:tc>
          <w:tcPr>
            <w:tcW w:w="3047" w:type="dxa"/>
            <w:tcBorders>
              <w:top w:val="single" w:color="auto" w:sz="6" w:space="0"/>
              <w:left w:val="single" w:color="auto" w:sz="6" w:space="0"/>
              <w:bottom w:val="single" w:color="auto" w:sz="6" w:space="0"/>
              <w:right w:val="outset" w:color="auto" w:sz="6" w:space="0"/>
            </w:tcBorders>
            <w:shd w:val="clear" w:color="auto" w:fill="FFFFFF"/>
            <w:noWrap w:val="0"/>
            <w:tcMar>
              <w:top w:w="-1" w:type="dxa"/>
              <w:left w:w="-1" w:type="dxa"/>
              <w:bottom w:w="-1" w:type="dxa"/>
              <w:right w:w="-1" w:type="dxa"/>
            </w:tcMar>
            <w:vAlign w:val="center"/>
          </w:tcPr>
          <w:p w14:paraId="2EED473E">
            <w:pPr>
              <w:pStyle w:val="6"/>
              <w:keepNext w:val="0"/>
              <w:keepLines w:val="0"/>
              <w:widowControl/>
              <w:suppressLineNumbers w:val="0"/>
              <w:pBdr>
                <w:top w:val="none" w:color="auto" w:sz="0" w:space="0"/>
                <w:left w:val="none" w:color="auto" w:sz="0" w:space="0"/>
                <w:bottom w:val="none" w:color="auto" w:sz="0" w:space="0"/>
                <w:right w:val="none" w:color="auto" w:sz="0" w:space="0"/>
              </w:pBdr>
              <w:snapToGrid w:val="0"/>
              <w:spacing w:before="0" w:beforeAutospacing="0" w:after="0" w:afterAutospacing="0"/>
              <w:ind w:left="0" w:leftChars="0" w:right="0" w:rightChars="0" w:firstLine="0" w:firstLineChars="0"/>
              <w:jc w:val="center"/>
              <w:rPr>
                <w:rFonts w:hint="default" w:ascii="仿宋_GB2312" w:hAnsi="宋体" w:eastAsia="仿宋_GB2312" w:cs="仿宋_GB2312"/>
                <w:i w:val="0"/>
                <w:iCs w:val="0"/>
                <w:caps w:val="0"/>
                <w:color w:val="666666"/>
                <w:spacing w:val="0"/>
                <w:sz w:val="24"/>
                <w:szCs w:val="24"/>
                <w:shd w:val="clear" w:fill="FFFFFF"/>
                <w:lang w:val="en-US" w:eastAsia="zh-CN"/>
              </w:rPr>
            </w:pPr>
            <w:r>
              <w:rPr>
                <w:rFonts w:hint="eastAsia" w:ascii="仿宋_GB2312" w:hAnsi="宋体" w:eastAsia="仿宋_GB2312" w:cs="仿宋_GB2312"/>
                <w:i w:val="0"/>
                <w:iCs w:val="0"/>
                <w:caps w:val="0"/>
                <w:color w:val="666666"/>
                <w:spacing w:val="0"/>
                <w:sz w:val="24"/>
                <w:szCs w:val="24"/>
                <w:shd w:val="clear" w:fill="FFFFFF"/>
                <w:lang w:eastAsia="zh-CN"/>
              </w:rPr>
              <w:t>存在相关情况扣</w:t>
            </w:r>
            <w:r>
              <w:rPr>
                <w:rFonts w:hint="eastAsia" w:ascii="仿宋_GB2312" w:hAnsi="宋体" w:eastAsia="仿宋_GB2312" w:cs="仿宋_GB2312"/>
                <w:i w:val="0"/>
                <w:iCs w:val="0"/>
                <w:caps w:val="0"/>
                <w:color w:val="666666"/>
                <w:spacing w:val="0"/>
                <w:sz w:val="24"/>
                <w:szCs w:val="24"/>
                <w:shd w:val="clear" w:fill="FFFFFF"/>
                <w:lang w:val="en-US" w:eastAsia="zh-CN"/>
              </w:rPr>
              <w:t>6分。</w:t>
            </w:r>
          </w:p>
        </w:tc>
      </w:tr>
      <w:tr w14:paraId="6634B954">
        <w:tblPrEx>
          <w:tblBorders>
            <w:top w:val="single" w:color="000000" w:sz="6" w:space="0"/>
            <w:left w:val="single" w:color="000000" w:sz="6" w:space="0"/>
            <w:bottom w:val="single" w:color="000000" w:sz="6" w:space="0"/>
            <w:right w:val="single" w:color="000000" w:sz="6" w:space="0"/>
            <w:insideH w:val="outset" w:color="auto" w:sz="6" w:space="0"/>
            <w:insideV w:val="outset" w:color="auto" w:sz="6" w:space="0"/>
          </w:tblBorders>
          <w:tblCellMar>
            <w:top w:w="0" w:type="dxa"/>
            <w:left w:w="0" w:type="dxa"/>
            <w:bottom w:w="0" w:type="dxa"/>
            <w:right w:w="0" w:type="dxa"/>
          </w:tblCellMar>
        </w:tblPrEx>
        <w:trPr>
          <w:trHeight w:val="0" w:hRule="atLeast"/>
          <w:jc w:val="center"/>
        </w:trPr>
        <w:tc>
          <w:tcPr>
            <w:tcW w:w="551" w:type="dxa"/>
            <w:tcBorders>
              <w:top w:val="single" w:color="auto" w:sz="6" w:space="0"/>
              <w:left w:val="outset" w:color="auto" w:sz="6" w:space="0"/>
              <w:bottom w:val="single" w:color="auto" w:sz="6" w:space="0"/>
              <w:right w:val="single" w:color="auto" w:sz="6" w:space="0"/>
            </w:tcBorders>
            <w:shd w:val="clear" w:color="auto" w:fill="FFFFFF"/>
            <w:noWrap w:val="0"/>
            <w:tcMar>
              <w:top w:w="-1" w:type="dxa"/>
              <w:left w:w="-1" w:type="dxa"/>
              <w:bottom w:w="-1" w:type="dxa"/>
              <w:right w:w="-1" w:type="dxa"/>
            </w:tcMar>
            <w:vAlign w:val="center"/>
          </w:tcPr>
          <w:p w14:paraId="70334DAB">
            <w:pPr>
              <w:pStyle w:val="6"/>
              <w:keepNext w:val="0"/>
              <w:keepLines w:val="0"/>
              <w:widowControl/>
              <w:suppressLineNumbers w:val="0"/>
              <w:pBdr>
                <w:top w:val="none" w:color="auto" w:sz="0" w:space="0"/>
                <w:left w:val="none" w:color="auto" w:sz="0" w:space="0"/>
                <w:bottom w:val="none" w:color="auto" w:sz="0" w:space="0"/>
                <w:right w:val="none" w:color="auto" w:sz="0" w:space="0"/>
              </w:pBdr>
              <w:snapToGrid w:val="0"/>
              <w:spacing w:before="0" w:beforeAutospacing="0" w:after="0" w:afterAutospacing="0"/>
              <w:ind w:left="0" w:leftChars="0" w:right="0" w:rightChars="0" w:firstLine="0" w:firstLineChars="0"/>
              <w:jc w:val="center"/>
              <w:rPr>
                <w:rFonts w:hint="eastAsia" w:ascii="方正仿宋_GBK" w:hAnsi="Times New Roman" w:eastAsia="方正仿宋_GBK" w:cs="Times New Roman"/>
                <w:b w:val="0"/>
                <w:bCs w:val="0"/>
                <w:i w:val="0"/>
                <w:iCs w:val="0"/>
                <w:caps w:val="0"/>
                <w:color w:val="333333"/>
                <w:spacing w:val="0"/>
                <w:sz w:val="22"/>
                <w:szCs w:val="22"/>
                <w:lang w:val="en-US" w:eastAsia="zh-CN"/>
              </w:rPr>
            </w:pPr>
            <w:r>
              <w:rPr>
                <w:rFonts w:hint="eastAsia" w:ascii="方正仿宋_GBK" w:hAnsi="Times New Roman" w:eastAsia="方正仿宋_GBK" w:cs="Times New Roman"/>
                <w:b w:val="0"/>
                <w:bCs w:val="0"/>
                <w:i w:val="0"/>
                <w:iCs w:val="0"/>
                <w:caps w:val="0"/>
                <w:color w:val="333333"/>
                <w:spacing w:val="0"/>
                <w:sz w:val="22"/>
                <w:szCs w:val="22"/>
                <w:lang w:val="en-US" w:eastAsia="zh-CN"/>
              </w:rPr>
              <w:t>5</w:t>
            </w:r>
          </w:p>
        </w:tc>
        <w:tc>
          <w:tcPr>
            <w:tcW w:w="1121" w:type="dxa"/>
            <w:vMerge w:val="continue"/>
            <w:tcBorders>
              <w:left w:val="single" w:color="auto" w:sz="6" w:space="0"/>
              <w:right w:val="single" w:color="auto" w:sz="6" w:space="0"/>
            </w:tcBorders>
            <w:shd w:val="clear" w:color="auto" w:fill="FFFFFF"/>
            <w:noWrap w:val="0"/>
            <w:tcMar>
              <w:top w:w="-1" w:type="dxa"/>
              <w:left w:w="-1" w:type="dxa"/>
              <w:bottom w:w="-1" w:type="dxa"/>
              <w:right w:w="-1" w:type="dxa"/>
            </w:tcMar>
            <w:vAlign w:val="center"/>
          </w:tcPr>
          <w:p w14:paraId="3EDE858A">
            <w:pPr>
              <w:pStyle w:val="6"/>
              <w:keepNext w:val="0"/>
              <w:keepLines w:val="0"/>
              <w:widowControl/>
              <w:suppressLineNumbers w:val="0"/>
              <w:pBdr>
                <w:top w:val="none" w:color="auto" w:sz="0" w:space="0"/>
                <w:left w:val="none" w:color="auto" w:sz="0" w:space="0"/>
                <w:bottom w:val="none" w:color="auto" w:sz="0" w:space="0"/>
                <w:right w:val="none" w:color="auto" w:sz="0" w:space="0"/>
              </w:pBdr>
              <w:snapToGrid w:val="0"/>
              <w:spacing w:before="0" w:beforeAutospacing="0" w:after="0" w:afterAutospacing="0"/>
              <w:ind w:left="0" w:leftChars="0" w:right="0" w:rightChars="0" w:firstLine="0" w:firstLineChars="0"/>
              <w:jc w:val="center"/>
              <w:rPr>
                <w:rFonts w:hint="eastAsia" w:ascii="仿宋_GB2312" w:hAnsi="宋体" w:eastAsia="仿宋_GB2312" w:cs="仿宋_GB2312"/>
                <w:i w:val="0"/>
                <w:iCs w:val="0"/>
                <w:caps w:val="0"/>
                <w:color w:val="666666"/>
                <w:spacing w:val="0"/>
                <w:sz w:val="24"/>
                <w:szCs w:val="24"/>
                <w:shd w:val="clear" w:fill="FFFFFF"/>
                <w:lang w:eastAsia="zh-CN"/>
              </w:rPr>
            </w:pPr>
          </w:p>
        </w:tc>
        <w:tc>
          <w:tcPr>
            <w:tcW w:w="3034" w:type="dxa"/>
            <w:tcBorders>
              <w:top w:val="single" w:color="auto" w:sz="6" w:space="0"/>
              <w:left w:val="single" w:color="auto" w:sz="6" w:space="0"/>
              <w:bottom w:val="single" w:color="auto" w:sz="6" w:space="0"/>
              <w:right w:val="single" w:color="auto" w:sz="6" w:space="0"/>
            </w:tcBorders>
            <w:shd w:val="clear" w:color="auto" w:fill="FFFFFF"/>
            <w:noWrap w:val="0"/>
            <w:tcMar>
              <w:top w:w="-1" w:type="dxa"/>
              <w:left w:w="-1" w:type="dxa"/>
              <w:bottom w:w="-1" w:type="dxa"/>
              <w:right w:w="-1" w:type="dxa"/>
            </w:tcMar>
            <w:vAlign w:val="center"/>
          </w:tcPr>
          <w:p w14:paraId="669BDDA3">
            <w:pPr>
              <w:pStyle w:val="6"/>
              <w:keepNext w:val="0"/>
              <w:keepLines w:val="0"/>
              <w:widowControl/>
              <w:suppressLineNumbers w:val="0"/>
              <w:pBdr>
                <w:top w:val="none" w:color="auto" w:sz="0" w:space="0"/>
                <w:left w:val="none" w:color="auto" w:sz="0" w:space="0"/>
                <w:bottom w:val="none" w:color="auto" w:sz="0" w:space="0"/>
                <w:right w:val="none" w:color="auto" w:sz="0" w:space="0"/>
              </w:pBdr>
              <w:snapToGrid w:val="0"/>
              <w:spacing w:before="0" w:beforeAutospacing="0" w:after="0" w:afterAutospacing="0"/>
              <w:ind w:left="0" w:leftChars="0" w:right="0" w:rightChars="0" w:firstLine="0" w:firstLineChars="0"/>
              <w:jc w:val="center"/>
              <w:rPr>
                <w:rFonts w:hint="eastAsia" w:ascii="仿宋_GB2312" w:hAnsi="宋体" w:eastAsia="仿宋_GB2312" w:cs="仿宋_GB2312"/>
                <w:i w:val="0"/>
                <w:iCs w:val="0"/>
                <w:caps w:val="0"/>
                <w:color w:val="666666"/>
                <w:spacing w:val="0"/>
                <w:sz w:val="24"/>
                <w:szCs w:val="24"/>
                <w:shd w:val="clear" w:fill="FFFFFF"/>
                <w:lang w:val="en-US" w:eastAsia="zh-CN"/>
              </w:rPr>
            </w:pPr>
            <w:r>
              <w:rPr>
                <w:rFonts w:hint="eastAsia" w:ascii="仿宋_GB2312" w:hAnsi="宋体" w:eastAsia="仿宋_GB2312" w:cs="仿宋_GB2312"/>
                <w:i w:val="0"/>
                <w:iCs w:val="0"/>
                <w:caps w:val="0"/>
                <w:color w:val="666666"/>
                <w:spacing w:val="0"/>
                <w:sz w:val="24"/>
                <w:szCs w:val="24"/>
                <w:shd w:val="clear" w:fill="FFFFFF"/>
                <w:lang w:val="en-US" w:eastAsia="zh-CN"/>
              </w:rPr>
              <w:t>在日常监管中存在被相关政府部门通报等情况</w:t>
            </w:r>
          </w:p>
        </w:tc>
        <w:tc>
          <w:tcPr>
            <w:tcW w:w="1087" w:type="dxa"/>
            <w:tcBorders>
              <w:top w:val="single" w:color="auto" w:sz="6" w:space="0"/>
              <w:left w:val="single" w:color="auto" w:sz="6" w:space="0"/>
              <w:bottom w:val="single" w:color="auto" w:sz="6" w:space="0"/>
              <w:right w:val="outset" w:color="auto" w:sz="6" w:space="0"/>
            </w:tcBorders>
            <w:shd w:val="clear" w:color="auto" w:fill="FFFFFF"/>
            <w:noWrap w:val="0"/>
            <w:tcMar>
              <w:top w:w="-1" w:type="dxa"/>
              <w:left w:w="-1" w:type="dxa"/>
              <w:bottom w:w="-1" w:type="dxa"/>
              <w:right w:w="-1" w:type="dxa"/>
            </w:tcMar>
            <w:vAlign w:val="center"/>
          </w:tcPr>
          <w:p w14:paraId="65E80B0B">
            <w:pPr>
              <w:pStyle w:val="6"/>
              <w:keepNext w:val="0"/>
              <w:keepLines w:val="0"/>
              <w:widowControl/>
              <w:suppressLineNumbers w:val="0"/>
              <w:pBdr>
                <w:top w:val="none" w:color="auto" w:sz="0" w:space="0"/>
                <w:left w:val="none" w:color="auto" w:sz="0" w:space="0"/>
                <w:bottom w:val="none" w:color="auto" w:sz="0" w:space="0"/>
                <w:right w:val="none" w:color="auto" w:sz="0" w:space="0"/>
              </w:pBdr>
              <w:snapToGrid w:val="0"/>
              <w:spacing w:before="0" w:beforeAutospacing="0" w:after="0" w:afterAutospacing="0"/>
              <w:ind w:left="0" w:leftChars="0" w:right="0" w:rightChars="0" w:firstLine="0" w:firstLineChars="0"/>
              <w:jc w:val="center"/>
              <w:rPr>
                <w:rFonts w:hint="eastAsia" w:ascii="仿宋_GB2312" w:hAnsi="宋体" w:eastAsia="仿宋_GB2312" w:cs="仿宋_GB2312"/>
                <w:i w:val="0"/>
                <w:iCs w:val="0"/>
                <w:caps w:val="0"/>
                <w:color w:val="666666"/>
                <w:spacing w:val="0"/>
                <w:sz w:val="24"/>
                <w:szCs w:val="24"/>
                <w:shd w:val="clear" w:fill="FFFFFF"/>
                <w:lang w:val="en-US" w:eastAsia="zh-CN"/>
              </w:rPr>
            </w:pPr>
            <w:r>
              <w:rPr>
                <w:rFonts w:hint="eastAsia" w:ascii="仿宋_GB2312" w:hAnsi="宋体" w:eastAsia="仿宋_GB2312" w:cs="仿宋_GB2312"/>
                <w:i w:val="0"/>
                <w:iCs w:val="0"/>
                <w:caps w:val="0"/>
                <w:color w:val="666666"/>
                <w:spacing w:val="0"/>
                <w:sz w:val="24"/>
                <w:szCs w:val="24"/>
                <w:shd w:val="clear" w:fill="FFFFFF"/>
                <w:lang w:val="en-US" w:eastAsia="zh-CN"/>
              </w:rPr>
              <w:t>6</w:t>
            </w:r>
          </w:p>
        </w:tc>
        <w:tc>
          <w:tcPr>
            <w:tcW w:w="3047" w:type="dxa"/>
            <w:tcBorders>
              <w:top w:val="single" w:color="auto" w:sz="6" w:space="0"/>
              <w:left w:val="single" w:color="auto" w:sz="6" w:space="0"/>
              <w:bottom w:val="single" w:color="auto" w:sz="6" w:space="0"/>
              <w:right w:val="outset" w:color="auto" w:sz="6" w:space="0"/>
            </w:tcBorders>
            <w:shd w:val="clear" w:color="auto" w:fill="FFFFFF"/>
            <w:noWrap w:val="0"/>
            <w:tcMar>
              <w:top w:w="-1" w:type="dxa"/>
              <w:left w:w="-1" w:type="dxa"/>
              <w:bottom w:w="-1" w:type="dxa"/>
              <w:right w:w="-1" w:type="dxa"/>
            </w:tcMar>
            <w:vAlign w:val="center"/>
          </w:tcPr>
          <w:p w14:paraId="78DD426D">
            <w:pPr>
              <w:pStyle w:val="6"/>
              <w:keepNext w:val="0"/>
              <w:keepLines w:val="0"/>
              <w:widowControl/>
              <w:suppressLineNumbers w:val="0"/>
              <w:pBdr>
                <w:top w:val="none" w:color="auto" w:sz="0" w:space="0"/>
                <w:left w:val="none" w:color="auto" w:sz="0" w:space="0"/>
                <w:bottom w:val="none" w:color="auto" w:sz="0" w:space="0"/>
                <w:right w:val="none" w:color="auto" w:sz="0" w:space="0"/>
              </w:pBdr>
              <w:snapToGrid w:val="0"/>
              <w:spacing w:before="0" w:beforeAutospacing="0" w:after="0" w:afterAutospacing="0"/>
              <w:ind w:left="0" w:leftChars="0" w:right="0" w:rightChars="0" w:firstLine="0" w:firstLineChars="0"/>
              <w:jc w:val="center"/>
              <w:rPr>
                <w:rFonts w:hint="default" w:ascii="仿宋_GB2312" w:hAnsi="宋体" w:eastAsia="仿宋_GB2312" w:cs="仿宋_GB2312"/>
                <w:i w:val="0"/>
                <w:iCs w:val="0"/>
                <w:caps w:val="0"/>
                <w:color w:val="666666"/>
                <w:spacing w:val="0"/>
                <w:sz w:val="24"/>
                <w:szCs w:val="24"/>
                <w:shd w:val="clear" w:fill="FFFFFF"/>
                <w:lang w:val="en-US" w:eastAsia="zh-CN"/>
              </w:rPr>
            </w:pPr>
            <w:r>
              <w:rPr>
                <w:rFonts w:hint="eastAsia" w:ascii="仿宋_GB2312" w:hAnsi="宋体" w:eastAsia="仿宋_GB2312" w:cs="仿宋_GB2312"/>
                <w:i w:val="0"/>
                <w:iCs w:val="0"/>
                <w:caps w:val="0"/>
                <w:color w:val="666666"/>
                <w:spacing w:val="0"/>
                <w:sz w:val="24"/>
                <w:szCs w:val="24"/>
                <w:shd w:val="clear" w:fill="FFFFFF"/>
                <w:lang w:eastAsia="zh-CN"/>
              </w:rPr>
              <w:t>被通报一次扣</w:t>
            </w:r>
            <w:r>
              <w:rPr>
                <w:rFonts w:hint="eastAsia" w:ascii="仿宋_GB2312" w:hAnsi="宋体" w:eastAsia="仿宋_GB2312" w:cs="仿宋_GB2312"/>
                <w:i w:val="0"/>
                <w:iCs w:val="0"/>
                <w:caps w:val="0"/>
                <w:color w:val="666666"/>
                <w:spacing w:val="0"/>
                <w:sz w:val="24"/>
                <w:szCs w:val="24"/>
                <w:shd w:val="clear" w:fill="FFFFFF"/>
                <w:lang w:val="en-US" w:eastAsia="zh-CN"/>
              </w:rPr>
              <w:t>2分，扣完为止。</w:t>
            </w:r>
          </w:p>
        </w:tc>
      </w:tr>
      <w:tr w14:paraId="78154763">
        <w:tblPrEx>
          <w:tblBorders>
            <w:top w:val="single" w:color="000000" w:sz="6" w:space="0"/>
            <w:left w:val="single" w:color="000000" w:sz="6" w:space="0"/>
            <w:bottom w:val="single" w:color="000000" w:sz="6" w:space="0"/>
            <w:right w:val="single" w:color="000000" w:sz="6" w:space="0"/>
            <w:insideH w:val="outset" w:color="auto" w:sz="6" w:space="0"/>
            <w:insideV w:val="outset" w:color="auto" w:sz="6" w:space="0"/>
          </w:tblBorders>
          <w:tblCellMar>
            <w:top w:w="0" w:type="dxa"/>
            <w:left w:w="0" w:type="dxa"/>
            <w:bottom w:w="0" w:type="dxa"/>
            <w:right w:w="0" w:type="dxa"/>
          </w:tblCellMar>
        </w:tblPrEx>
        <w:trPr>
          <w:trHeight w:val="0" w:hRule="atLeast"/>
          <w:jc w:val="center"/>
        </w:trPr>
        <w:tc>
          <w:tcPr>
            <w:tcW w:w="551" w:type="dxa"/>
            <w:tcBorders>
              <w:top w:val="single" w:color="auto" w:sz="6" w:space="0"/>
              <w:left w:val="outset" w:color="auto" w:sz="6" w:space="0"/>
              <w:bottom w:val="single" w:color="auto" w:sz="6" w:space="0"/>
              <w:right w:val="single" w:color="auto" w:sz="6" w:space="0"/>
            </w:tcBorders>
            <w:shd w:val="clear" w:color="auto" w:fill="FFFFFF"/>
            <w:noWrap w:val="0"/>
            <w:tcMar>
              <w:top w:w="-1" w:type="dxa"/>
              <w:left w:w="-1" w:type="dxa"/>
              <w:bottom w:w="-1" w:type="dxa"/>
              <w:right w:w="-1" w:type="dxa"/>
            </w:tcMar>
            <w:vAlign w:val="center"/>
          </w:tcPr>
          <w:p w14:paraId="6A712B07">
            <w:pPr>
              <w:pStyle w:val="6"/>
              <w:keepNext w:val="0"/>
              <w:keepLines w:val="0"/>
              <w:widowControl/>
              <w:suppressLineNumbers w:val="0"/>
              <w:pBdr>
                <w:top w:val="none" w:color="auto" w:sz="0" w:space="0"/>
                <w:left w:val="none" w:color="auto" w:sz="0" w:space="0"/>
                <w:bottom w:val="none" w:color="auto" w:sz="0" w:space="0"/>
                <w:right w:val="none" w:color="auto" w:sz="0" w:space="0"/>
              </w:pBdr>
              <w:snapToGrid w:val="0"/>
              <w:spacing w:before="0" w:beforeAutospacing="0" w:after="0" w:afterAutospacing="0"/>
              <w:ind w:left="0" w:leftChars="0" w:right="0" w:rightChars="0" w:firstLine="0" w:firstLineChars="0"/>
              <w:jc w:val="center"/>
              <w:rPr>
                <w:rFonts w:hint="eastAsia" w:ascii="方正仿宋_GBK" w:hAnsi="Times New Roman" w:eastAsia="方正仿宋_GBK" w:cs="Times New Roman"/>
                <w:b w:val="0"/>
                <w:bCs w:val="0"/>
                <w:i w:val="0"/>
                <w:iCs w:val="0"/>
                <w:caps w:val="0"/>
                <w:color w:val="333333"/>
                <w:spacing w:val="0"/>
                <w:sz w:val="22"/>
                <w:szCs w:val="22"/>
                <w:lang w:val="en-US" w:eastAsia="zh-CN"/>
              </w:rPr>
            </w:pPr>
            <w:r>
              <w:rPr>
                <w:rFonts w:hint="eastAsia" w:ascii="方正仿宋_GBK" w:hAnsi="Times New Roman" w:eastAsia="方正仿宋_GBK" w:cs="Times New Roman"/>
                <w:b w:val="0"/>
                <w:bCs w:val="0"/>
                <w:i w:val="0"/>
                <w:iCs w:val="0"/>
                <w:caps w:val="0"/>
                <w:color w:val="333333"/>
                <w:spacing w:val="0"/>
                <w:sz w:val="22"/>
                <w:szCs w:val="22"/>
                <w:lang w:val="en-US" w:eastAsia="zh-CN"/>
              </w:rPr>
              <w:t>6</w:t>
            </w:r>
          </w:p>
        </w:tc>
        <w:tc>
          <w:tcPr>
            <w:tcW w:w="1121" w:type="dxa"/>
            <w:tcBorders>
              <w:top w:val="single" w:color="auto" w:sz="6" w:space="0"/>
              <w:left w:val="single" w:color="auto" w:sz="6" w:space="0"/>
              <w:right w:val="single" w:color="auto" w:sz="6" w:space="0"/>
            </w:tcBorders>
            <w:shd w:val="clear" w:color="auto" w:fill="FFFFFF"/>
            <w:noWrap w:val="0"/>
            <w:tcMar>
              <w:top w:w="-1" w:type="dxa"/>
              <w:left w:w="-1" w:type="dxa"/>
              <w:bottom w:w="-1" w:type="dxa"/>
              <w:right w:w="-1" w:type="dxa"/>
            </w:tcMar>
            <w:vAlign w:val="center"/>
          </w:tcPr>
          <w:p w14:paraId="469C371D">
            <w:pPr>
              <w:pStyle w:val="6"/>
              <w:keepNext w:val="0"/>
              <w:keepLines w:val="0"/>
              <w:widowControl/>
              <w:suppressLineNumbers w:val="0"/>
              <w:pBdr>
                <w:top w:val="none" w:color="auto" w:sz="0" w:space="0"/>
                <w:left w:val="none" w:color="auto" w:sz="0" w:space="0"/>
                <w:bottom w:val="none" w:color="auto" w:sz="0" w:space="0"/>
                <w:right w:val="none" w:color="auto" w:sz="0" w:space="0"/>
              </w:pBdr>
              <w:snapToGrid w:val="0"/>
              <w:spacing w:before="0" w:beforeAutospacing="0" w:after="0" w:afterAutospacing="0"/>
              <w:ind w:left="0" w:leftChars="0" w:right="0" w:rightChars="0" w:firstLine="0" w:firstLineChars="0"/>
              <w:jc w:val="center"/>
              <w:rPr>
                <w:rFonts w:hint="default" w:ascii="仿宋_GB2312" w:hAnsi="宋体" w:eastAsia="仿宋_GB2312" w:cs="仿宋_GB2312"/>
                <w:i w:val="0"/>
                <w:iCs w:val="0"/>
                <w:caps w:val="0"/>
                <w:color w:val="666666"/>
                <w:spacing w:val="0"/>
                <w:sz w:val="24"/>
                <w:szCs w:val="24"/>
                <w:shd w:val="clear" w:fill="FFFFFF"/>
                <w:lang w:val="en-US" w:eastAsia="zh-CN"/>
              </w:rPr>
            </w:pPr>
            <w:r>
              <w:rPr>
                <w:rFonts w:hint="default" w:ascii="仿宋_GB2312" w:hAnsi="宋体" w:eastAsia="仿宋_GB2312" w:cs="仿宋_GB2312"/>
                <w:i w:val="0"/>
                <w:iCs w:val="0"/>
                <w:caps w:val="0"/>
                <w:color w:val="666666"/>
                <w:spacing w:val="0"/>
                <w:sz w:val="24"/>
                <w:szCs w:val="24"/>
                <w:shd w:val="clear" w:fill="FFFFFF"/>
                <w:lang w:val="en-US" w:eastAsia="zh-CN"/>
              </w:rPr>
              <w:t>其他信息</w:t>
            </w:r>
          </w:p>
          <w:p w14:paraId="1429A4F7">
            <w:pPr>
              <w:pStyle w:val="6"/>
              <w:keepNext w:val="0"/>
              <w:keepLines w:val="0"/>
              <w:widowControl/>
              <w:suppressLineNumbers w:val="0"/>
              <w:pBdr>
                <w:top w:val="none" w:color="auto" w:sz="0" w:space="0"/>
                <w:left w:val="none" w:color="auto" w:sz="0" w:space="0"/>
                <w:bottom w:val="none" w:color="auto" w:sz="0" w:space="0"/>
                <w:right w:val="none" w:color="auto" w:sz="0" w:space="0"/>
              </w:pBdr>
              <w:snapToGrid w:val="0"/>
              <w:spacing w:before="0" w:beforeAutospacing="0" w:after="0" w:afterAutospacing="0"/>
              <w:ind w:left="0" w:leftChars="0" w:right="0" w:rightChars="0" w:firstLine="0" w:firstLineChars="0"/>
              <w:jc w:val="center"/>
              <w:rPr>
                <w:rFonts w:hint="default" w:ascii="仿宋_GB2312" w:hAnsi="宋体" w:eastAsia="仿宋_GB2312" w:cs="仿宋_GB2312"/>
                <w:i w:val="0"/>
                <w:iCs w:val="0"/>
                <w:caps w:val="0"/>
                <w:color w:val="666666"/>
                <w:spacing w:val="0"/>
                <w:sz w:val="24"/>
                <w:szCs w:val="24"/>
                <w:shd w:val="clear" w:fill="FFFFFF"/>
                <w:lang w:val="en-US" w:eastAsia="zh-CN"/>
              </w:rPr>
            </w:pPr>
            <w:r>
              <w:rPr>
                <w:rFonts w:hint="eastAsia" w:ascii="仿宋_GB2312" w:hAnsi="宋体" w:eastAsia="仿宋_GB2312" w:cs="仿宋_GB2312"/>
                <w:i w:val="0"/>
                <w:iCs w:val="0"/>
                <w:caps w:val="0"/>
                <w:color w:val="666666"/>
                <w:spacing w:val="0"/>
                <w:sz w:val="24"/>
                <w:szCs w:val="24"/>
                <w:shd w:val="clear" w:fill="FFFFFF"/>
                <w:lang w:val="en-US" w:eastAsia="zh-CN"/>
              </w:rPr>
              <w:t>（加分项）</w:t>
            </w:r>
          </w:p>
        </w:tc>
        <w:tc>
          <w:tcPr>
            <w:tcW w:w="3034" w:type="dxa"/>
            <w:tcBorders>
              <w:top w:val="single" w:color="auto" w:sz="6" w:space="0"/>
              <w:left w:val="single" w:color="auto" w:sz="6" w:space="0"/>
              <w:bottom w:val="single" w:color="auto" w:sz="6" w:space="0"/>
              <w:right w:val="single" w:color="auto" w:sz="6" w:space="0"/>
            </w:tcBorders>
            <w:shd w:val="clear" w:color="auto" w:fill="FFFFFF"/>
            <w:noWrap w:val="0"/>
            <w:tcMar>
              <w:top w:w="-1" w:type="dxa"/>
              <w:left w:w="-1" w:type="dxa"/>
              <w:bottom w:w="-1" w:type="dxa"/>
              <w:right w:w="-1" w:type="dxa"/>
            </w:tcMar>
            <w:vAlign w:val="center"/>
          </w:tcPr>
          <w:p w14:paraId="001A8845">
            <w:pPr>
              <w:pStyle w:val="6"/>
              <w:keepNext w:val="0"/>
              <w:keepLines w:val="0"/>
              <w:widowControl/>
              <w:suppressLineNumbers w:val="0"/>
              <w:pBdr>
                <w:top w:val="none" w:color="auto" w:sz="0" w:space="0"/>
                <w:left w:val="none" w:color="auto" w:sz="0" w:space="0"/>
                <w:bottom w:val="none" w:color="auto" w:sz="0" w:space="0"/>
                <w:right w:val="none" w:color="auto" w:sz="0" w:space="0"/>
              </w:pBdr>
              <w:snapToGrid w:val="0"/>
              <w:spacing w:before="0" w:beforeAutospacing="0" w:after="0" w:afterAutospacing="0"/>
              <w:ind w:left="0" w:leftChars="0" w:right="0" w:rightChars="0" w:firstLine="0" w:firstLineChars="0"/>
              <w:jc w:val="center"/>
              <w:rPr>
                <w:rFonts w:hint="default" w:ascii="仿宋_GB2312" w:hAnsi="宋体" w:eastAsia="仿宋_GB2312" w:cs="仿宋_GB2312"/>
                <w:i w:val="0"/>
                <w:iCs w:val="0"/>
                <w:caps w:val="0"/>
                <w:color w:val="666666"/>
                <w:spacing w:val="0"/>
                <w:sz w:val="24"/>
                <w:szCs w:val="24"/>
                <w:shd w:val="clear" w:fill="FFFFFF"/>
                <w:lang w:val="en-US" w:eastAsia="zh-CN"/>
              </w:rPr>
            </w:pPr>
            <w:r>
              <w:rPr>
                <w:rFonts w:hint="default" w:ascii="仿宋_GB2312" w:hAnsi="宋体" w:eastAsia="仿宋_GB2312" w:cs="仿宋_GB2312"/>
                <w:i w:val="0"/>
                <w:iCs w:val="0"/>
                <w:caps w:val="0"/>
                <w:color w:val="666666"/>
                <w:spacing w:val="0"/>
                <w:sz w:val="24"/>
                <w:szCs w:val="24"/>
                <w:shd w:val="clear" w:fill="FFFFFF"/>
                <w:lang w:val="en-US" w:eastAsia="zh-CN"/>
              </w:rPr>
              <w:t>获得</w:t>
            </w:r>
            <w:r>
              <w:rPr>
                <w:rFonts w:hint="eastAsia" w:ascii="仿宋_GB2312" w:hAnsi="宋体" w:eastAsia="仿宋_GB2312" w:cs="仿宋_GB2312"/>
                <w:i w:val="0"/>
                <w:iCs w:val="0"/>
                <w:caps w:val="0"/>
                <w:color w:val="666666"/>
                <w:spacing w:val="0"/>
                <w:sz w:val="24"/>
                <w:szCs w:val="24"/>
                <w:shd w:val="clear" w:fill="FFFFFF"/>
                <w:lang w:val="en-US" w:eastAsia="zh-CN"/>
              </w:rPr>
              <w:t>区</w:t>
            </w:r>
            <w:r>
              <w:rPr>
                <w:rFonts w:hint="default" w:ascii="仿宋_GB2312" w:hAnsi="宋体" w:eastAsia="仿宋_GB2312" w:cs="仿宋_GB2312"/>
                <w:i w:val="0"/>
                <w:iCs w:val="0"/>
                <w:caps w:val="0"/>
                <w:color w:val="666666"/>
                <w:spacing w:val="0"/>
                <w:sz w:val="24"/>
                <w:szCs w:val="24"/>
                <w:shd w:val="clear" w:fill="FFFFFF"/>
                <w:lang w:val="en-US" w:eastAsia="zh-CN"/>
              </w:rPr>
              <w:t>级以上人民政府、市级以上政府部门表彰情况</w:t>
            </w:r>
          </w:p>
        </w:tc>
        <w:tc>
          <w:tcPr>
            <w:tcW w:w="1087" w:type="dxa"/>
            <w:tcBorders>
              <w:top w:val="single" w:color="auto" w:sz="6" w:space="0"/>
              <w:left w:val="single" w:color="auto" w:sz="6" w:space="0"/>
              <w:bottom w:val="single" w:color="auto" w:sz="6" w:space="0"/>
              <w:right w:val="outset" w:color="auto" w:sz="6" w:space="0"/>
            </w:tcBorders>
            <w:shd w:val="clear" w:color="auto" w:fill="FFFFFF"/>
            <w:noWrap w:val="0"/>
            <w:tcMar>
              <w:top w:w="-1" w:type="dxa"/>
              <w:left w:w="-1" w:type="dxa"/>
              <w:bottom w:w="-1" w:type="dxa"/>
              <w:right w:w="-1" w:type="dxa"/>
            </w:tcMar>
            <w:vAlign w:val="center"/>
          </w:tcPr>
          <w:p w14:paraId="443CFE36">
            <w:pPr>
              <w:pStyle w:val="6"/>
              <w:keepNext w:val="0"/>
              <w:keepLines w:val="0"/>
              <w:widowControl/>
              <w:suppressLineNumbers w:val="0"/>
              <w:pBdr>
                <w:top w:val="none" w:color="auto" w:sz="0" w:space="0"/>
                <w:left w:val="none" w:color="auto" w:sz="0" w:space="0"/>
                <w:bottom w:val="none" w:color="auto" w:sz="0" w:space="0"/>
                <w:right w:val="none" w:color="auto" w:sz="0" w:space="0"/>
              </w:pBdr>
              <w:snapToGrid w:val="0"/>
              <w:spacing w:before="0" w:beforeAutospacing="0" w:after="0" w:afterAutospacing="0"/>
              <w:ind w:left="0" w:leftChars="0" w:right="0" w:rightChars="0" w:firstLine="0" w:firstLineChars="0"/>
              <w:jc w:val="center"/>
              <w:rPr>
                <w:rFonts w:hint="eastAsia" w:ascii="方正仿宋_GBK" w:hAnsi="方正仿宋_GBK" w:eastAsia="方正仿宋_GBK" w:cs="方正仿宋_GBK"/>
                <w:b w:val="0"/>
                <w:bCs w:val="0"/>
                <w:i w:val="0"/>
                <w:iCs w:val="0"/>
                <w:caps w:val="0"/>
                <w:color w:val="333333"/>
                <w:spacing w:val="0"/>
                <w:sz w:val="22"/>
                <w:szCs w:val="22"/>
                <w:lang w:eastAsia="zh-CN"/>
              </w:rPr>
            </w:pPr>
            <w:r>
              <w:rPr>
                <w:rFonts w:hint="eastAsia" w:ascii="方正仿宋_GBK" w:hAnsi="方正仿宋_GBK" w:eastAsia="方正仿宋_GBK" w:cs="方正仿宋_GBK"/>
                <w:b w:val="0"/>
                <w:bCs w:val="0"/>
                <w:i w:val="0"/>
                <w:iCs w:val="0"/>
                <w:caps w:val="0"/>
                <w:color w:val="333333"/>
                <w:spacing w:val="0"/>
                <w:sz w:val="22"/>
                <w:szCs w:val="22"/>
                <w:lang w:val="en-US" w:eastAsia="zh-CN"/>
              </w:rPr>
              <w:t>4</w:t>
            </w:r>
          </w:p>
        </w:tc>
        <w:tc>
          <w:tcPr>
            <w:tcW w:w="3047" w:type="dxa"/>
            <w:tcBorders>
              <w:top w:val="single" w:color="auto" w:sz="6" w:space="0"/>
              <w:left w:val="single" w:color="auto" w:sz="6" w:space="0"/>
              <w:bottom w:val="single" w:color="auto" w:sz="6" w:space="0"/>
              <w:right w:val="outset" w:color="auto" w:sz="6" w:space="0"/>
            </w:tcBorders>
            <w:shd w:val="clear" w:color="auto" w:fill="FFFFFF"/>
            <w:noWrap w:val="0"/>
            <w:tcMar>
              <w:top w:w="-1" w:type="dxa"/>
              <w:left w:w="-1" w:type="dxa"/>
              <w:bottom w:w="-1" w:type="dxa"/>
              <w:right w:w="-1" w:type="dxa"/>
            </w:tcMar>
            <w:vAlign w:val="center"/>
          </w:tcPr>
          <w:p w14:paraId="5DC714AF">
            <w:pPr>
              <w:pStyle w:val="6"/>
              <w:keepNext w:val="0"/>
              <w:keepLines w:val="0"/>
              <w:widowControl/>
              <w:suppressLineNumbers w:val="0"/>
              <w:pBdr>
                <w:top w:val="none" w:color="auto" w:sz="0" w:space="0"/>
                <w:left w:val="none" w:color="auto" w:sz="0" w:space="0"/>
                <w:bottom w:val="none" w:color="auto" w:sz="0" w:space="0"/>
                <w:right w:val="none" w:color="auto" w:sz="0" w:space="0"/>
              </w:pBdr>
              <w:snapToGrid w:val="0"/>
              <w:spacing w:before="0" w:beforeAutospacing="0" w:after="0" w:afterAutospacing="0"/>
              <w:ind w:left="0" w:leftChars="0" w:right="0" w:rightChars="0" w:firstLine="0" w:firstLineChars="0"/>
              <w:jc w:val="center"/>
              <w:rPr>
                <w:rFonts w:hint="eastAsia" w:ascii="仿宋_GB2312" w:hAnsi="宋体" w:eastAsia="仿宋_GB2312" w:cs="仿宋_GB2312"/>
                <w:i w:val="0"/>
                <w:iCs w:val="0"/>
                <w:caps w:val="0"/>
                <w:color w:val="666666"/>
                <w:spacing w:val="0"/>
                <w:sz w:val="24"/>
                <w:szCs w:val="24"/>
                <w:shd w:val="clear" w:fill="FFFFFF"/>
                <w:lang w:eastAsia="zh-CN"/>
              </w:rPr>
            </w:pPr>
            <w:r>
              <w:rPr>
                <w:rFonts w:hint="eastAsia" w:ascii="仿宋_GB2312" w:hAnsi="宋体" w:eastAsia="仿宋_GB2312" w:cs="仿宋_GB2312"/>
                <w:i w:val="0"/>
                <w:iCs w:val="0"/>
                <w:caps w:val="0"/>
                <w:color w:val="666666"/>
                <w:spacing w:val="0"/>
                <w:sz w:val="24"/>
                <w:szCs w:val="24"/>
                <w:shd w:val="clear" w:fill="FFFFFF"/>
                <w:lang w:eastAsia="zh-CN"/>
              </w:rPr>
              <w:t>有表彰奖励：</w:t>
            </w:r>
            <w:r>
              <w:rPr>
                <w:rFonts w:hint="default" w:ascii="仿宋_GB2312" w:hAnsi="宋体" w:eastAsia="仿宋_GB2312" w:cs="仿宋_GB2312"/>
                <w:i w:val="0"/>
                <w:iCs w:val="0"/>
                <w:caps w:val="0"/>
                <w:color w:val="666666"/>
                <w:spacing w:val="0"/>
                <w:sz w:val="24"/>
                <w:szCs w:val="24"/>
                <w:shd w:val="clear" w:fill="FFFFFF"/>
                <w:lang w:eastAsia="zh-CN"/>
              </w:rPr>
              <w:t>1</w:t>
            </w:r>
            <w:r>
              <w:rPr>
                <w:rFonts w:hint="eastAsia" w:ascii="仿宋_GB2312" w:hAnsi="宋体" w:eastAsia="仿宋_GB2312" w:cs="仿宋_GB2312"/>
                <w:i w:val="0"/>
                <w:iCs w:val="0"/>
                <w:caps w:val="0"/>
                <w:color w:val="666666"/>
                <w:spacing w:val="0"/>
                <w:sz w:val="24"/>
                <w:szCs w:val="24"/>
                <w:shd w:val="clear" w:fill="FFFFFF"/>
                <w:lang w:eastAsia="zh-CN"/>
              </w:rPr>
              <w:t>项加</w:t>
            </w:r>
            <w:r>
              <w:rPr>
                <w:rFonts w:hint="default" w:ascii="仿宋_GB2312" w:hAnsi="宋体" w:eastAsia="仿宋_GB2312" w:cs="仿宋_GB2312"/>
                <w:i w:val="0"/>
                <w:iCs w:val="0"/>
                <w:caps w:val="0"/>
                <w:color w:val="666666"/>
                <w:spacing w:val="0"/>
                <w:sz w:val="24"/>
                <w:szCs w:val="24"/>
                <w:shd w:val="clear" w:fill="FFFFFF"/>
                <w:lang w:eastAsia="zh-CN"/>
              </w:rPr>
              <w:t>2</w:t>
            </w:r>
            <w:r>
              <w:rPr>
                <w:rFonts w:hint="eastAsia" w:ascii="仿宋_GB2312" w:hAnsi="宋体" w:eastAsia="仿宋_GB2312" w:cs="仿宋_GB2312"/>
                <w:i w:val="0"/>
                <w:iCs w:val="0"/>
                <w:caps w:val="0"/>
                <w:color w:val="666666"/>
                <w:spacing w:val="0"/>
                <w:sz w:val="24"/>
                <w:szCs w:val="24"/>
                <w:shd w:val="clear" w:fill="FFFFFF"/>
                <w:lang w:eastAsia="zh-CN"/>
              </w:rPr>
              <w:t>分，最高加</w:t>
            </w:r>
            <w:r>
              <w:rPr>
                <w:rFonts w:hint="default" w:ascii="仿宋_GB2312" w:hAnsi="宋体" w:eastAsia="仿宋_GB2312" w:cs="仿宋_GB2312"/>
                <w:i w:val="0"/>
                <w:iCs w:val="0"/>
                <w:caps w:val="0"/>
                <w:color w:val="666666"/>
                <w:spacing w:val="0"/>
                <w:sz w:val="24"/>
                <w:szCs w:val="24"/>
                <w:shd w:val="clear" w:fill="FFFFFF"/>
                <w:lang w:eastAsia="zh-CN"/>
              </w:rPr>
              <w:t>4</w:t>
            </w:r>
            <w:r>
              <w:rPr>
                <w:rFonts w:hint="eastAsia" w:ascii="仿宋_GB2312" w:hAnsi="宋体" w:eastAsia="仿宋_GB2312" w:cs="仿宋_GB2312"/>
                <w:i w:val="0"/>
                <w:iCs w:val="0"/>
                <w:caps w:val="0"/>
                <w:color w:val="666666"/>
                <w:spacing w:val="0"/>
                <w:sz w:val="24"/>
                <w:szCs w:val="24"/>
                <w:shd w:val="clear" w:fill="FFFFFF"/>
                <w:lang w:eastAsia="zh-CN"/>
              </w:rPr>
              <w:t>分。</w:t>
            </w:r>
          </w:p>
          <w:p w14:paraId="35E4F89F">
            <w:pPr>
              <w:pStyle w:val="6"/>
              <w:keepNext w:val="0"/>
              <w:keepLines w:val="0"/>
              <w:widowControl/>
              <w:suppressLineNumbers w:val="0"/>
              <w:pBdr>
                <w:top w:val="none" w:color="auto" w:sz="0" w:space="0"/>
                <w:left w:val="none" w:color="auto" w:sz="0" w:space="0"/>
                <w:bottom w:val="none" w:color="auto" w:sz="0" w:space="0"/>
                <w:right w:val="none" w:color="auto" w:sz="0" w:space="0"/>
              </w:pBdr>
              <w:snapToGrid w:val="0"/>
              <w:spacing w:before="0" w:beforeAutospacing="0" w:after="0" w:afterAutospacing="0"/>
              <w:ind w:left="0" w:leftChars="0" w:right="0" w:rightChars="0" w:firstLine="0" w:firstLineChars="0"/>
              <w:jc w:val="center"/>
              <w:rPr>
                <w:rFonts w:hint="default" w:ascii="仿宋_GB2312" w:hAnsi="宋体" w:eastAsia="仿宋_GB2312" w:cs="仿宋_GB2312"/>
                <w:i w:val="0"/>
                <w:iCs w:val="0"/>
                <w:caps w:val="0"/>
                <w:color w:val="666666"/>
                <w:spacing w:val="0"/>
                <w:sz w:val="24"/>
                <w:szCs w:val="24"/>
                <w:shd w:val="clear" w:fill="FFFFFF"/>
                <w:lang w:val="en-US" w:eastAsia="zh-CN"/>
              </w:rPr>
            </w:pPr>
            <w:r>
              <w:rPr>
                <w:rFonts w:hint="eastAsia" w:ascii="仿宋_GB2312" w:hAnsi="宋体" w:eastAsia="仿宋_GB2312" w:cs="仿宋_GB2312"/>
                <w:i w:val="0"/>
                <w:iCs w:val="0"/>
                <w:caps w:val="0"/>
                <w:color w:val="666666"/>
                <w:spacing w:val="0"/>
                <w:sz w:val="24"/>
                <w:szCs w:val="24"/>
                <w:shd w:val="clear" w:fill="FFFFFF"/>
                <w:lang w:eastAsia="zh-CN"/>
              </w:rPr>
              <w:t>无表彰奖励：</w:t>
            </w:r>
            <w:r>
              <w:rPr>
                <w:rFonts w:hint="default" w:ascii="仿宋_GB2312" w:hAnsi="宋体" w:eastAsia="仿宋_GB2312" w:cs="仿宋_GB2312"/>
                <w:i w:val="0"/>
                <w:iCs w:val="0"/>
                <w:caps w:val="0"/>
                <w:color w:val="666666"/>
                <w:spacing w:val="0"/>
                <w:sz w:val="24"/>
                <w:szCs w:val="24"/>
                <w:shd w:val="clear" w:fill="FFFFFF"/>
                <w:lang w:eastAsia="zh-CN"/>
              </w:rPr>
              <w:t>0</w:t>
            </w:r>
            <w:r>
              <w:rPr>
                <w:rFonts w:hint="eastAsia" w:ascii="仿宋_GB2312" w:hAnsi="宋体" w:eastAsia="仿宋_GB2312" w:cs="仿宋_GB2312"/>
                <w:i w:val="0"/>
                <w:iCs w:val="0"/>
                <w:caps w:val="0"/>
                <w:color w:val="666666"/>
                <w:spacing w:val="0"/>
                <w:sz w:val="24"/>
                <w:szCs w:val="24"/>
                <w:shd w:val="clear" w:fill="FFFFFF"/>
                <w:lang w:eastAsia="zh-CN"/>
              </w:rPr>
              <w:t>分。</w:t>
            </w:r>
          </w:p>
        </w:tc>
      </w:tr>
      <w:tr w14:paraId="22435421">
        <w:tblPrEx>
          <w:tblBorders>
            <w:top w:val="single" w:color="000000" w:sz="6" w:space="0"/>
            <w:left w:val="single" w:color="000000" w:sz="6" w:space="0"/>
            <w:bottom w:val="single" w:color="000000" w:sz="6" w:space="0"/>
            <w:right w:val="single" w:color="000000" w:sz="6" w:space="0"/>
            <w:insideH w:val="outset" w:color="auto" w:sz="6" w:space="0"/>
            <w:insideV w:val="outset" w:color="auto" w:sz="6" w:space="0"/>
          </w:tblBorders>
          <w:tblCellMar>
            <w:top w:w="0" w:type="dxa"/>
            <w:left w:w="0" w:type="dxa"/>
            <w:bottom w:w="0" w:type="dxa"/>
            <w:right w:w="0" w:type="dxa"/>
          </w:tblCellMar>
        </w:tblPrEx>
        <w:trPr>
          <w:trHeight w:val="0" w:hRule="atLeast"/>
          <w:jc w:val="center"/>
        </w:trPr>
        <w:tc>
          <w:tcPr>
            <w:tcW w:w="4706" w:type="dxa"/>
            <w:gridSpan w:val="3"/>
            <w:tcBorders>
              <w:top w:val="single" w:color="auto" w:sz="6" w:space="0"/>
              <w:left w:val="outset" w:color="auto" w:sz="6" w:space="0"/>
              <w:bottom w:val="single" w:color="auto" w:sz="6" w:space="0"/>
              <w:right w:val="single" w:color="auto" w:sz="6" w:space="0"/>
            </w:tcBorders>
            <w:shd w:val="clear" w:color="auto" w:fill="FFFFFF"/>
            <w:noWrap w:val="0"/>
            <w:tcMar>
              <w:top w:w="-1" w:type="dxa"/>
              <w:left w:w="-1" w:type="dxa"/>
              <w:bottom w:w="-1" w:type="dxa"/>
              <w:right w:w="-1" w:type="dxa"/>
            </w:tcMar>
            <w:vAlign w:val="center"/>
          </w:tcPr>
          <w:p w14:paraId="46B03A14">
            <w:pPr>
              <w:pStyle w:val="6"/>
              <w:keepNext w:val="0"/>
              <w:keepLines w:val="0"/>
              <w:widowControl/>
              <w:suppressLineNumbers w:val="0"/>
              <w:pBdr>
                <w:top w:val="none" w:color="auto" w:sz="0" w:space="0"/>
                <w:left w:val="none" w:color="auto" w:sz="0" w:space="0"/>
                <w:bottom w:val="none" w:color="auto" w:sz="0" w:space="0"/>
                <w:right w:val="none" w:color="auto" w:sz="0" w:space="0"/>
              </w:pBdr>
              <w:snapToGrid w:val="0"/>
              <w:spacing w:before="0" w:beforeAutospacing="0" w:after="0" w:afterAutospacing="0"/>
              <w:ind w:left="0" w:leftChars="0" w:right="0" w:rightChars="0" w:firstLine="0" w:firstLineChars="0"/>
              <w:jc w:val="center"/>
              <w:rPr>
                <w:rFonts w:hint="eastAsia" w:ascii="仿宋_GB2312" w:hAnsi="宋体" w:eastAsia="仿宋_GB2312" w:cs="仿宋_GB2312"/>
                <w:i w:val="0"/>
                <w:iCs w:val="0"/>
                <w:caps w:val="0"/>
                <w:color w:val="666666"/>
                <w:spacing w:val="0"/>
                <w:sz w:val="24"/>
                <w:szCs w:val="24"/>
                <w:shd w:val="clear" w:fill="FFFFFF"/>
                <w:lang w:eastAsia="zh-CN"/>
              </w:rPr>
            </w:pPr>
            <w:r>
              <w:rPr>
                <w:rFonts w:hint="eastAsia" w:ascii="仿宋_GB2312" w:hAnsi="宋体" w:eastAsia="仿宋_GB2312" w:cs="仿宋_GB2312"/>
                <w:i w:val="0"/>
                <w:iCs w:val="0"/>
                <w:caps w:val="0"/>
                <w:color w:val="666666"/>
                <w:spacing w:val="0"/>
                <w:sz w:val="24"/>
                <w:szCs w:val="24"/>
                <w:shd w:val="clear" w:fill="FFFFFF"/>
                <w:lang w:eastAsia="zh-CN"/>
              </w:rPr>
              <w:t>合计</w:t>
            </w:r>
          </w:p>
        </w:tc>
        <w:tc>
          <w:tcPr>
            <w:tcW w:w="1087" w:type="dxa"/>
            <w:tcBorders>
              <w:top w:val="single" w:color="auto" w:sz="6" w:space="0"/>
              <w:left w:val="single" w:color="auto" w:sz="6" w:space="0"/>
              <w:bottom w:val="single" w:color="auto" w:sz="6" w:space="0"/>
              <w:right w:val="outset" w:color="auto" w:sz="6" w:space="0"/>
            </w:tcBorders>
            <w:shd w:val="clear" w:color="auto" w:fill="FFFFFF"/>
            <w:noWrap w:val="0"/>
            <w:tcMar>
              <w:top w:w="-1" w:type="dxa"/>
              <w:left w:w="-1" w:type="dxa"/>
              <w:bottom w:w="-1" w:type="dxa"/>
              <w:right w:w="-1" w:type="dxa"/>
            </w:tcMar>
            <w:vAlign w:val="center"/>
          </w:tcPr>
          <w:p w14:paraId="53C3EF68">
            <w:pPr>
              <w:pStyle w:val="6"/>
              <w:keepNext w:val="0"/>
              <w:keepLines w:val="0"/>
              <w:widowControl/>
              <w:suppressLineNumbers w:val="0"/>
              <w:pBdr>
                <w:top w:val="none" w:color="auto" w:sz="0" w:space="0"/>
                <w:left w:val="none" w:color="auto" w:sz="0" w:space="0"/>
                <w:bottom w:val="none" w:color="auto" w:sz="0" w:space="0"/>
                <w:right w:val="none" w:color="auto" w:sz="0" w:space="0"/>
              </w:pBdr>
              <w:snapToGrid w:val="0"/>
              <w:spacing w:before="0" w:beforeAutospacing="0" w:after="0" w:afterAutospacing="0"/>
              <w:ind w:left="0" w:leftChars="0" w:right="0" w:rightChars="0" w:firstLine="0" w:firstLineChars="0"/>
              <w:jc w:val="center"/>
              <w:rPr>
                <w:rFonts w:hint="default" w:ascii="仿宋_GB2312" w:hAnsi="宋体" w:eastAsia="仿宋_GB2312" w:cs="仿宋_GB2312"/>
                <w:i w:val="0"/>
                <w:iCs w:val="0"/>
                <w:caps w:val="0"/>
                <w:color w:val="666666"/>
                <w:spacing w:val="0"/>
                <w:sz w:val="24"/>
                <w:szCs w:val="24"/>
                <w:shd w:val="clear" w:fill="FFFFFF"/>
                <w:lang w:val="en-US" w:eastAsia="zh-CN"/>
              </w:rPr>
            </w:pPr>
            <w:r>
              <w:rPr>
                <w:rFonts w:hint="eastAsia" w:ascii="仿宋_GB2312" w:hAnsi="宋体" w:eastAsia="仿宋_GB2312" w:cs="仿宋_GB2312"/>
                <w:i w:val="0"/>
                <w:iCs w:val="0"/>
                <w:caps w:val="0"/>
                <w:color w:val="666666"/>
                <w:spacing w:val="0"/>
                <w:sz w:val="24"/>
                <w:szCs w:val="24"/>
                <w:shd w:val="clear" w:fill="FFFFFF"/>
                <w:lang w:val="en-US" w:eastAsia="zh-CN"/>
              </w:rPr>
              <w:t>104</w:t>
            </w:r>
          </w:p>
        </w:tc>
        <w:tc>
          <w:tcPr>
            <w:tcW w:w="3047" w:type="dxa"/>
            <w:tcBorders>
              <w:top w:val="single" w:color="auto" w:sz="6" w:space="0"/>
              <w:left w:val="single" w:color="auto" w:sz="6" w:space="0"/>
              <w:bottom w:val="single" w:color="auto" w:sz="6" w:space="0"/>
              <w:right w:val="outset" w:color="auto" w:sz="6" w:space="0"/>
            </w:tcBorders>
            <w:shd w:val="clear" w:color="auto" w:fill="FFFFFF"/>
            <w:noWrap w:val="0"/>
            <w:tcMar>
              <w:top w:w="-1" w:type="dxa"/>
              <w:left w:w="-1" w:type="dxa"/>
              <w:bottom w:w="-1" w:type="dxa"/>
              <w:right w:w="-1" w:type="dxa"/>
            </w:tcMar>
            <w:vAlign w:val="center"/>
          </w:tcPr>
          <w:p w14:paraId="0B8F641D">
            <w:pPr>
              <w:pStyle w:val="6"/>
              <w:keepNext w:val="0"/>
              <w:keepLines w:val="0"/>
              <w:widowControl/>
              <w:suppressLineNumbers w:val="0"/>
              <w:pBdr>
                <w:top w:val="none" w:color="auto" w:sz="0" w:space="0"/>
                <w:left w:val="none" w:color="auto" w:sz="0" w:space="0"/>
                <w:bottom w:val="none" w:color="auto" w:sz="0" w:space="0"/>
                <w:right w:val="none" w:color="auto" w:sz="0" w:space="0"/>
              </w:pBdr>
              <w:snapToGrid w:val="0"/>
              <w:spacing w:before="0" w:beforeAutospacing="0" w:after="0" w:afterAutospacing="0"/>
              <w:ind w:left="0" w:leftChars="0" w:right="0" w:rightChars="0" w:firstLine="0" w:firstLineChars="0"/>
              <w:jc w:val="center"/>
              <w:rPr>
                <w:rFonts w:ascii="仿宋_GB2312" w:hAnsi="宋体" w:eastAsia="仿宋_GB2312" w:cs="仿宋_GB2312"/>
                <w:i w:val="0"/>
                <w:iCs w:val="0"/>
                <w:caps w:val="0"/>
                <w:color w:val="666666"/>
                <w:spacing w:val="0"/>
                <w:sz w:val="24"/>
                <w:szCs w:val="24"/>
                <w:shd w:val="clear" w:fill="FFFFFF"/>
              </w:rPr>
            </w:pPr>
          </w:p>
        </w:tc>
      </w:tr>
    </w:tbl>
    <w:p w14:paraId="6378E8B3">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default" w:ascii="黑体" w:hAnsi="黑体" w:eastAsia="黑体" w:cs="黑体"/>
          <w:sz w:val="32"/>
          <w:szCs w:val="32"/>
          <w:lang w:val="en-US" w:eastAsia="zh-CN"/>
        </w:rPr>
      </w:pPr>
    </w:p>
    <w:sectPr>
      <w:pgSz w:w="11906" w:h="16838"/>
      <w:pgMar w:top="2098" w:right="1474" w:bottom="1984"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201060103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方正黑体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 w:name="方正仿宋_GBK">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473223">
    <w:pPr>
      <w:pStyle w:val="4"/>
      <w:ind w:firstLine="7560" w:firstLineChars="2700"/>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5C0C08">
    <w:pPr>
      <w:pStyle w:val="4"/>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5"/>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4417EF7"/>
    <w:rsid w:val="056A1004"/>
    <w:rsid w:val="0BA778F3"/>
    <w:rsid w:val="0E331990"/>
    <w:rsid w:val="0F7F54C9"/>
    <w:rsid w:val="0FAA6DAA"/>
    <w:rsid w:val="11313B15"/>
    <w:rsid w:val="1457788F"/>
    <w:rsid w:val="146B4515"/>
    <w:rsid w:val="1EC65D3D"/>
    <w:rsid w:val="1EE65B75"/>
    <w:rsid w:val="1F14601A"/>
    <w:rsid w:val="21091F11"/>
    <w:rsid w:val="234459EC"/>
    <w:rsid w:val="27C821E3"/>
    <w:rsid w:val="285443B9"/>
    <w:rsid w:val="2987256D"/>
    <w:rsid w:val="29A6333A"/>
    <w:rsid w:val="29D05CC2"/>
    <w:rsid w:val="2AA9374F"/>
    <w:rsid w:val="2E206B10"/>
    <w:rsid w:val="2EF030E2"/>
    <w:rsid w:val="30C220DC"/>
    <w:rsid w:val="31C158A6"/>
    <w:rsid w:val="331E181F"/>
    <w:rsid w:val="34AF5452"/>
    <w:rsid w:val="34C77CC1"/>
    <w:rsid w:val="35E11256"/>
    <w:rsid w:val="36AD2D04"/>
    <w:rsid w:val="36B82C17"/>
    <w:rsid w:val="375717D0"/>
    <w:rsid w:val="3AB033B3"/>
    <w:rsid w:val="3C5738CA"/>
    <w:rsid w:val="3D0B4930"/>
    <w:rsid w:val="4071181D"/>
    <w:rsid w:val="43483AD4"/>
    <w:rsid w:val="434A21E9"/>
    <w:rsid w:val="43A044FF"/>
    <w:rsid w:val="44972308"/>
    <w:rsid w:val="449E6458"/>
    <w:rsid w:val="461517A9"/>
    <w:rsid w:val="495024F9"/>
    <w:rsid w:val="4B1056F7"/>
    <w:rsid w:val="4B8E7B3D"/>
    <w:rsid w:val="501510C9"/>
    <w:rsid w:val="52F51D6F"/>
    <w:rsid w:val="534256DE"/>
    <w:rsid w:val="53D129E2"/>
    <w:rsid w:val="567F61F6"/>
    <w:rsid w:val="56856D59"/>
    <w:rsid w:val="56A266FC"/>
    <w:rsid w:val="578332CF"/>
    <w:rsid w:val="586D2114"/>
    <w:rsid w:val="5AEE394A"/>
    <w:rsid w:val="5B44356A"/>
    <w:rsid w:val="5B4D4824"/>
    <w:rsid w:val="5BE770BF"/>
    <w:rsid w:val="5EBC30A5"/>
    <w:rsid w:val="63A559F7"/>
    <w:rsid w:val="63C74D38"/>
    <w:rsid w:val="65FA61B8"/>
    <w:rsid w:val="67242BCD"/>
    <w:rsid w:val="677D5DE6"/>
    <w:rsid w:val="6AC00E5F"/>
    <w:rsid w:val="6C9A4A5B"/>
    <w:rsid w:val="6E886F43"/>
    <w:rsid w:val="6EEB648C"/>
    <w:rsid w:val="701D5146"/>
    <w:rsid w:val="73EC723F"/>
    <w:rsid w:val="74086CFF"/>
    <w:rsid w:val="75337BE2"/>
    <w:rsid w:val="77BD66BF"/>
    <w:rsid w:val="780B436A"/>
    <w:rsid w:val="790C2A24"/>
    <w:rsid w:val="7C1032C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99"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spacing w:before="180" w:after="180"/>
    </w:pPr>
  </w:style>
  <w:style w:type="paragraph" w:styleId="3">
    <w:name w:val="Body Text First Indent"/>
    <w:basedOn w:val="2"/>
    <w:next w:val="1"/>
    <w:qFormat/>
    <w:uiPriority w:val="99"/>
    <w:pPr>
      <w:ind w:firstLine="420" w:firstLineChars="100"/>
    </w:p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Normal (Web)"/>
    <w:basedOn w:val="1"/>
    <w:qFormat/>
    <w:uiPriority w:val="0"/>
    <w:pPr>
      <w:spacing w:before="0" w:beforeAutospacing="1" w:after="0" w:afterAutospacing="1"/>
      <w:ind w:left="0" w:right="0"/>
      <w:jc w:val="left"/>
    </w:pPr>
    <w:rPr>
      <w:kern w:val="0"/>
      <w:sz w:val="24"/>
      <w:lang w:val="en-US" w:eastAsia="zh-CN" w:bidi="ar"/>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Strong"/>
    <w:basedOn w:val="9"/>
    <w:qFormat/>
    <w:uiPriority w:val="0"/>
    <w:rPr>
      <w:b/>
    </w:rPr>
  </w:style>
  <w:style w:type="paragraph" w:customStyle="1" w:styleId="11">
    <w:name w:val="Table Text"/>
    <w:basedOn w:val="1"/>
    <w:semiHidden/>
    <w:qFormat/>
    <w:uiPriority w:val="0"/>
    <w:rPr>
      <w:rFonts w:ascii="Arial" w:hAnsi="Arial" w:eastAsia="Arial" w:cs="Arial"/>
      <w:sz w:val="21"/>
      <w:szCs w:val="21"/>
      <w:lang w:val="en-US" w:eastAsia="en-US" w:bidi="ar-SA"/>
    </w:rPr>
  </w:style>
  <w:style w:type="table" w:customStyle="1" w:styleId="12">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Pages>
  <Words>3617</Words>
  <Characters>3652</Characters>
  <Lines>1</Lines>
  <Paragraphs>1</Paragraphs>
  <TotalTime>16</TotalTime>
  <ScaleCrop>false</ScaleCrop>
  <LinksUpToDate>false</LinksUpToDate>
  <CharactersWithSpaces>3687</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2025-08-26T08:35:00Z</dcterms:created>
  <dc:creator>慕卫东</dc:creator>
  <cp:lastModifiedBy>遥</cp:lastModifiedBy>
  <dcterms:modified xsi:type="dcterms:W3CDTF">2026-05-29T03:31:24Z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KSOTemplateDocerSaveRecord">
    <vt:lpwstr>eyJoZGlkIjoiYzczNDY2YWMxZjUwMjFhMWFhZjQzZTcyMzMzNjUzYTUiLCJ1c2VySWQiOiIxMDU0NzYwNTI4In0=</vt:lpwstr>
  </property>
  <property fmtid="{D5CDD505-2E9C-101B-9397-08002B2CF9AE}" pid="4" name="ICV">
    <vt:lpwstr>06A58716958D445AA5A912947CCB035C_12</vt:lpwstr>
  </property>
</Properties>
</file>