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E374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44"/>
          <w:szCs w:val="44"/>
          <w:highlight w:val="none"/>
          <w:lang w:val="en-US" w:eastAsia="zh-CN"/>
        </w:rPr>
        <w:t>佛山市南海区养老机构服务质量评估办法</w:t>
      </w:r>
    </w:p>
    <w:p w14:paraId="10559D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征求意见稿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）</w:t>
      </w:r>
    </w:p>
    <w:p w14:paraId="7EB17A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</w:pPr>
    </w:p>
    <w:p w14:paraId="0E453A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  <w:t>第一章 总则</w:t>
      </w:r>
    </w:p>
    <w:p w14:paraId="37923C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第一条 目的依据</w:t>
      </w:r>
    </w:p>
    <w:p w14:paraId="466E36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为规范养老机构、医养结合机构服务质量评估工作，提升养老机构、医养结合机构服务能力和水平，保障老年人合法权益，根据《养老机构管理办法》（民政部令第66号）、《广东省养老服务条例》、《养老机构服务安全基本规范》（GB38600-2019）、《养老机构服务质量基本规范》（GB/T35796-2017）等法律法规及国家标准，结合本区实际，制定本办法。</w:t>
      </w:r>
    </w:p>
    <w:p w14:paraId="3CC179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第二条 适用范围</w:t>
      </w:r>
    </w:p>
    <w:p w14:paraId="0C356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本办法适用于本行政区域内依法备案、正常运营满6个月以上的养老机构的服务质量评估工作。备案不满6个月的新建养老机构，可自愿申请预评估，评估结果仅作为整改指导依据，不纳入正式评级范围。</w:t>
      </w:r>
    </w:p>
    <w:p w14:paraId="341CD4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第三条 评估原则</w:t>
      </w:r>
    </w:p>
    <w:p w14:paraId="24B380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highlight w:val="none"/>
          <w:lang w:val="en-US" w:eastAsia="zh-CN"/>
        </w:rPr>
        <w:t>（一）政府主导，多元参与。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民政部门统筹指导，镇（街道）民政部门协同配合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引入专业第三方机构参与评估，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加强社会监督，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形成“行政监管+专业评价+社会监督”协同机制。</w:t>
      </w:r>
    </w:p>
    <w:p w14:paraId="56FC0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楷体" w:hAnsi="楷体" w:eastAsia="楷体" w:cs="楷体"/>
          <w:b/>
          <w:bCs/>
          <w:color w:val="auto"/>
          <w:sz w:val="32"/>
          <w:szCs w:val="32"/>
          <w:highlight w:val="none"/>
          <w:lang w:val="en-US" w:eastAsia="zh-CN"/>
        </w:rPr>
        <w:t>（二）客观公正，科学规范。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评估标准统一，程序规范透明，评估指标设置合理，评估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以事实和数据为依据，建立回避制度，与被评估机构存在利害关系的评估人员应当回避，确保评估结果真实反映机构服务质量。</w:t>
      </w:r>
    </w:p>
    <w:p w14:paraId="4D346C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楷体" w:hAnsi="楷体" w:eastAsia="楷体" w:cs="楷体"/>
          <w:b/>
          <w:bCs/>
          <w:color w:val="auto"/>
          <w:sz w:val="32"/>
          <w:szCs w:val="32"/>
          <w:highlight w:val="none"/>
          <w:lang w:val="en-US" w:eastAsia="zh-CN"/>
        </w:rPr>
        <w:t>（三）动态管理，以评促建。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建立“评估-反馈-整改-提升”闭环机制，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根据评估结果督促整改，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推动养老机构持续改进服务质量。</w:t>
      </w:r>
    </w:p>
    <w:p w14:paraId="10EC2B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</w:pPr>
    </w:p>
    <w:p w14:paraId="53579B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  <w:t>第二章 评估主体与职责</w:t>
      </w:r>
    </w:p>
    <w:p w14:paraId="7419A9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第四条 评估主体</w:t>
      </w:r>
    </w:p>
    <w:p w14:paraId="53AE4B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区民政部门是养老机构服务质量评估的责任主体，负责制定评估方案、组织实施评估、发布评估结果并监督整改。镇（街道）民政部门负责配合开展现场评估、督促辖区内机构落实整改工作。</w:t>
      </w:r>
    </w:p>
    <w:p w14:paraId="1DAA0F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第五条 评估主体职责</w:t>
      </w:r>
    </w:p>
    <w:p w14:paraId="40133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（一）制定年度评估计划，明确评估范围、标准、时间及方式；</w:t>
      </w:r>
    </w:p>
    <w:p w14:paraId="1EEC43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（二）可委托具备专业资质和能力的第三方评估机构开展具体评估工作；</w:t>
      </w:r>
    </w:p>
    <w:p w14:paraId="1865BD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（三）审核评估报告，审定评估结果并公示；</w:t>
      </w:r>
    </w:p>
    <w:p w14:paraId="2772E3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（四）督促评估不合格机构整改，依法处理违规行为；</w:t>
      </w:r>
    </w:p>
    <w:p w14:paraId="4447E6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（五）将评估结果纳入养老机构信用评价、政府补贴、资源配置等管理依据。</w:t>
      </w:r>
    </w:p>
    <w:p w14:paraId="2052DB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第六条 第三方评估机构要求</w:t>
      </w:r>
    </w:p>
    <w:p w14:paraId="6655DE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（一）具备独立法人资格，主营业务包含评估评审、养老服务等相关内容，从事养老相关领域专业服务满3年；</w:t>
      </w:r>
    </w:p>
    <w:p w14:paraId="16805D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（二）拥有5名以上专/兼职评估人员，评估人员需具备养老服务、医疗护理、康复治疗、社会工作、安全管理、标准化等相关专业背景或从事养老服务工作不少于5年，持有中级及以上资质证书；</w:t>
      </w:r>
    </w:p>
    <w:p w14:paraId="61E394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（三）近3年无重大评估事故或不良信用记录，未被列入失信被执行人、政府采购严重违法失信行为记录名单；</w:t>
      </w:r>
    </w:p>
    <w:p w14:paraId="2CA4EE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（四）评估过程接受民政部门监督，严格执行回避制度，确保中立性，对评估过程中获取的机构信息、老年人个人信息严格保密，不得泄露、出售或者非法向他人提供。</w:t>
      </w:r>
    </w:p>
    <w:p w14:paraId="5D0BBB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</w:pPr>
    </w:p>
    <w:p w14:paraId="266285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  <w:t>第三章 评估内容</w:t>
      </w:r>
    </w:p>
    <w:p w14:paraId="08051F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第七条 评估内容</w:t>
      </w:r>
    </w:p>
    <w:p w14:paraId="360562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评估内容涵盖机构基本条件、服务规范、安全管理、运营管理、老年人权益保障五大维度，实行百分制量化评分（具体指标见附件）。</w:t>
      </w:r>
    </w:p>
    <w:p w14:paraId="2DECBF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（一）一票否决项</w:t>
      </w:r>
    </w:p>
    <w:p w14:paraId="10613E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评估设置一票否决项，被评估机构出现以下任何一种情形的，直接评定为不合格，且1年内不得重新申请评估：</w:t>
      </w:r>
    </w:p>
    <w:p w14:paraId="0622BB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1.不符合《养老机构服务安全基本规范》（GB38600-2019）任何一项强制性要求；</w:t>
      </w:r>
    </w:p>
    <w:p w14:paraId="28EF3A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2.评估前12个月内发生重大生产安全责任事故（造成1人以上死亡或3人以上受伤的生产安全事故）；</w:t>
      </w:r>
    </w:p>
    <w:p w14:paraId="7B0BCC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3.存在欺老、虐老、歧视老年人行为，造成恶劣社会影响；</w:t>
      </w:r>
    </w:p>
    <w:p w14:paraId="0E26C2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4.评估过程中提供虚假材料、隐瞒真实情况或者干扰、阻碍评估工作正常开展；</w:t>
      </w:r>
    </w:p>
    <w:p w14:paraId="77812A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5.被列入失信联合惩戒对象名单。</w:t>
      </w:r>
    </w:p>
    <w:p w14:paraId="7E4BCD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（二）机构基本条件（20分）</w:t>
      </w:r>
    </w:p>
    <w:p w14:paraId="4E2C7F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重点评估机构资质合规性、设施设备达标性，严格落实国家强制性标准要求：</w:t>
      </w:r>
    </w:p>
    <w:p w14:paraId="4AAB4F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1.依法登记/备案情况（营业执照、备案回执）；</w:t>
      </w:r>
    </w:p>
    <w:p w14:paraId="188EAA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2.场地设施符合《老年人照料设施建筑设计标准》（JGJ450-2018）情况；</w:t>
      </w:r>
    </w:p>
    <w:p w14:paraId="22E995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3.床位面积、房型（单人间、双人间、多人间比例）、适老化改造（防滑、无障碍、紧急呼叫等）达标情况；</w:t>
      </w:r>
    </w:p>
    <w:p w14:paraId="1F45C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4.消防验收、食品经营、特种设备、医疗等行政许可齐全有效。</w:t>
      </w:r>
    </w:p>
    <w:p w14:paraId="6CA9FD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（二）服务规范（30分）</w:t>
      </w:r>
    </w:p>
    <w:p w14:paraId="7E67EB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重点评估生活照料、医疗护理、精神慰藉等服务的规范性和质量：</w:t>
      </w:r>
    </w:p>
    <w:p w14:paraId="64CF69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1.生活照料服务：每日照护频次（如进食、洗漱、翻身等）、个性化服务方案制定、照护记录完整性；</w:t>
      </w:r>
    </w:p>
    <w:p w14:paraId="6AA306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2.医疗护理服务：与医疗机构合作协议、慢病管理档案、康复护理计划、紧急医疗响应机制（与最近医疗机构急救时间≤15分钟）；</w:t>
      </w:r>
    </w:p>
    <w:p w14:paraId="3DD10A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3.精神慰藉服务：心理咨询记录、文化娱乐活动开展频次（每月≥4次）、失智老人防走失措施；</w:t>
      </w:r>
    </w:p>
    <w:p w14:paraId="44F774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4.其他服务：膳食服务（营养配餐、食品安全）、清洁服务（卫生达标率）、维修服务（设施故障24小时响应）。</w:t>
      </w:r>
    </w:p>
    <w:p w14:paraId="0288D3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（三）安全管理（25分）</w:t>
      </w:r>
    </w:p>
    <w:p w14:paraId="02D6EC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重点评估安全责任落实、风险防控能力：</w:t>
      </w:r>
    </w:p>
    <w:p w14:paraId="25D30F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1.安全管理制度（安全责任制度、应急预案、值班巡查制度）健全性；</w:t>
      </w:r>
    </w:p>
    <w:p w14:paraId="49EEDD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2.安全风险防控（跌倒、坠床、噎食、烫伤等风险评估覆盖率100%，防护设备配置齐全）；</w:t>
      </w:r>
    </w:p>
    <w:p w14:paraId="451018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3.安全培训（员工每年安全培训≥24学时，老年人及家属安全宣教每季度≥1次）；</w:t>
      </w:r>
    </w:p>
    <w:p w14:paraId="4FCD15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4.近3年安全事故记录（无重大安全责任事故得满分，发生一起扣10分，直至扣完）。</w:t>
      </w:r>
    </w:p>
    <w:p w14:paraId="2E51FB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（四）运营管理（15分）</w:t>
      </w:r>
    </w:p>
    <w:p w14:paraId="2FC222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重点评估养老机构内部管理的规范化水平：</w:t>
      </w:r>
    </w:p>
    <w:p w14:paraId="4642AA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1.内部管理制度（岗位职责、绩效考核、档案管理）完善性；</w:t>
      </w:r>
    </w:p>
    <w:p w14:paraId="5D149C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2.工作人员配置（护理员与入住老人比例≥1:4，医生、护士持证上岗率100%）；</w:t>
      </w:r>
    </w:p>
    <w:p w14:paraId="56886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3.财务管理（收费项目公示、政府补贴资金专款专用、无挪用克扣现象）；</w:t>
      </w:r>
    </w:p>
    <w:p w14:paraId="261F66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4.信息化管理水平（按照民政部门要求使用养老机构管理信息系统，及时准确录入老年人信息、服务记录、评估结果等数据）。</w:t>
      </w:r>
    </w:p>
    <w:p w14:paraId="3BA44C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（五）老年人权益保障（10分）</w:t>
      </w:r>
    </w:p>
    <w:p w14:paraId="0C08ED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重点评估知情权、选择权、投诉权等合法权益落实情况：</w:t>
      </w:r>
    </w:p>
    <w:p w14:paraId="6F505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入住协议签订率100%（明确服务内容、收费标准、双方权责）；</w:t>
      </w:r>
    </w:p>
    <w:p w14:paraId="325F25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老年人满意度调查（每季度开展1次，满意度≥90%得满分，每降低5%扣2分）；</w:t>
      </w:r>
    </w:p>
    <w:p w14:paraId="1C8133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投诉处理机制（设立投诉渠道，24小时内响应，7个工作日内办结）。</w:t>
      </w:r>
    </w:p>
    <w:p w14:paraId="2BE9B2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</w:pPr>
    </w:p>
    <w:p w14:paraId="3608B1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  <w:t>第四章 评估程序</w:t>
      </w:r>
    </w:p>
    <w:p w14:paraId="515AE4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第八条 评估周期</w:t>
      </w:r>
    </w:p>
    <w:p w14:paraId="4EB31A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评估工作每年开展1次，原则上在第四季度（9-12月）进行，评估周期为上年度9月1日至当年度8月31日。区民政部门于每年9月底前制定年度评估计划，明确参评机构名单、时间安排及工作要求，于12月底前完成年度评估工作。</w:t>
      </w:r>
    </w:p>
    <w:p w14:paraId="53475F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第九条 评估程序</w:t>
      </w:r>
    </w:p>
    <w:p w14:paraId="4F7577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评估程序包括：</w:t>
      </w:r>
    </w:p>
    <w:p w14:paraId="665E6C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（一）通知准备：区民政部门发布评估通知，明确评估时间、范围、要求等。</w:t>
      </w:r>
    </w:p>
    <w:p w14:paraId="565714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（二）机构自评：养老机构按照评估通知要求开展自查自评，填写自评表，准备相关佐证材料，在规定时限内提交至区民政部门。</w:t>
      </w:r>
    </w:p>
    <w:p w14:paraId="08AF36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（三）材料审核：评估人员对养老机构提交的自评报告及相关证明材料进行书面审核。</w:t>
      </w:r>
    </w:p>
    <w:p w14:paraId="55B095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（四）现场评估：</w:t>
      </w:r>
    </w:p>
    <w:p w14:paraId="03B2BD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1.听取机构简要汇报；</w:t>
      </w:r>
    </w:p>
    <w:p w14:paraId="44CD37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2.实地查看居室、餐厅、医疗室、活动区等设施环境、设备配置；</w:t>
      </w:r>
    </w:p>
    <w:p w14:paraId="3C53C7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3.查阅管理文件、服务记录、档案资料（如健康档案、培训记录、应急预案、投诉处理记录、合同等）；</w:t>
      </w:r>
    </w:p>
    <w:p w14:paraId="2B34A8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4.现场观察服务过程；</w:t>
      </w:r>
    </w:p>
    <w:p w14:paraId="51E652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5.随机访谈工作人员，了解服务流程及难点；</w:t>
      </w:r>
    </w:p>
    <w:p w14:paraId="4F5161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6.随机访问老年人及家属，进行满意度问卷调查。</w:t>
      </w:r>
    </w:p>
    <w:p w14:paraId="4052D3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（五）情况反馈：现场评估结束后，评估小组向机构反馈初步发现的问题，出具《现场评估问题告知单》，由机构负责人签字确认。</w:t>
      </w:r>
    </w:p>
    <w:p w14:paraId="51F9F5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（六）综合评定：评估小组根据材料审核、现场评估、访谈问卷等情况，对照评估指标体系进行独立评分，形成初步评估意见。</w:t>
      </w:r>
    </w:p>
    <w:p w14:paraId="00D0A6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（七）结果公示：区民政部门对评估报告进行审核确认后，在政府部门官网向社会公示评估结果，公示期为5个工作日。</w:t>
      </w:r>
    </w:p>
    <w:p w14:paraId="2F4A68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（八）异议处理：公示期内，被评估机构对评估结果有异议的，可以向区民政部门提交书面复核申请及相关佐证材料。区民政部门在收到申请后10个工作日内组织重新核查，出具最终复核结论。</w:t>
      </w:r>
    </w:p>
    <w:p w14:paraId="5BA2EE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（九）结果送达：公示无异议或异议处理完毕后，区民政部门组织镇（街道）民政部门及第三方评估机构召开评审会审定最终评估结果，并将最终结果在政府部门官网上进行发布。</w:t>
      </w:r>
    </w:p>
    <w:p w14:paraId="354548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</w:pPr>
    </w:p>
    <w:p w14:paraId="2F7F58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  <w:t>第五章 评估等级及结果应用</w:t>
      </w:r>
    </w:p>
    <w:p w14:paraId="3802F0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第十条 评估等级划分</w:t>
      </w:r>
    </w:p>
    <w:p w14:paraId="43BA0B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评估等级分为优秀、良好、合格、不合格四个等级：</w:t>
      </w:r>
    </w:p>
    <w:p w14:paraId="2B6B79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1.优秀：综合得分≥90分，无一票否决项，服务质量优异，具有示范引领作用；</w:t>
      </w:r>
    </w:p>
    <w:p w14:paraId="593ACA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2.良好：综合得分≥80分且&lt;90分，无一票否决项，服务质量良好，管理规范；</w:t>
      </w:r>
    </w:p>
    <w:p w14:paraId="261079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3.合格：综合得分≥70分且&lt;80分，无一票否决项，达到基本服务要求和安全底线，存在一定问题需要整改；</w:t>
      </w:r>
    </w:p>
    <w:p w14:paraId="275405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4.不合格：综合得分&lt;70分，或存在一票否决项，未达到基本服务要求或存在重大安全风险隐患。</w:t>
      </w:r>
    </w:p>
    <w:p w14:paraId="7970AC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第十一条 结果应用</w:t>
      </w:r>
    </w:p>
    <w:p w14:paraId="4B3A99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（一）资金补贴：评估结果作为政府财政补贴的重要依据，不合格机构取消当年政府财政补贴资格；</w:t>
      </w:r>
    </w:p>
    <w:p w14:paraId="2384A4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（二）政策扶持：优先推荐优秀机构参与政府购买服务、各级政府部门试点项目等；</w:t>
      </w:r>
    </w:p>
    <w:p w14:paraId="7DBACD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（三）信用管理：评估结果作为养老机构信用评价的重要指标。</w:t>
      </w:r>
    </w:p>
    <w:p w14:paraId="7493F3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第十二条 整改要求</w:t>
      </w:r>
    </w:p>
    <w:p w14:paraId="7E7553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（一）对评估结果为合格的养老机构，按照下列程序整改：</w:t>
      </w:r>
    </w:p>
    <w:p w14:paraId="3FB5B1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1.由区民政部门下发整改通知书，明确整改要求和时限；</w:t>
      </w:r>
    </w:p>
    <w:p w14:paraId="2413DC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2.机构须在规定时限内制定整改方案报送区民政部门；</w:t>
      </w:r>
    </w:p>
    <w:p w14:paraId="4F02C9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3.机构认真组织整改，区民政部门及所在镇（街道）民政部门应加强指导和督促检查。</w:t>
      </w:r>
    </w:p>
    <w:p w14:paraId="55FFAC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（二）对评估结果为不合格的养老机构，按照下列程序整改：</w:t>
      </w:r>
    </w:p>
    <w:p w14:paraId="7FE976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1.由区民政部门下发整改通知书，明确整改要求和时限；</w:t>
      </w:r>
    </w:p>
    <w:p w14:paraId="3514FE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2.机构须在规定时限内制定整改方案报送区民政部门；</w:t>
      </w:r>
    </w:p>
    <w:p w14:paraId="7F5DBD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3.机构认真组织整改，整改期间暂停接收新入住老年人；</w:t>
      </w:r>
    </w:p>
    <w:p w14:paraId="163934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4.整改完成后，由原评估机构复评，复评通过后恢复运营；对拒不整改或整改后复评仍不合格的，由区民政部门依法依规停业整顿，严重者撤销备案，并向社会公告。</w:t>
      </w:r>
    </w:p>
    <w:p w14:paraId="7834A8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</w:pPr>
    </w:p>
    <w:p w14:paraId="373A3A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  <w:t>第六章 监督管理</w:t>
      </w:r>
    </w:p>
    <w:p w14:paraId="1C8595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第十四条 监督机制</w:t>
      </w:r>
    </w:p>
    <w:p w14:paraId="4CD549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（一）区民政部门应对第三方评估机构的工作质量进行抽查（抽查比例不低于年度评估机构总数的10%），发现弄虚作假、敷衍塞责等行为的，取消其评估资格并向社会通报；</w:t>
      </w:r>
    </w:p>
    <w:p w14:paraId="2913EB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（二）鼓励自然人、法人或其他组织对评估工作中的违规行为进行举报，区民政部门应在15个工作日内核查并反馈处理结果；</w:t>
      </w:r>
    </w:p>
    <w:p w14:paraId="2719DF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（三）评估工作所有档案材料，包括自评材料、评估记录、访谈记录、评估报告、公示材料等，保存期限不少于5年。</w:t>
      </w:r>
    </w:p>
    <w:p w14:paraId="66DDC8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</w:pPr>
    </w:p>
    <w:p w14:paraId="60739E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  <w:t>第七章 附则</w:t>
      </w:r>
    </w:p>
    <w:p w14:paraId="5DC34E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第十五条 解释主体</w:t>
      </w:r>
    </w:p>
    <w:p w14:paraId="279778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本制度由区民政局负责解释。</w:t>
      </w:r>
    </w:p>
    <w:p w14:paraId="3F38BB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第十六条 施行日期</w:t>
      </w:r>
    </w:p>
    <w:p w14:paraId="5B789D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本制度自202 年  月  日起施行，有效期5年。</w:t>
      </w:r>
    </w:p>
    <w:p w14:paraId="3AC9C9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</w:p>
    <w:p w14:paraId="5CBB0F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992" w:gutter="0"/>
          <w:cols w:space="425" w:num="1"/>
          <w:docGrid w:type="lines" w:linePitch="312" w:charSpace="0"/>
        </w:sectPr>
      </w:pPr>
    </w:p>
    <w:p w14:paraId="3F3A85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附件1</w:t>
      </w:r>
    </w:p>
    <w:p w14:paraId="4D950E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44"/>
          <w:szCs w:val="44"/>
          <w:highlight w:val="none"/>
          <w:lang w:val="en-US" w:eastAsia="zh-CN"/>
        </w:rPr>
        <w:t>养老机构服务质量评估指标体系</w:t>
      </w:r>
    </w:p>
    <w:p w14:paraId="21F873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vertAlign w:val="baseline"/>
          <w:lang w:val="en-US" w:eastAsia="zh-CN"/>
        </w:rPr>
      </w:pPr>
      <w:r>
        <w:rPr>
          <w:color w:val="auto"/>
          <w:highlight w:val="none"/>
        </w:rPr>
        <w:t>​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2"/>
        <w:gridCol w:w="1268"/>
        <w:gridCol w:w="1609"/>
        <w:gridCol w:w="702"/>
        <w:gridCol w:w="4270"/>
      </w:tblGrid>
      <w:tr w14:paraId="2162B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212" w:type="dxa"/>
            <w:vAlign w:val="center"/>
          </w:tcPr>
          <w:p w14:paraId="65AFA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一级指标</w:t>
            </w:r>
          </w:p>
        </w:tc>
        <w:tc>
          <w:tcPr>
            <w:tcW w:w="1268" w:type="dxa"/>
            <w:vAlign w:val="center"/>
          </w:tcPr>
          <w:p w14:paraId="48B40A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二级指标</w:t>
            </w:r>
          </w:p>
        </w:tc>
        <w:tc>
          <w:tcPr>
            <w:tcW w:w="1609" w:type="dxa"/>
            <w:vAlign w:val="center"/>
          </w:tcPr>
          <w:p w14:paraId="574C59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评估要点</w:t>
            </w:r>
          </w:p>
        </w:tc>
        <w:tc>
          <w:tcPr>
            <w:tcW w:w="702" w:type="dxa"/>
            <w:vAlign w:val="center"/>
          </w:tcPr>
          <w:p w14:paraId="1E715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分值</w:t>
            </w:r>
          </w:p>
        </w:tc>
        <w:tc>
          <w:tcPr>
            <w:tcW w:w="4270" w:type="dxa"/>
            <w:vAlign w:val="center"/>
          </w:tcPr>
          <w:p w14:paraId="78D23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评分标准</w:t>
            </w:r>
          </w:p>
        </w:tc>
      </w:tr>
      <w:tr w14:paraId="08683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Align w:val="center"/>
          </w:tcPr>
          <w:p w14:paraId="292A96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  <w:t>基本项</w:t>
            </w:r>
          </w:p>
        </w:tc>
        <w:tc>
          <w:tcPr>
            <w:tcW w:w="1268" w:type="dxa"/>
            <w:vAlign w:val="center"/>
          </w:tcPr>
          <w:p w14:paraId="29933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  <w:t>基本要求</w:t>
            </w:r>
          </w:p>
        </w:tc>
        <w:tc>
          <w:tcPr>
            <w:tcW w:w="1609" w:type="dxa"/>
            <w:vAlign w:val="center"/>
          </w:tcPr>
          <w:p w14:paraId="0FA86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  <w:t>一票否决</w:t>
            </w:r>
          </w:p>
        </w:tc>
        <w:tc>
          <w:tcPr>
            <w:tcW w:w="702" w:type="dxa"/>
            <w:vAlign w:val="center"/>
          </w:tcPr>
          <w:p w14:paraId="5CABC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  <w:t>-</w:t>
            </w:r>
          </w:p>
        </w:tc>
        <w:tc>
          <w:tcPr>
            <w:tcW w:w="4270" w:type="dxa"/>
            <w:vAlign w:val="center"/>
          </w:tcPr>
          <w:p w14:paraId="7F586DC5"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highlight w:val="none"/>
                <w:lang w:bidi="ar"/>
              </w:rPr>
              <w:t>1.不符合《养老机构服务安全基本规范》（GB38600-2019）任何一项强制性要求；</w:t>
            </w:r>
          </w:p>
          <w:p w14:paraId="1403AE64"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highlight w:val="none"/>
                <w:lang w:bidi="ar"/>
              </w:rPr>
              <w:t>2.评估前12个月内发生重大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highlight w:val="none"/>
                <w:lang w:val="en-US" w:eastAsia="zh-CN" w:bidi="ar"/>
              </w:rPr>
              <w:t>生产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highlight w:val="none"/>
                <w:lang w:bidi="ar"/>
              </w:rPr>
              <w:t>安全责任事故（造成1人以上死亡或3人以上受伤的生产安全事故）；</w:t>
            </w:r>
          </w:p>
          <w:p w14:paraId="24E0A567"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highlight w:val="none"/>
                <w:lang w:bidi="ar"/>
              </w:rPr>
              <w:t>3.存在欺老、虐老、歧视老年人行为，造成恶劣社会影响；</w:t>
            </w:r>
          </w:p>
          <w:p w14:paraId="07D7BC1D"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highlight w:val="none"/>
                <w:lang w:bidi="ar"/>
              </w:rPr>
              <w:t>4.评估过程中提供虚假材料、隐瞒真实情况或者干扰、阻碍评估工作正常开展；</w:t>
            </w:r>
          </w:p>
          <w:p w14:paraId="5F1AABA5"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highlight w:val="none"/>
                <w:lang w:bidi="ar"/>
              </w:rPr>
              <w:t>5.被列入失信联合惩戒对象名单。</w:t>
            </w:r>
          </w:p>
        </w:tc>
      </w:tr>
      <w:tr w14:paraId="73B1B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</w:trPr>
        <w:tc>
          <w:tcPr>
            <w:tcW w:w="1212" w:type="dxa"/>
            <w:vMerge w:val="restart"/>
            <w:vAlign w:val="center"/>
          </w:tcPr>
          <w:p w14:paraId="4D7EF0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机构基本条件</w:t>
            </w:r>
          </w:p>
          <w:p w14:paraId="774EF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（20分）</w:t>
            </w:r>
          </w:p>
        </w:tc>
        <w:tc>
          <w:tcPr>
            <w:tcW w:w="1268" w:type="dxa"/>
            <w:vAlign w:val="center"/>
          </w:tcPr>
          <w:p w14:paraId="5309C044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资质合规性（5分）</w:t>
            </w:r>
          </w:p>
        </w:tc>
        <w:tc>
          <w:tcPr>
            <w:tcW w:w="1609" w:type="dxa"/>
            <w:vAlign w:val="center"/>
          </w:tcPr>
          <w:p w14:paraId="71DAD10C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依法登记/备案</w:t>
            </w:r>
          </w:p>
        </w:tc>
        <w:tc>
          <w:tcPr>
            <w:tcW w:w="702" w:type="dxa"/>
            <w:vAlign w:val="center"/>
          </w:tcPr>
          <w:p w14:paraId="7131A270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4270" w:type="dxa"/>
            <w:vAlign w:val="center"/>
          </w:tcPr>
          <w:p w14:paraId="76FE8710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提供有效期内的法人登记证书（营业执照/民办非企业单位登记证书/事业单位法人证书）、养老机构备案回执，两项齐全得5分；缺一项扣3分；未备案不得分。</w:t>
            </w:r>
          </w:p>
        </w:tc>
      </w:tr>
      <w:tr w14:paraId="4F71A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6" w:hRule="atLeast"/>
        </w:trPr>
        <w:tc>
          <w:tcPr>
            <w:tcW w:w="1212" w:type="dxa"/>
            <w:vMerge w:val="continue"/>
          </w:tcPr>
          <w:p w14:paraId="3E0263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restart"/>
            <w:vAlign w:val="center"/>
          </w:tcPr>
          <w:p w14:paraId="1E36D2C6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设施设备达标性（15分）</w:t>
            </w:r>
          </w:p>
        </w:tc>
        <w:tc>
          <w:tcPr>
            <w:tcW w:w="1609" w:type="dxa"/>
            <w:vAlign w:val="center"/>
          </w:tcPr>
          <w:p w14:paraId="010B4E98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建筑设计符合标准</w:t>
            </w:r>
          </w:p>
        </w:tc>
        <w:tc>
          <w:tcPr>
            <w:tcW w:w="702" w:type="dxa"/>
            <w:vAlign w:val="center"/>
          </w:tcPr>
          <w:p w14:paraId="793D3BE0">
            <w:pPr>
              <w:pStyle w:val="8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Autospacing="0" w:afterAutospacing="0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4270" w:type="dxa"/>
            <w:vAlign w:val="center"/>
          </w:tcPr>
          <w:p w14:paraId="2F4D7F6A">
            <w:pPr>
              <w:pStyle w:val="8"/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Autospacing="0" w:afterAutospacing="0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全面符合《老年人照料设施建筑设计标准》（JGJ450-2018）要求：</w:t>
            </w:r>
          </w:p>
          <w:p w14:paraId="7B4F5EFB">
            <w:pPr>
              <w:pStyle w:val="8"/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Autospacing="0" w:afterAutospacing="0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1.老年人居室、公共区域无障碍覆盖率100%，满足轮椅、担架通行需求（2分）2.老年人居室和休息室未设置在地下室、半地下室（2分）</w:t>
            </w:r>
          </w:p>
          <w:p w14:paraId="503A00B1">
            <w:pPr>
              <w:pStyle w:val="8"/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Autospacing="0" w:afterAutospacing="0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3.二层及以上设置老年人用房的配备无障碍电梯，至少1部满足担架进出（2分）</w:t>
            </w:r>
          </w:p>
          <w:p w14:paraId="30FF17E0">
            <w:pPr>
              <w:pStyle w:val="8"/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Autospacing="0" w:afterAutospacing="0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4.严禁采用弧形楼梯和螺旋楼梯（1分）5.机动车能直接停靠在建筑主要出入口（1分）</w:t>
            </w:r>
          </w:p>
          <w:p w14:paraId="364FD5EB">
            <w:pPr>
              <w:pStyle w:val="8"/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Autospacing="0" w:afterAutospacing="0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每发现一项不符合扣对应分值，存在重大安全隐患的本项不得分。</w:t>
            </w:r>
          </w:p>
        </w:tc>
      </w:tr>
      <w:tr w14:paraId="76AB9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1212" w:type="dxa"/>
            <w:vMerge w:val="continue"/>
          </w:tcPr>
          <w:p w14:paraId="23A0B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366308DE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 w14:paraId="0C6781AE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床位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与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适老化改造</w:t>
            </w:r>
          </w:p>
        </w:tc>
        <w:tc>
          <w:tcPr>
            <w:tcW w:w="702" w:type="dxa"/>
            <w:vAlign w:val="center"/>
          </w:tcPr>
          <w:p w14:paraId="0487453C">
            <w:pPr>
              <w:pStyle w:val="8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Autospacing="0" w:afterAutospacing="0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4270" w:type="dxa"/>
            <w:vAlign w:val="center"/>
          </w:tcPr>
          <w:p w14:paraId="2A381F5D">
            <w:pPr>
              <w:pStyle w:val="8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Autospacing="0" w:afterAutospacing="0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</w:rPr>
              <w:t>单人间使用面积≥10㎡</w:t>
            </w: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  <w:lang w:val="en-US" w:eastAsia="zh-CN"/>
              </w:rPr>
              <w:t>/床</w:t>
            </w: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</w:rPr>
              <w:t>，多人间床位平均使用面积≥6㎡/床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分）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护理型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；</w:t>
            </w: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</w:rPr>
              <w:t>收住重度失能老年人的多人间居室床位数≤6床（1分）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；</w:t>
            </w: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</w:rPr>
              <w:t>防滑地面、无障碍扶手、紧急呼叫装置、散热器防烫保护措施全覆盖（1分）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，每缺一项扣0.5分。</w:t>
            </w:r>
          </w:p>
        </w:tc>
      </w:tr>
      <w:tr w14:paraId="3AAEA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37E454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48E2D596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 w14:paraId="0852CCC9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行政许可齐全</w:t>
            </w:r>
          </w:p>
        </w:tc>
        <w:tc>
          <w:tcPr>
            <w:tcW w:w="702" w:type="dxa"/>
            <w:vAlign w:val="center"/>
          </w:tcPr>
          <w:p w14:paraId="08002513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4270" w:type="dxa"/>
            <w:vAlign w:val="center"/>
          </w:tcPr>
          <w:p w14:paraId="0AE0E162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消防验收合格证明、食品经营许可证（或餐饮服务备案）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医疗机构执业许可、特种设施设备等级备案等证书均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齐全有效，缺一项扣1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.5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分；过期未续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本项不得分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。</w:t>
            </w:r>
          </w:p>
        </w:tc>
      </w:tr>
      <w:tr w14:paraId="0E156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restart"/>
            <w:vAlign w:val="center"/>
          </w:tcPr>
          <w:p w14:paraId="0B6BC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服务规范（30分）</w:t>
            </w:r>
          </w:p>
        </w:tc>
        <w:tc>
          <w:tcPr>
            <w:tcW w:w="1268" w:type="dxa"/>
            <w:vMerge w:val="restart"/>
            <w:vAlign w:val="center"/>
          </w:tcPr>
          <w:p w14:paraId="4D8FC441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生活照料服务（10分）</w:t>
            </w:r>
          </w:p>
        </w:tc>
        <w:tc>
          <w:tcPr>
            <w:tcW w:w="1609" w:type="dxa"/>
            <w:vAlign w:val="center"/>
          </w:tcPr>
          <w:p w14:paraId="6A7A32CA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每日照护频次（进食、洗漱、翻身、如厕等）</w:t>
            </w:r>
          </w:p>
        </w:tc>
        <w:tc>
          <w:tcPr>
            <w:tcW w:w="702" w:type="dxa"/>
            <w:vAlign w:val="center"/>
          </w:tcPr>
          <w:p w14:paraId="1D42A4AF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4270" w:type="dxa"/>
            <w:vAlign w:val="center"/>
          </w:tcPr>
          <w:p w14:paraId="7601B73E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按照老年人能力评估等级提供对应照护服务，失能老人每2小时翻身1次，照护记录完整率100%（4分，漏记1次扣0.5分，频次不达标扣1-4分）</w:t>
            </w:r>
          </w:p>
        </w:tc>
      </w:tr>
      <w:tr w14:paraId="3F80B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1212" w:type="dxa"/>
            <w:vMerge w:val="continue"/>
          </w:tcPr>
          <w:p w14:paraId="0AD8B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247B00A9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 w14:paraId="3DBEA174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个性化服务方案制定</w:t>
            </w:r>
          </w:p>
        </w:tc>
        <w:tc>
          <w:tcPr>
            <w:tcW w:w="702" w:type="dxa"/>
            <w:vAlign w:val="center"/>
          </w:tcPr>
          <w:p w14:paraId="72736611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4270" w:type="dxa"/>
            <w:vAlign w:val="center"/>
          </w:tcPr>
          <w:p w14:paraId="49B5046F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为每位入住老人制定个性化服务方案，明确照护等级、服务内容、服务频次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覆盖率100%得3分；每缺1份扣0.5分。</w:t>
            </w:r>
          </w:p>
        </w:tc>
      </w:tr>
      <w:tr w14:paraId="49A94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212" w:type="dxa"/>
            <w:vMerge w:val="continue"/>
          </w:tcPr>
          <w:p w14:paraId="4E84C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5B4F9AB7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 w14:paraId="7D2D9941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照护记录完整性</w:t>
            </w:r>
          </w:p>
        </w:tc>
        <w:tc>
          <w:tcPr>
            <w:tcW w:w="702" w:type="dxa"/>
            <w:vAlign w:val="center"/>
          </w:tcPr>
          <w:p w14:paraId="1511AA31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4270" w:type="dxa"/>
            <w:vAlign w:val="center"/>
          </w:tcPr>
          <w:p w14:paraId="024F5533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记录内容包括服务内容、时间、老人状态等，字迹清晰、可追溯，月度抽查完整率≥95%得3分；缺漏1次扣0.5分。</w:t>
            </w:r>
          </w:p>
        </w:tc>
      </w:tr>
      <w:tr w14:paraId="111D7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2ABFA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restart"/>
            <w:vAlign w:val="center"/>
          </w:tcPr>
          <w:p w14:paraId="2635ADE5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医疗护理服务（10分）</w:t>
            </w:r>
          </w:p>
        </w:tc>
        <w:tc>
          <w:tcPr>
            <w:tcW w:w="1609" w:type="dxa"/>
            <w:vAlign w:val="center"/>
          </w:tcPr>
          <w:p w14:paraId="1204A75E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与医疗机构合作协议</w:t>
            </w:r>
          </w:p>
        </w:tc>
        <w:tc>
          <w:tcPr>
            <w:tcW w:w="702" w:type="dxa"/>
            <w:vAlign w:val="center"/>
          </w:tcPr>
          <w:p w14:paraId="4AA019E8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4270" w:type="dxa"/>
            <w:vAlign w:val="center"/>
          </w:tcPr>
          <w:p w14:paraId="4195212B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与二级及以上医疗机构或社区卫生服务中心签订合作协议（含绿色通道），未签订不得分；协议过期扣1分。</w:t>
            </w:r>
          </w:p>
        </w:tc>
      </w:tr>
      <w:tr w14:paraId="4944E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1C3C0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0ABF99C1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 w14:paraId="0A5F2422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慢病管理档案</w:t>
            </w:r>
          </w:p>
        </w:tc>
        <w:tc>
          <w:tcPr>
            <w:tcW w:w="702" w:type="dxa"/>
            <w:vAlign w:val="center"/>
          </w:tcPr>
          <w:p w14:paraId="1C03A094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4270" w:type="dxa"/>
            <w:vAlign w:val="center"/>
          </w:tcPr>
          <w:p w14:paraId="40CEB8A2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为高血压、糖尿病等慢病老人建立健康档案（含用药记录、定期监测数据），覆盖率100%得3分；每缺1份扣0.5分。</w:t>
            </w:r>
          </w:p>
        </w:tc>
      </w:tr>
      <w:tr w14:paraId="02102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7" w:hRule="atLeast"/>
        </w:trPr>
        <w:tc>
          <w:tcPr>
            <w:tcW w:w="1212" w:type="dxa"/>
            <w:vMerge w:val="continue"/>
          </w:tcPr>
          <w:p w14:paraId="3AAC9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3896F1D2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 w14:paraId="73864F35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康复护理计划</w:t>
            </w:r>
          </w:p>
        </w:tc>
        <w:tc>
          <w:tcPr>
            <w:tcW w:w="702" w:type="dxa"/>
            <w:vAlign w:val="center"/>
          </w:tcPr>
          <w:p w14:paraId="571B8836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4270" w:type="dxa"/>
            <w:vAlign w:val="center"/>
          </w:tcPr>
          <w:p w14:paraId="6D88B1ED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针对术后、失能老人制定康复护理计划（含目标、措施、频次），执行记录完整率≥90%得3分；未制定或记录缺失扣1-3分。</w:t>
            </w:r>
          </w:p>
        </w:tc>
      </w:tr>
      <w:tr w14:paraId="53AD6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1212" w:type="dxa"/>
            <w:vMerge w:val="continue"/>
          </w:tcPr>
          <w:p w14:paraId="38945E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30E45DC7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 w14:paraId="5E29D83E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紧急医疗响应机制</w:t>
            </w:r>
          </w:p>
        </w:tc>
        <w:tc>
          <w:tcPr>
            <w:tcW w:w="702" w:type="dxa"/>
            <w:vAlign w:val="center"/>
          </w:tcPr>
          <w:p w14:paraId="767F1687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4270" w:type="dxa"/>
            <w:vAlign w:val="center"/>
          </w:tcPr>
          <w:p w14:paraId="7291E1BB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与最近医疗机构急救响应时间≤15分钟（以合作协议或实际测试为准），超时扣1分；无应急流程扣2分。</w:t>
            </w:r>
          </w:p>
        </w:tc>
      </w:tr>
      <w:tr w14:paraId="192A9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</w:trPr>
        <w:tc>
          <w:tcPr>
            <w:tcW w:w="1212" w:type="dxa"/>
            <w:vMerge w:val="continue"/>
          </w:tcPr>
          <w:p w14:paraId="44E237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restart"/>
            <w:vAlign w:val="center"/>
          </w:tcPr>
          <w:p w14:paraId="0CEB5E2E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精神慰藉服务（6分）</w:t>
            </w:r>
          </w:p>
        </w:tc>
        <w:tc>
          <w:tcPr>
            <w:tcW w:w="1609" w:type="dxa"/>
            <w:vAlign w:val="center"/>
          </w:tcPr>
          <w:p w14:paraId="5691A313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心理咨询记录</w:t>
            </w:r>
          </w:p>
        </w:tc>
        <w:tc>
          <w:tcPr>
            <w:tcW w:w="702" w:type="dxa"/>
            <w:vAlign w:val="center"/>
          </w:tcPr>
          <w:p w14:paraId="46350B4C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4270" w:type="dxa"/>
            <w:vAlign w:val="center"/>
          </w:tcPr>
          <w:p w14:paraId="3BC665DE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每月为失智、抑郁等特殊老人提供至少1次专业心理咨询（或社工介入），记录完整率≥90%得2分；缺漏1次扣0.5分。</w:t>
            </w:r>
          </w:p>
        </w:tc>
      </w:tr>
      <w:tr w14:paraId="20829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40D70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6599B49F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 w14:paraId="5F79077D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文化娱乐活动开展频次</w:t>
            </w:r>
          </w:p>
        </w:tc>
        <w:tc>
          <w:tcPr>
            <w:tcW w:w="702" w:type="dxa"/>
            <w:vAlign w:val="center"/>
          </w:tcPr>
          <w:p w14:paraId="549C66BE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4270" w:type="dxa"/>
            <w:vAlign w:val="center"/>
          </w:tcPr>
          <w:p w14:paraId="67C3E55E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每月组织文化娱乐活动（如手工、唱歌、节日庆祝）≥4次，每少1次扣0.5分；活动参与率≥80%得满分，低于80%酌情扣分。</w:t>
            </w:r>
          </w:p>
        </w:tc>
      </w:tr>
      <w:tr w14:paraId="1BD78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627707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1097D5FF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 w14:paraId="7C843BAA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失智老人防走失措施</w:t>
            </w:r>
          </w:p>
        </w:tc>
        <w:tc>
          <w:tcPr>
            <w:tcW w:w="702" w:type="dxa"/>
            <w:vAlign w:val="center"/>
          </w:tcPr>
          <w:p w14:paraId="58F08369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4270" w:type="dxa"/>
            <w:vAlign w:val="center"/>
          </w:tcPr>
          <w:p w14:paraId="4ACE340A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配备定位手环/胸牌、设置防走失标识、建立家属联动机制，缺一项扣0.5分；未落实不得分。</w:t>
            </w:r>
          </w:p>
        </w:tc>
      </w:tr>
      <w:tr w14:paraId="15B67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10E04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restart"/>
            <w:vAlign w:val="center"/>
          </w:tcPr>
          <w:p w14:paraId="188C82BD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其他服务（4分）</w:t>
            </w:r>
          </w:p>
        </w:tc>
        <w:tc>
          <w:tcPr>
            <w:tcW w:w="1609" w:type="dxa"/>
            <w:vAlign w:val="center"/>
          </w:tcPr>
          <w:p w14:paraId="3091B732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膳食服务</w:t>
            </w:r>
          </w:p>
        </w:tc>
        <w:tc>
          <w:tcPr>
            <w:tcW w:w="702" w:type="dxa"/>
            <w:vAlign w:val="center"/>
          </w:tcPr>
          <w:p w14:paraId="67AB4FEC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4270" w:type="dxa"/>
            <w:vAlign w:val="center"/>
          </w:tcPr>
          <w:p w14:paraId="3776DCED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每周公示食谱，为有噎食风险的老年人提供流质、软食等适配食物，食品留样不少于48小时，留样记录完整（2分，发现一项不符合扣1分）。</w:t>
            </w:r>
          </w:p>
        </w:tc>
      </w:tr>
      <w:tr w14:paraId="4B5D3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19429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626DF592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 w14:paraId="1BA75705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清洁服务</w:t>
            </w:r>
          </w:p>
        </w:tc>
        <w:tc>
          <w:tcPr>
            <w:tcW w:w="702" w:type="dxa"/>
            <w:vAlign w:val="center"/>
          </w:tcPr>
          <w:p w14:paraId="7C86A361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4270" w:type="dxa"/>
            <w:vAlign w:val="center"/>
          </w:tcPr>
          <w:p w14:paraId="3E5C27A7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被体液、血液、排泄物污染的织物单独收集、封闭运输、单独消毒清洗，消毒记录完整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。（1分，不符合要求不得分）。</w:t>
            </w:r>
          </w:p>
        </w:tc>
      </w:tr>
      <w:tr w14:paraId="16814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653B8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04AF4F4C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 w14:paraId="35602780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维修服务</w:t>
            </w:r>
          </w:p>
        </w:tc>
        <w:tc>
          <w:tcPr>
            <w:tcW w:w="702" w:type="dxa"/>
            <w:vAlign w:val="center"/>
          </w:tcPr>
          <w:p w14:paraId="74B17AB8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4270" w:type="dxa"/>
            <w:vAlign w:val="center"/>
          </w:tcPr>
          <w:p w14:paraId="31EAC905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设施设备故障24小时内响应并修复（紧急故障如停水停电30分钟内处理），记录完整率≥90%得1分；未达标扣0.5-1分。</w:t>
            </w:r>
          </w:p>
        </w:tc>
      </w:tr>
      <w:tr w14:paraId="34D96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restart"/>
            <w:vAlign w:val="center"/>
          </w:tcPr>
          <w:p w14:paraId="627CF6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安全管理（25分）</w:t>
            </w:r>
          </w:p>
        </w:tc>
        <w:tc>
          <w:tcPr>
            <w:tcW w:w="1268" w:type="dxa"/>
            <w:vMerge w:val="restart"/>
            <w:vAlign w:val="center"/>
          </w:tcPr>
          <w:p w14:paraId="74038038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安全管理制度（7分）</w:t>
            </w:r>
          </w:p>
        </w:tc>
        <w:tc>
          <w:tcPr>
            <w:tcW w:w="1609" w:type="dxa"/>
            <w:vAlign w:val="center"/>
          </w:tcPr>
          <w:p w14:paraId="66A79387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安全责任制度</w:t>
            </w:r>
          </w:p>
        </w:tc>
        <w:tc>
          <w:tcPr>
            <w:tcW w:w="702" w:type="dxa"/>
            <w:vAlign w:val="center"/>
          </w:tcPr>
          <w:p w14:paraId="16D7C1D0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4270" w:type="dxa"/>
            <w:vAlign w:val="center"/>
          </w:tcPr>
          <w:p w14:paraId="0DA291ED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明确院长为第一责任人，各部门/岗位安全职责清晰，未制定不得分；职责模糊扣1分。</w:t>
            </w:r>
          </w:p>
        </w:tc>
      </w:tr>
      <w:tr w14:paraId="238AE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1FF09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53461CA3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 w14:paraId="63E87059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应急预案</w:t>
            </w:r>
          </w:p>
        </w:tc>
        <w:tc>
          <w:tcPr>
            <w:tcW w:w="702" w:type="dxa"/>
            <w:vAlign w:val="center"/>
          </w:tcPr>
          <w:p w14:paraId="05F357CC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4270" w:type="dxa"/>
            <w:vAlign w:val="center"/>
          </w:tcPr>
          <w:p w14:paraId="6A1E56AB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制定火灾、食物中毒、走失等突发事件应急预案，每年演练≥2次，无预案不得分；未演练扣1分。</w:t>
            </w:r>
          </w:p>
        </w:tc>
      </w:tr>
      <w:tr w14:paraId="121BB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71A13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17399F76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 w14:paraId="78FE5024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值班巡查制度</w:t>
            </w:r>
          </w:p>
        </w:tc>
        <w:tc>
          <w:tcPr>
            <w:tcW w:w="702" w:type="dxa"/>
            <w:vAlign w:val="center"/>
          </w:tcPr>
          <w:p w14:paraId="386B18BA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4270" w:type="dxa"/>
            <w:vAlign w:val="center"/>
          </w:tcPr>
          <w:p w14:paraId="1AEBCF51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实行24小时值班，每日巡查≥4次（夜间重点时段不少于2次），记录完整率100%得3分；漏记1次扣0.5分。</w:t>
            </w:r>
          </w:p>
        </w:tc>
      </w:tr>
      <w:tr w14:paraId="5DCFB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52DAC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restart"/>
            <w:vAlign w:val="center"/>
          </w:tcPr>
          <w:p w14:paraId="3215E381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安全风险防控（8分）</w:t>
            </w:r>
          </w:p>
        </w:tc>
        <w:tc>
          <w:tcPr>
            <w:tcW w:w="1609" w:type="dxa"/>
            <w:vAlign w:val="center"/>
          </w:tcPr>
          <w:p w14:paraId="0CFA30AF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跌倒、坠床等风险评估覆盖率</w:t>
            </w:r>
          </w:p>
        </w:tc>
        <w:tc>
          <w:tcPr>
            <w:tcW w:w="702" w:type="dxa"/>
            <w:vAlign w:val="center"/>
          </w:tcPr>
          <w:p w14:paraId="3051B3CB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4270" w:type="dxa"/>
            <w:vAlign w:val="center"/>
          </w:tcPr>
          <w:p w14:paraId="21EB7A3A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对新入住老年人72小时内完成能力评估及噎食、跌倒、坠床、压疮、烫伤、食品药品误食、他伤自伤、走失、文娱活动意外9类安全风险评估，每年至少开展1次阶段性评估，老年人身体状况发生重大变化时即时评估，评估结果告知家属并签字确认</w:t>
            </w: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</w:rPr>
              <w:t>（4分，每缺1份评估记录扣0.5分，未告知家属扣1分）</w:t>
            </w:r>
          </w:p>
        </w:tc>
      </w:tr>
      <w:tr w14:paraId="7E978F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6A5812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7EDE9C7E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 w14:paraId="13E41916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防护设备配置</w:t>
            </w:r>
          </w:p>
        </w:tc>
        <w:tc>
          <w:tcPr>
            <w:tcW w:w="702" w:type="dxa"/>
            <w:vAlign w:val="center"/>
          </w:tcPr>
          <w:p w14:paraId="77F8EF3F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4270" w:type="dxa"/>
            <w:vAlign w:val="center"/>
          </w:tcPr>
          <w:p w14:paraId="4C007F4A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根据风险等级制定针对性防护措施，跌倒、坠床、压疮等防护设备配置齐全（2分，缺一项扣0.5分）</w:t>
            </w:r>
          </w:p>
        </w:tc>
      </w:tr>
      <w:tr w14:paraId="772E4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29994A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7EDAF86B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 w14:paraId="549B0EB8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药品安全管理</w:t>
            </w:r>
          </w:p>
        </w:tc>
        <w:tc>
          <w:tcPr>
            <w:tcW w:w="702" w:type="dxa"/>
            <w:vAlign w:val="center"/>
          </w:tcPr>
          <w:p w14:paraId="3D3E8F71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4270" w:type="dxa"/>
            <w:vAlign w:val="center"/>
          </w:tcPr>
          <w:p w14:paraId="1D51AF4F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</w:rPr>
              <w:t>老年人自备药品由专人统一管理、登记、发放，严格执行</w:t>
            </w: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  <w:lang w:eastAsia="zh-CN"/>
              </w:rPr>
              <w:t>“</w:t>
            </w: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</w:rPr>
              <w:t>三查七对”制度，服药记录完整（2分，不符合要求不得分）</w:t>
            </w:r>
          </w:p>
        </w:tc>
      </w:tr>
      <w:tr w14:paraId="0D384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6FA466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restart"/>
            <w:vAlign w:val="center"/>
          </w:tcPr>
          <w:p w14:paraId="4C99B070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安全培训（6分）</w:t>
            </w:r>
          </w:p>
        </w:tc>
        <w:tc>
          <w:tcPr>
            <w:tcW w:w="1609" w:type="dxa"/>
            <w:vAlign w:val="center"/>
          </w:tcPr>
          <w:p w14:paraId="57D5A9C1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员工安全培训</w:t>
            </w:r>
          </w:p>
        </w:tc>
        <w:tc>
          <w:tcPr>
            <w:tcW w:w="702" w:type="dxa"/>
            <w:vAlign w:val="center"/>
          </w:tcPr>
          <w:p w14:paraId="0B49F286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4270" w:type="dxa"/>
            <w:vAlign w:val="center"/>
          </w:tcPr>
          <w:p w14:paraId="20415FD9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每年开展≥24学时安全培训（含消防、急救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、防虐待等），每少1学时扣0.5分；无培训记录不得分。</w:t>
            </w:r>
          </w:p>
        </w:tc>
      </w:tr>
      <w:tr w14:paraId="33E62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322B9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4F64D55C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 w14:paraId="73370E16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老年人及家属安全宣教</w:t>
            </w:r>
          </w:p>
        </w:tc>
        <w:tc>
          <w:tcPr>
            <w:tcW w:w="702" w:type="dxa"/>
            <w:vAlign w:val="center"/>
          </w:tcPr>
          <w:p w14:paraId="37A07C2B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4270" w:type="dxa"/>
            <w:vAlign w:val="center"/>
          </w:tcPr>
          <w:p w14:paraId="28A72BC4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每季度开展≥1次安全宣教（如防跌倒、防诈骗），留存记录（签到表、照片等），未开展扣1-3分。</w:t>
            </w:r>
          </w:p>
        </w:tc>
      </w:tr>
      <w:tr w14:paraId="264CF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5B491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Align w:val="center"/>
          </w:tcPr>
          <w:p w14:paraId="103E0C44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安全事故记录（4分）</w:t>
            </w:r>
          </w:p>
        </w:tc>
        <w:tc>
          <w:tcPr>
            <w:tcW w:w="1609" w:type="dxa"/>
            <w:vAlign w:val="center"/>
          </w:tcPr>
          <w:p w14:paraId="7B1094D1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近3年重大安全责任事故</w:t>
            </w:r>
          </w:p>
        </w:tc>
        <w:tc>
          <w:tcPr>
            <w:tcW w:w="702" w:type="dxa"/>
            <w:vAlign w:val="center"/>
          </w:tcPr>
          <w:p w14:paraId="048C0E7B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4270" w:type="dxa"/>
            <w:vAlign w:val="center"/>
          </w:tcPr>
          <w:p w14:paraId="0B68922E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无重大安全责任事故（如老人伤亡、群体性事件）得4分；发生一般安全事故且处置得当的，每起扣2分；发生重大安全责任事故或隐瞒事故的直接一票否决。</w:t>
            </w:r>
          </w:p>
        </w:tc>
      </w:tr>
      <w:tr w14:paraId="65EEA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restart"/>
            <w:vAlign w:val="center"/>
          </w:tcPr>
          <w:p w14:paraId="7C866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运营管理（15分）</w:t>
            </w:r>
          </w:p>
        </w:tc>
        <w:tc>
          <w:tcPr>
            <w:tcW w:w="1268" w:type="dxa"/>
            <w:vMerge w:val="restart"/>
            <w:vAlign w:val="center"/>
          </w:tcPr>
          <w:p w14:paraId="089E9A8C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内部管理制度</w:t>
            </w:r>
          </w:p>
          <w:p w14:paraId="33F35004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（5分）</w:t>
            </w:r>
          </w:p>
        </w:tc>
        <w:tc>
          <w:tcPr>
            <w:tcW w:w="1609" w:type="dxa"/>
            <w:vAlign w:val="center"/>
          </w:tcPr>
          <w:p w14:paraId="389D5202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岗位职责</w:t>
            </w:r>
          </w:p>
        </w:tc>
        <w:tc>
          <w:tcPr>
            <w:tcW w:w="702" w:type="dxa"/>
            <w:vAlign w:val="center"/>
          </w:tcPr>
          <w:p w14:paraId="0A6D61F9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4270" w:type="dxa"/>
            <w:vAlign w:val="center"/>
          </w:tcPr>
          <w:p w14:paraId="5CD15296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明确院长、护理员、医生、社工等岗位的职责分工，未制定不得分；职责模糊扣1分。</w:t>
            </w:r>
          </w:p>
        </w:tc>
      </w:tr>
      <w:tr w14:paraId="1E0A5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77087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5B28D4E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09" w:type="dxa"/>
            <w:vAlign w:val="center"/>
          </w:tcPr>
          <w:p w14:paraId="0EE848C0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绩效考核制度</w:t>
            </w:r>
          </w:p>
        </w:tc>
        <w:tc>
          <w:tcPr>
            <w:tcW w:w="702" w:type="dxa"/>
            <w:vAlign w:val="center"/>
          </w:tcPr>
          <w:p w14:paraId="7785A12F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4270" w:type="dxa"/>
            <w:vAlign w:val="center"/>
          </w:tcPr>
          <w:p w14:paraId="76D5763F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建立服务质量与薪酬挂钩的考核机制，考核记录完整率≥90%得2分；未实施扣1-2分。</w:t>
            </w:r>
          </w:p>
        </w:tc>
      </w:tr>
      <w:tr w14:paraId="5C853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0CF332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770B019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09" w:type="dxa"/>
            <w:vAlign w:val="center"/>
          </w:tcPr>
          <w:p w14:paraId="5E6CD60F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档案管理制度</w:t>
            </w:r>
          </w:p>
        </w:tc>
        <w:tc>
          <w:tcPr>
            <w:tcW w:w="702" w:type="dxa"/>
            <w:vAlign w:val="center"/>
          </w:tcPr>
          <w:p w14:paraId="47ACF547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4270" w:type="dxa"/>
            <w:vAlign w:val="center"/>
          </w:tcPr>
          <w:p w14:paraId="6ED5D8DB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建立老人入住档案、健康档案、服务记录档案，分类归档率100%得1分；缺失1类扣0.5分。</w:t>
            </w:r>
          </w:p>
        </w:tc>
      </w:tr>
      <w:tr w14:paraId="6A743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612C3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restart"/>
            <w:vAlign w:val="center"/>
          </w:tcPr>
          <w:p w14:paraId="66C1AAC2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人员配置（5分）</w:t>
            </w:r>
          </w:p>
        </w:tc>
        <w:tc>
          <w:tcPr>
            <w:tcW w:w="1609" w:type="dxa"/>
            <w:vAlign w:val="center"/>
          </w:tcPr>
          <w:p w14:paraId="62B6AC3D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护理员与入住老人比例</w:t>
            </w:r>
          </w:p>
        </w:tc>
        <w:tc>
          <w:tcPr>
            <w:tcW w:w="702" w:type="dxa"/>
            <w:vAlign w:val="center"/>
          </w:tcPr>
          <w:p w14:paraId="67FE2544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4270" w:type="dxa"/>
            <w:vAlign w:val="center"/>
          </w:tcPr>
          <w:p w14:paraId="7701AD77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护理员与失能老人比例≥1:3，与半失能/自理老人比例≥1:8（以实际入住类型为准），不达标扣1-2分。</w:t>
            </w:r>
          </w:p>
        </w:tc>
      </w:tr>
      <w:tr w14:paraId="17CF9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5CA4A3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6E583DC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09" w:type="dxa"/>
            <w:vAlign w:val="center"/>
          </w:tcPr>
          <w:p w14:paraId="5026D5E3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医生、护士持证上岗率</w:t>
            </w:r>
          </w:p>
        </w:tc>
        <w:tc>
          <w:tcPr>
            <w:tcW w:w="702" w:type="dxa"/>
            <w:vAlign w:val="center"/>
          </w:tcPr>
          <w:p w14:paraId="014CF5EA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4270" w:type="dxa"/>
            <w:vAlign w:val="center"/>
          </w:tcPr>
          <w:p w14:paraId="46954A82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执业医师、护士持有效证件上岗率100%得3分；每缺1人扣1分；无医护人员扣3分。</w:t>
            </w:r>
          </w:p>
        </w:tc>
      </w:tr>
      <w:tr w14:paraId="292E5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099F8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restart"/>
            <w:vAlign w:val="center"/>
          </w:tcPr>
          <w:p w14:paraId="04110F1D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财务管理（3分）</w:t>
            </w:r>
          </w:p>
        </w:tc>
        <w:tc>
          <w:tcPr>
            <w:tcW w:w="1609" w:type="dxa"/>
            <w:vAlign w:val="center"/>
          </w:tcPr>
          <w:p w14:paraId="1B12DA65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收费项目公示</w:t>
            </w:r>
          </w:p>
        </w:tc>
        <w:tc>
          <w:tcPr>
            <w:tcW w:w="702" w:type="dxa"/>
            <w:vAlign w:val="center"/>
          </w:tcPr>
          <w:p w14:paraId="5BB4EC8F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4270" w:type="dxa"/>
            <w:vAlign w:val="center"/>
          </w:tcPr>
          <w:p w14:paraId="38606872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收费项目、收费标准在机构显著位置公示，无乱收费现象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未公示不得分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公示不清晰扣0.5分。</w:t>
            </w:r>
          </w:p>
        </w:tc>
      </w:tr>
      <w:tr w14:paraId="6A938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29B6E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Merge w:val="continue"/>
            <w:vAlign w:val="center"/>
          </w:tcPr>
          <w:p w14:paraId="6A7CEC7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09" w:type="dxa"/>
            <w:vAlign w:val="center"/>
          </w:tcPr>
          <w:p w14:paraId="4CCD8ADB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政府补贴资金专款专用</w:t>
            </w:r>
          </w:p>
        </w:tc>
        <w:tc>
          <w:tcPr>
            <w:tcW w:w="702" w:type="dxa"/>
            <w:vAlign w:val="center"/>
          </w:tcPr>
          <w:p w14:paraId="6AAC0D2C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4270" w:type="dxa"/>
            <w:vAlign w:val="center"/>
          </w:tcPr>
          <w:p w14:paraId="0C4907F1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接受民政部门补贴资金（如建设补贴、运营补贴）专项核算，无挪用、克扣现象得2分；违规使用扣2分。</w:t>
            </w:r>
          </w:p>
        </w:tc>
      </w:tr>
      <w:tr w14:paraId="6EFA5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28B732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Align w:val="center"/>
          </w:tcPr>
          <w:p w14:paraId="11A6C0E1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信息化管理（2分）</w:t>
            </w:r>
          </w:p>
        </w:tc>
        <w:tc>
          <w:tcPr>
            <w:tcW w:w="1609" w:type="dxa"/>
            <w:vAlign w:val="center"/>
          </w:tcPr>
          <w:p w14:paraId="1AA46390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养老机构管理信息系统使用</w:t>
            </w:r>
          </w:p>
        </w:tc>
        <w:tc>
          <w:tcPr>
            <w:tcW w:w="702" w:type="dxa"/>
            <w:vAlign w:val="center"/>
          </w:tcPr>
          <w:p w14:paraId="3586EEBE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4270" w:type="dxa"/>
            <w:vAlign w:val="center"/>
          </w:tcPr>
          <w:p w14:paraId="162A8E02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使用省级或国家统一的养老机构管理信息系统，及时录入老人信息、服务记录，与省级智慧养老平台对接成功得2分；未使用扣1-2分。</w:t>
            </w:r>
          </w:p>
        </w:tc>
      </w:tr>
      <w:tr w14:paraId="7CE2A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restart"/>
            <w:vAlign w:val="center"/>
          </w:tcPr>
          <w:p w14:paraId="6719C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老年人权益保障（10分）</w:t>
            </w:r>
          </w:p>
        </w:tc>
        <w:tc>
          <w:tcPr>
            <w:tcW w:w="1268" w:type="dxa"/>
            <w:vAlign w:val="center"/>
          </w:tcPr>
          <w:p w14:paraId="15E084EC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入住协议（3分）</w:t>
            </w:r>
          </w:p>
        </w:tc>
        <w:tc>
          <w:tcPr>
            <w:tcW w:w="1609" w:type="dxa"/>
            <w:vAlign w:val="center"/>
          </w:tcPr>
          <w:p w14:paraId="2B3AB39A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入住协议签订率</w:t>
            </w:r>
          </w:p>
        </w:tc>
        <w:tc>
          <w:tcPr>
            <w:tcW w:w="702" w:type="dxa"/>
            <w:vAlign w:val="center"/>
          </w:tcPr>
          <w:p w14:paraId="0F43D3F1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4270" w:type="dxa"/>
            <w:vAlign w:val="center"/>
          </w:tcPr>
          <w:p w14:paraId="39A51D5A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与每位入住老人或家属签订规范协议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明确服务内容、收费标准、退住规则等，签订率100%得3分；每缺1份扣1分。</w:t>
            </w:r>
          </w:p>
        </w:tc>
      </w:tr>
      <w:tr w14:paraId="4D4A6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7CCCA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Align w:val="center"/>
          </w:tcPr>
          <w:p w14:paraId="706B7DD7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满意度调查（4分）</w:t>
            </w:r>
          </w:p>
        </w:tc>
        <w:tc>
          <w:tcPr>
            <w:tcW w:w="1609" w:type="dxa"/>
            <w:vAlign w:val="center"/>
          </w:tcPr>
          <w:p w14:paraId="29108CAA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每季度满意度调查</w:t>
            </w:r>
          </w:p>
        </w:tc>
        <w:tc>
          <w:tcPr>
            <w:tcW w:w="702" w:type="dxa"/>
            <w:vAlign w:val="center"/>
          </w:tcPr>
          <w:p w14:paraId="37739492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4270" w:type="dxa"/>
            <w:vAlign w:val="center"/>
          </w:tcPr>
          <w:p w14:paraId="1147AD7B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每季度开展≥1次满意度调查（覆盖80%以上入住老人），满意度≥90%得4分；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满意度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每降低5%扣2分；未调查扣4分。</w:t>
            </w:r>
          </w:p>
        </w:tc>
      </w:tr>
      <w:tr w14:paraId="08FDF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vMerge w:val="continue"/>
          </w:tcPr>
          <w:p w14:paraId="2D38D8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vAlign w:val="center"/>
          </w:tcPr>
          <w:p w14:paraId="719C08D3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投诉处理（3分）</w:t>
            </w:r>
          </w:p>
        </w:tc>
        <w:tc>
          <w:tcPr>
            <w:tcW w:w="1609" w:type="dxa"/>
            <w:vAlign w:val="center"/>
          </w:tcPr>
          <w:p w14:paraId="256360EB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投诉渠道与处理效率</w:t>
            </w:r>
          </w:p>
        </w:tc>
        <w:tc>
          <w:tcPr>
            <w:tcW w:w="702" w:type="dxa"/>
            <w:vAlign w:val="center"/>
          </w:tcPr>
          <w:p w14:paraId="37BE2ADD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4270" w:type="dxa"/>
            <w:vAlign w:val="center"/>
          </w:tcPr>
          <w:p w14:paraId="4C49E4AA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设立投诉电话、信箱或线上平台，24小时内响应投诉，7个工作日内办结并反馈结果，未达标1次扣1分；无投诉渠道扣3分。</w:t>
            </w:r>
          </w:p>
        </w:tc>
      </w:tr>
    </w:tbl>
    <w:p w14:paraId="547B56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br w:type="page"/>
      </w:r>
    </w:p>
    <w:p w14:paraId="22BFC7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 w14:paraId="670934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微软雅黑" w:hAnsi="微软雅黑" w:eastAsia="微软雅黑" w:cs="微软雅黑"/>
          <w:sz w:val="44"/>
          <w:szCs w:val="44"/>
          <w:lang w:val="en-US" w:eastAsia="zh-CN"/>
        </w:rPr>
      </w:pPr>
      <w:r>
        <w:rPr>
          <w:rFonts w:hint="eastAsia" w:ascii="微软雅黑" w:hAnsi="微软雅黑" w:eastAsia="微软雅黑" w:cs="微软雅黑"/>
          <w:sz w:val="44"/>
          <w:szCs w:val="44"/>
          <w:lang w:val="en-US" w:eastAsia="zh-CN"/>
        </w:rPr>
        <w:t>现场评估问题告知单</w:t>
      </w:r>
    </w:p>
    <w:p w14:paraId="362992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机构名称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评估日期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"/>
        <w:gridCol w:w="2969"/>
        <w:gridCol w:w="3050"/>
        <w:gridCol w:w="1917"/>
      </w:tblGrid>
      <w:tr w14:paraId="6B132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58" w:type="dxa"/>
          </w:tcPr>
          <w:p w14:paraId="51AC4A4C">
            <w:pPr>
              <w:pStyle w:val="1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序号</w:t>
            </w:r>
          </w:p>
        </w:tc>
        <w:tc>
          <w:tcPr>
            <w:tcW w:w="2969" w:type="dxa"/>
          </w:tcPr>
          <w:p w14:paraId="68DC446C">
            <w:pPr>
              <w:pStyle w:val="1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存在问题</w:t>
            </w:r>
          </w:p>
        </w:tc>
        <w:tc>
          <w:tcPr>
            <w:tcW w:w="3050" w:type="dxa"/>
          </w:tcPr>
          <w:p w14:paraId="18CAED8A">
            <w:pPr>
              <w:pStyle w:val="1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整改建议</w:t>
            </w:r>
          </w:p>
        </w:tc>
        <w:tc>
          <w:tcPr>
            <w:tcW w:w="1917" w:type="dxa"/>
          </w:tcPr>
          <w:p w14:paraId="28FB7AD1">
            <w:pPr>
              <w:pStyle w:val="1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机构确认签字</w:t>
            </w:r>
          </w:p>
        </w:tc>
      </w:tr>
      <w:tr w14:paraId="51355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58" w:type="dxa"/>
            <w:vAlign w:val="center"/>
          </w:tcPr>
          <w:p w14:paraId="116894DC">
            <w:pPr>
              <w:pStyle w:val="1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2969" w:type="dxa"/>
          </w:tcPr>
          <w:p w14:paraId="303B2F1B">
            <w:pPr>
              <w:pStyle w:val="15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050" w:type="dxa"/>
          </w:tcPr>
          <w:p w14:paraId="70C0D41B">
            <w:pPr>
              <w:pStyle w:val="15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17" w:type="dxa"/>
            <w:vMerge w:val="restart"/>
          </w:tcPr>
          <w:p w14:paraId="03B02BCE">
            <w:pPr>
              <w:pStyle w:val="15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784EA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58" w:type="dxa"/>
            <w:vAlign w:val="center"/>
          </w:tcPr>
          <w:p w14:paraId="45CFCDEA">
            <w:pPr>
              <w:pStyle w:val="1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</w:t>
            </w:r>
          </w:p>
        </w:tc>
        <w:tc>
          <w:tcPr>
            <w:tcW w:w="2969" w:type="dxa"/>
          </w:tcPr>
          <w:p w14:paraId="395DACD6">
            <w:pPr>
              <w:pStyle w:val="15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050" w:type="dxa"/>
          </w:tcPr>
          <w:p w14:paraId="615D3E04">
            <w:pPr>
              <w:pStyle w:val="15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17" w:type="dxa"/>
            <w:vMerge w:val="continue"/>
          </w:tcPr>
          <w:p w14:paraId="7DFDA024">
            <w:pPr>
              <w:pStyle w:val="15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4480B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58" w:type="dxa"/>
            <w:vAlign w:val="center"/>
          </w:tcPr>
          <w:p w14:paraId="7EF80F66">
            <w:pPr>
              <w:pStyle w:val="1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2969" w:type="dxa"/>
          </w:tcPr>
          <w:p w14:paraId="6EACB6E6">
            <w:pPr>
              <w:pStyle w:val="15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050" w:type="dxa"/>
          </w:tcPr>
          <w:p w14:paraId="24EBB10E">
            <w:pPr>
              <w:pStyle w:val="15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17" w:type="dxa"/>
            <w:vMerge w:val="continue"/>
          </w:tcPr>
          <w:p w14:paraId="303748F2">
            <w:pPr>
              <w:pStyle w:val="15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05C6C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58" w:type="dxa"/>
            <w:vAlign w:val="center"/>
          </w:tcPr>
          <w:p w14:paraId="47D21C80">
            <w:pPr>
              <w:pStyle w:val="1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…</w:t>
            </w:r>
          </w:p>
        </w:tc>
        <w:tc>
          <w:tcPr>
            <w:tcW w:w="2969" w:type="dxa"/>
          </w:tcPr>
          <w:p w14:paraId="162BD790">
            <w:pPr>
              <w:pStyle w:val="15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050" w:type="dxa"/>
          </w:tcPr>
          <w:p w14:paraId="286DD2CF">
            <w:pPr>
              <w:pStyle w:val="15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17" w:type="dxa"/>
            <w:vMerge w:val="continue"/>
          </w:tcPr>
          <w:p w14:paraId="7D7A335C">
            <w:pPr>
              <w:pStyle w:val="15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 w14:paraId="0B3308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7C3393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080" w:firstLineChars="11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评估小组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成员</w:t>
      </w:r>
      <w:r>
        <w:rPr>
          <w:rFonts w:hint="eastAsia" w:ascii="仿宋_GB2312" w:hAnsi="仿宋_GB2312" w:eastAsia="仿宋_GB2312" w:cs="仿宋_GB2312"/>
          <w:sz w:val="28"/>
          <w:szCs w:val="28"/>
        </w:rPr>
        <w:t>签字：</w:t>
      </w:r>
    </w:p>
    <w:p w14:paraId="02875C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0" w:firstLineChars="20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10DD0B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0" w:firstLineChars="20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69D4D80-1382-40A0-90B6-3CD4679CE4C8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F430093-BCCA-48F5-AF9E-6533CE8A9CB4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24D02D06-F8BE-4C83-BE85-4E8135AB3628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  <w:embedRegular r:id="rId4" w:fontKey="{3B6CF856-1460-42BA-BD9A-64A9FB735D6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936044">
    <w:pPr>
      <w:pStyle w:val="6"/>
      <w:ind w:firstLine="7560" w:firstLineChars="2700"/>
    </w:pPr>
    <w:r>
      <w:rPr>
        <w:rFonts w:hint="eastAsia" w:ascii="宋体" w:hAnsi="宋体" w:eastAsia="宋体" w:cs="宋体"/>
        <w:sz w:val="28"/>
        <w:szCs w:val="28"/>
      </w:rPr>
      <w:t>—</w:t>
    </w:r>
    <w:r>
      <w:rPr>
        <w:rFonts w:hint="eastAsia" w:ascii="宋体" w:hAnsi="宋体" w:eastAsia="宋体" w:cs="宋体"/>
        <w:sz w:val="28"/>
        <w:szCs w:val="28"/>
        <w:lang w:val="en-US" w:eastAsia="zh-CN"/>
      </w:rPr>
      <w:t xml:space="preserve"> </w:t>
    </w:r>
    <w:r>
      <w:rPr>
        <w:rFonts w:hint="eastAsia" w:ascii="宋体" w:hAnsi="宋体" w:eastAsia="宋体" w:cs="宋体"/>
        <w:sz w:val="28"/>
        <w:szCs w:val="28"/>
      </w:rPr>
      <w:fldChar w:fldCharType="begin"/>
    </w:r>
    <w:r>
      <w:rPr>
        <w:rFonts w:hint="eastAsia" w:ascii="宋体" w:hAnsi="宋体" w:eastAsia="宋体" w:cs="宋体"/>
        <w:sz w:val="28"/>
        <w:szCs w:val="28"/>
      </w:rPr>
      <w:instrText xml:space="preserve"> PAGE  \* MERGEFORMAT </w:instrText>
    </w:r>
    <w:r>
      <w:rPr>
        <w:rFonts w:hint="eastAsia" w:ascii="宋体" w:hAnsi="宋体" w:eastAsia="宋体" w:cs="宋体"/>
        <w:sz w:val="28"/>
        <w:szCs w:val="28"/>
      </w:rPr>
      <w:fldChar w:fldCharType="separate"/>
    </w:r>
    <w:r>
      <w:rPr>
        <w:rFonts w:hint="eastAsia" w:ascii="宋体" w:hAnsi="宋体" w:eastAsia="宋体" w:cs="宋体"/>
        <w:sz w:val="28"/>
        <w:szCs w:val="28"/>
      </w:rPr>
      <w:t>1</w:t>
    </w:r>
    <w:r>
      <w:rPr>
        <w:rFonts w:hint="eastAsia" w:ascii="宋体" w:hAnsi="宋体" w:eastAsia="宋体" w:cs="宋体"/>
        <w:sz w:val="28"/>
        <w:szCs w:val="28"/>
      </w:rPr>
      <w:fldChar w:fldCharType="end"/>
    </w:r>
    <w:r>
      <w:rPr>
        <w:rFonts w:hint="eastAsia" w:ascii="宋体" w:hAnsi="宋体" w:eastAsia="宋体" w:cs="宋体"/>
        <w:sz w:val="28"/>
        <w:szCs w:val="28"/>
        <w:lang w:val="en-US" w:eastAsia="zh-CN"/>
      </w:rPr>
      <w:t xml:space="preserve"> </w:t>
    </w:r>
    <w:r>
      <w:rPr>
        <w:rFonts w:hint="eastAsia" w:ascii="宋体" w:hAnsi="宋体" w:eastAsia="宋体" w:cs="宋体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2E883F">
    <w:pPr>
      <w:pStyle w:val="6"/>
    </w:pPr>
    <w:r>
      <w:rPr>
        <w:rFonts w:hint="eastAsia" w:ascii="宋体" w:hAnsi="宋体" w:eastAsia="宋体" w:cs="宋体"/>
        <w:sz w:val="28"/>
        <w:szCs w:val="28"/>
      </w:rPr>
      <w:t>—</w:t>
    </w:r>
    <w:r>
      <w:rPr>
        <w:rFonts w:hint="eastAsia" w:ascii="宋体" w:hAnsi="宋体" w:eastAsia="宋体" w:cs="宋体"/>
        <w:sz w:val="28"/>
        <w:szCs w:val="28"/>
        <w:lang w:val="en-US" w:eastAsia="zh-CN"/>
      </w:rPr>
      <w:t xml:space="preserve"> </w:t>
    </w:r>
    <w:r>
      <w:rPr>
        <w:rFonts w:hint="eastAsia" w:ascii="宋体" w:hAnsi="宋体" w:eastAsia="宋体" w:cs="宋体"/>
        <w:sz w:val="28"/>
        <w:szCs w:val="28"/>
      </w:rPr>
      <w:fldChar w:fldCharType="begin"/>
    </w:r>
    <w:r>
      <w:rPr>
        <w:rFonts w:hint="eastAsia" w:ascii="宋体" w:hAnsi="宋体" w:eastAsia="宋体" w:cs="宋体"/>
        <w:sz w:val="28"/>
        <w:szCs w:val="28"/>
      </w:rPr>
      <w:instrText xml:space="preserve"> PAGE  \* MERGEFORMAT </w:instrText>
    </w:r>
    <w:r>
      <w:rPr>
        <w:rFonts w:hint="eastAsia" w:ascii="宋体" w:hAnsi="宋体" w:eastAsia="宋体" w:cs="宋体"/>
        <w:sz w:val="28"/>
        <w:szCs w:val="28"/>
      </w:rPr>
      <w:fldChar w:fldCharType="separate"/>
    </w:r>
    <w:r>
      <w:rPr>
        <w:rFonts w:hint="eastAsia" w:ascii="宋体" w:hAnsi="宋体" w:eastAsia="宋体" w:cs="宋体"/>
        <w:sz w:val="28"/>
        <w:szCs w:val="28"/>
      </w:rPr>
      <w:t>1</w:t>
    </w:r>
    <w:r>
      <w:rPr>
        <w:rFonts w:hint="eastAsia" w:ascii="宋体" w:hAnsi="宋体" w:eastAsia="宋体" w:cs="宋体"/>
        <w:sz w:val="28"/>
        <w:szCs w:val="28"/>
      </w:rPr>
      <w:fldChar w:fldCharType="end"/>
    </w:r>
    <w:r>
      <w:rPr>
        <w:rFonts w:hint="eastAsia" w:ascii="宋体" w:hAnsi="宋体" w:eastAsia="宋体" w:cs="宋体"/>
        <w:sz w:val="28"/>
        <w:szCs w:val="28"/>
        <w:lang w:val="en-US" w:eastAsia="zh-CN"/>
      </w:rPr>
      <w:t xml:space="preserve"> </w:t>
    </w:r>
    <w:r>
      <w:rPr>
        <w:rFonts w:hint="eastAsia" w:ascii="宋体" w:hAnsi="宋体" w:eastAsia="宋体" w:cs="宋体"/>
        <w:sz w:val="28"/>
        <w:szCs w:val="28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A93D63"/>
    <w:rsid w:val="00CE3D6F"/>
    <w:rsid w:val="01052B94"/>
    <w:rsid w:val="01950339"/>
    <w:rsid w:val="053D0EB5"/>
    <w:rsid w:val="05657778"/>
    <w:rsid w:val="06071298"/>
    <w:rsid w:val="07AA2823"/>
    <w:rsid w:val="07AC16D2"/>
    <w:rsid w:val="08CF6844"/>
    <w:rsid w:val="0A47022C"/>
    <w:rsid w:val="0EF702F0"/>
    <w:rsid w:val="0F2A1775"/>
    <w:rsid w:val="0F953DB9"/>
    <w:rsid w:val="10355ECF"/>
    <w:rsid w:val="116577BB"/>
    <w:rsid w:val="11667A8B"/>
    <w:rsid w:val="12092DDD"/>
    <w:rsid w:val="125D539E"/>
    <w:rsid w:val="12E37283"/>
    <w:rsid w:val="14212285"/>
    <w:rsid w:val="148E0DD7"/>
    <w:rsid w:val="153D6E94"/>
    <w:rsid w:val="15CB202C"/>
    <w:rsid w:val="17A54DB5"/>
    <w:rsid w:val="17EF6030"/>
    <w:rsid w:val="1AA07505"/>
    <w:rsid w:val="1BAF58B2"/>
    <w:rsid w:val="1C175E8F"/>
    <w:rsid w:val="1C2E0909"/>
    <w:rsid w:val="1F952318"/>
    <w:rsid w:val="1FFF65F1"/>
    <w:rsid w:val="20744B6F"/>
    <w:rsid w:val="2128625F"/>
    <w:rsid w:val="214473ED"/>
    <w:rsid w:val="232C1EE7"/>
    <w:rsid w:val="23F829DC"/>
    <w:rsid w:val="24063582"/>
    <w:rsid w:val="259738CA"/>
    <w:rsid w:val="25C954DC"/>
    <w:rsid w:val="268B0836"/>
    <w:rsid w:val="2859377E"/>
    <w:rsid w:val="29AA0477"/>
    <w:rsid w:val="2D755B0E"/>
    <w:rsid w:val="3021660B"/>
    <w:rsid w:val="30FF3652"/>
    <w:rsid w:val="3200149E"/>
    <w:rsid w:val="35531B8F"/>
    <w:rsid w:val="3CD6385A"/>
    <w:rsid w:val="3F3E2AF9"/>
    <w:rsid w:val="42E72E03"/>
    <w:rsid w:val="45791D9C"/>
    <w:rsid w:val="47E4325C"/>
    <w:rsid w:val="481F3CAE"/>
    <w:rsid w:val="48381B8F"/>
    <w:rsid w:val="4B7005D4"/>
    <w:rsid w:val="4CDC1628"/>
    <w:rsid w:val="4DE6755C"/>
    <w:rsid w:val="4EF456FF"/>
    <w:rsid w:val="4F9E0A6C"/>
    <w:rsid w:val="50E4428F"/>
    <w:rsid w:val="53753E89"/>
    <w:rsid w:val="54261E03"/>
    <w:rsid w:val="58FC72F2"/>
    <w:rsid w:val="59723F36"/>
    <w:rsid w:val="5EE91740"/>
    <w:rsid w:val="623F6839"/>
    <w:rsid w:val="628A07BE"/>
    <w:rsid w:val="643B00E8"/>
    <w:rsid w:val="666D7E19"/>
    <w:rsid w:val="66F36369"/>
    <w:rsid w:val="68BB30BE"/>
    <w:rsid w:val="6A86238A"/>
    <w:rsid w:val="6D092E9F"/>
    <w:rsid w:val="6E7D509E"/>
    <w:rsid w:val="6E9C573F"/>
    <w:rsid w:val="708741CD"/>
    <w:rsid w:val="71243627"/>
    <w:rsid w:val="720A0C12"/>
    <w:rsid w:val="736F20BA"/>
    <w:rsid w:val="746F34AE"/>
    <w:rsid w:val="74F36E8F"/>
    <w:rsid w:val="74FC50DF"/>
    <w:rsid w:val="756078A5"/>
    <w:rsid w:val="75A1188D"/>
    <w:rsid w:val="7658457F"/>
    <w:rsid w:val="766345FF"/>
    <w:rsid w:val="76BD44A5"/>
    <w:rsid w:val="76E34160"/>
    <w:rsid w:val="77C35180"/>
    <w:rsid w:val="78C10BC7"/>
    <w:rsid w:val="7DAE44BA"/>
    <w:rsid w:val="7F54109D"/>
    <w:rsid w:val="7F761D48"/>
    <w:rsid w:val="C7FA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before="180" w:after="180"/>
    </w:pPr>
  </w:style>
  <w:style w:type="paragraph" w:styleId="3">
    <w:name w:val="Body Text First Indent"/>
    <w:basedOn w:val="2"/>
    <w:next w:val="1"/>
    <w:qFormat/>
    <w:uiPriority w:val="99"/>
    <w:pPr>
      <w:ind w:firstLine="420" w:firstLineChars="1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page number"/>
    <w:basedOn w:val="11"/>
    <w:qFormat/>
    <w:uiPriority w:val="0"/>
  </w:style>
  <w:style w:type="paragraph" w:customStyle="1" w:styleId="14">
    <w:name w:val="First Paragraph"/>
    <w:basedOn w:val="2"/>
    <w:next w:val="2"/>
    <w:qFormat/>
    <w:uiPriority w:val="0"/>
  </w:style>
  <w:style w:type="paragraph" w:customStyle="1" w:styleId="15">
    <w:name w:val="Compact"/>
    <w:basedOn w:val="2"/>
    <w:qFormat/>
    <w:uiPriority w:val="0"/>
    <w:pPr>
      <w:spacing w:before="36" w:after="36"/>
    </w:pPr>
  </w:style>
  <w:style w:type="table" w:customStyle="1" w:styleId="16">
    <w:name w:val="Table"/>
    <w:semiHidden/>
    <w:unhideWhenUsed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cPr>
        <w:tcBorders>
          <w:bottom w:val="single" w:color="auto" w:sz="0" w:space="0"/>
        </w:tcBorders>
        <w:vAlign w:val="bottom"/>
      </w:tcPr>
    </w:tblStyle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6731</Words>
  <Characters>7002</Characters>
  <Lines>0</Lines>
  <Paragraphs>0</Paragraphs>
  <TotalTime>69</TotalTime>
  <ScaleCrop>false</ScaleCrop>
  <LinksUpToDate>false</LinksUpToDate>
  <CharactersWithSpaces>7054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2025-08-14T11:29:00Z</dcterms:created>
  <dc:creator>慕卫东</dc:creator>
  <cp:lastModifiedBy>黄雅文</cp:lastModifiedBy>
  <dcterms:modified xsi:type="dcterms:W3CDTF">2026-05-29T03:50:48Z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eyJoZGlkIjoiMjU0ZWViMDBmOWZlZThkMDE4ZDc4YzAwNDY3MDQ1MTEiLCJ1c2VySWQiOiIzMjY2NTMxNTMifQ==</vt:lpwstr>
  </property>
  <property fmtid="{D5CDD505-2E9C-101B-9397-08002B2CF9AE}" pid="4" name="ICV">
    <vt:lpwstr>697E3E53DB20401BBCF843B0F9658D71_13</vt:lpwstr>
  </property>
</Properties>
</file>