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jc w:val="center"/>
        <w:rPr>
          <w:rFonts w:ascii="Times New Roman" w:hAnsi="Times New Roman" w:eastAsia="方正小标宋简体" w:cs="Times New Roman"/>
          <w:color w:val="000000" w:themeColor="text1"/>
          <w:sz w:val="52"/>
          <w:szCs w:val="52"/>
          <w14:textFill>
            <w14:solidFill>
              <w14:schemeClr w14:val="tx1"/>
            </w14:solidFill>
          </w14:textFill>
        </w:rPr>
      </w:pPr>
      <w:r>
        <w:rPr>
          <w:rFonts w:ascii="Times New Roman" w:hAnsi="Times New Roman" w:eastAsia="方正小标宋简体" w:cs="Times New Roman"/>
          <w:color w:val="000000" w:themeColor="text1"/>
          <w:sz w:val="52"/>
          <w:szCs w:val="52"/>
          <w14:textFill>
            <w14:solidFill>
              <w14:schemeClr w14:val="tx1"/>
            </w14:solidFill>
          </w14:textFill>
        </w:rPr>
        <w:t>贵阳市“十五五”林业草原保护发展</w:t>
      </w:r>
    </w:p>
    <w:p>
      <w:pPr>
        <w:spacing w:line="360" w:lineRule="auto"/>
        <w:jc w:val="center"/>
        <w:rPr>
          <w:rFonts w:ascii="Times New Roman" w:hAnsi="Times New Roman" w:eastAsia="方正小标宋简体" w:cs="Times New Roman"/>
          <w:color w:val="000000" w:themeColor="text1"/>
          <w:sz w:val="52"/>
          <w:szCs w:val="52"/>
          <w14:textFill>
            <w14:solidFill>
              <w14:schemeClr w14:val="tx1"/>
            </w14:solidFill>
          </w14:textFill>
        </w:rPr>
      </w:pPr>
      <w:r>
        <w:rPr>
          <w:rFonts w:ascii="Times New Roman" w:hAnsi="Times New Roman" w:eastAsia="方正小标宋简体" w:cs="Times New Roman"/>
          <w:color w:val="000000" w:themeColor="text1"/>
          <w:sz w:val="52"/>
          <w:szCs w:val="52"/>
          <w14:textFill>
            <w14:solidFill>
              <w14:schemeClr w14:val="tx1"/>
            </w14:solidFill>
          </w14:textFill>
        </w:rPr>
        <w:t>专项规划</w:t>
      </w:r>
    </w:p>
    <w:p>
      <w:pPr>
        <w:spacing w:line="570" w:lineRule="exact"/>
        <w:jc w:val="center"/>
        <w:rPr>
          <w:rFonts w:ascii="Times New Roman" w:hAnsi="Times New Roman" w:eastAsia="方正小标宋_GBK" w:cs="Times New Roman"/>
          <w:color w:val="000000" w:themeColor="text1"/>
          <w:sz w:val="36"/>
          <w:szCs w:val="36"/>
          <w14:textFill>
            <w14:solidFill>
              <w14:schemeClr w14:val="tx1"/>
            </w14:solidFill>
          </w14:textFill>
        </w:rPr>
      </w:pPr>
      <w:bookmarkStart w:id="0" w:name="OLE_LINK7"/>
      <w:r>
        <w:rPr>
          <w:rFonts w:ascii="Times New Roman" w:hAnsi="Times New Roman" w:eastAsia="方正小标宋_GBK" w:cs="Times New Roman"/>
          <w:color w:val="000000" w:themeColor="text1"/>
          <w:sz w:val="36"/>
          <w:szCs w:val="36"/>
          <w14:textFill>
            <w14:solidFill>
              <w14:schemeClr w14:val="tx1"/>
            </w14:solidFill>
          </w14:textFill>
        </w:rPr>
        <w:t>（征求意见稿）</w:t>
      </w:r>
      <w:bookmarkEnd w:id="0"/>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360" w:lineRule="auto"/>
        <w:jc w:val="center"/>
        <w:rPr>
          <w:rFonts w:ascii="Times New Roman" w:hAnsi="Times New Roman" w:eastAsia="方正小标宋_GBK" w:cs="Times New Roman"/>
          <w:color w:val="000000" w:themeColor="text1"/>
          <w:sz w:val="36"/>
          <w:szCs w:val="36"/>
          <w14:textFill>
            <w14:solidFill>
              <w14:schemeClr w14:val="tx1"/>
            </w14:solidFill>
          </w14:textFill>
        </w:rPr>
      </w:pPr>
      <w:r>
        <w:rPr>
          <w:rFonts w:ascii="Times New Roman" w:hAnsi="Times New Roman" w:eastAsia="方正小标宋_GBK" w:cs="Times New Roman"/>
          <w:color w:val="000000" w:themeColor="text1"/>
          <w:sz w:val="36"/>
          <w:szCs w:val="36"/>
          <w14:textFill>
            <w14:solidFill>
              <w14:schemeClr w14:val="tx1"/>
            </w14:solidFill>
          </w14:textFill>
        </w:rPr>
        <w:t>贵阳市林业局</w:t>
      </w:r>
    </w:p>
    <w:p>
      <w:pPr>
        <w:spacing w:line="360" w:lineRule="auto"/>
        <w:jc w:val="center"/>
        <w:rPr>
          <w:rFonts w:ascii="Times New Roman" w:hAnsi="Times New Roman" w:eastAsia="方正小标宋_GBK" w:cs="Times New Roman"/>
          <w:color w:val="000000" w:themeColor="text1"/>
          <w:sz w:val="36"/>
          <w:szCs w:val="36"/>
          <w14:textFill>
            <w14:solidFill>
              <w14:schemeClr w14:val="tx1"/>
            </w14:solidFill>
          </w14:textFill>
        </w:rPr>
      </w:pPr>
      <w:r>
        <w:rPr>
          <w:rFonts w:ascii="Times New Roman" w:hAnsi="Times New Roman" w:eastAsia="方正小标宋_GBK" w:cs="Times New Roman"/>
          <w:color w:val="000000" w:themeColor="text1"/>
          <w:sz w:val="36"/>
          <w:szCs w:val="36"/>
          <w14:textFill>
            <w14:solidFill>
              <w14:schemeClr w14:val="tx1"/>
            </w14:solidFill>
          </w14:textFill>
        </w:rPr>
        <w:t>二〇二六年</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五</w:t>
      </w:r>
      <w:r>
        <w:rPr>
          <w:rFonts w:ascii="Times New Roman" w:hAnsi="Times New Roman" w:eastAsia="方正小标宋_GBK" w:cs="Times New Roman"/>
          <w:color w:val="000000" w:themeColor="text1"/>
          <w:sz w:val="36"/>
          <w:szCs w:val="36"/>
          <w14:textFill>
            <w14:solidFill>
              <w14:schemeClr w14:val="tx1"/>
            </w14:solidFill>
          </w14:textFill>
        </w:rPr>
        <w:t>月</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1" w:name="_Toc228548738"/>
      <w:bookmarkStart w:id="2" w:name="_Toc13299"/>
      <w:bookmarkStart w:id="3" w:name="_Toc228723808"/>
      <w:bookmarkStart w:id="4" w:name="_Toc228546391"/>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r>
        <w:rPr>
          <w:rFonts w:ascii="Times New Roman" w:hAnsi="Times New Roman" w:eastAsia="方正小标宋_GBK" w:cs="Times New Roman"/>
          <w:color w:val="000000" w:themeColor="text1"/>
          <w:sz w:val="36"/>
          <w:szCs w:val="36"/>
          <w14:textFill>
            <w14:solidFill>
              <w14:schemeClr w14:val="tx1"/>
            </w14:solidFill>
          </w14:textFill>
        </w:rPr>
        <w:t>前  言</w:t>
      </w:r>
      <w:bookmarkEnd w:id="1"/>
      <w:bookmarkEnd w:id="2"/>
      <w:bookmarkEnd w:id="3"/>
      <w:bookmarkEnd w:id="4"/>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十五五”是我国全面建设社会主义现代化国家新征程的关键五年，是贵阳贵安现代化建设承前启后、全面发力的重要时期，也是林业深化改革、转型升级、提质增效的攻坚期。“重林、造林、营林、治林、林改”是贵阳林业改革发展的系统方法论，其中：重林是统领（治理体系），造林是基础（生态空间），营林是路径（产业富民），治林是保障（安全底线），林改是动力（改革创新）。贵阳林业将牢固树立“山水林田湖草”生命共同体理念，以筑牢“两江”上游重要生态安全屏障为使命，以扩绿兴绿护绿和更加提质兴业利民为发展方向，以“重林、造林、营林、治林、林改”为抓手，统筹推进林草事业全面发展，努力实现生态效益、经济效益、社会效益有机统一。</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中共贵阳市委关于制定贵阳市国民经济和社会发展第十五个五年规划的建议》精神，在紧密衔接《贵州省“十五五”林业草原保护发展规划》《贵阳市国土空间总体规划（2021-2035年）》等上位规划的基础上，本规划</w:t>
      </w:r>
      <w:bookmarkStart w:id="5" w:name="OLE_LINK14"/>
      <w:r>
        <w:rPr>
          <w:rFonts w:ascii="Times New Roman" w:hAnsi="Times New Roman" w:eastAsia="仿宋_GB2312" w:cs="Times New Roman"/>
          <w:color w:val="000000" w:themeColor="text1"/>
          <w:sz w:val="32"/>
          <w:szCs w:val="32"/>
          <w14:textFill>
            <w14:solidFill>
              <w14:schemeClr w14:val="tx1"/>
            </w14:solidFill>
          </w14:textFill>
        </w:rPr>
        <w:t>全面贯彻落实国家林草局“十五五”规划中“科学保护、系统治理、合理利用”三大任务要求，紧扣贵州省“六个林业”建设目标，贵阳市林业局组织编制了《贵阳市“十五五”林业草原保护发展专项规划》。</w:t>
      </w:r>
      <w:bookmarkEnd w:id="5"/>
      <w:r>
        <w:rPr>
          <w:rFonts w:ascii="Times New Roman" w:hAnsi="Times New Roman" w:eastAsia="仿宋_GB2312" w:cs="Times New Roman"/>
          <w:color w:val="000000" w:themeColor="text1"/>
          <w:sz w:val="32"/>
          <w:szCs w:val="32"/>
          <w14:textFill>
            <w14:solidFill>
              <w14:schemeClr w14:val="tx1"/>
            </w14:solidFill>
          </w14:textFill>
        </w:rPr>
        <w:t>规划深入分析了“十四五”时期林业发展取得的主要成就和面临的形势机遇，提出了“十五五”时期林业发展的指导思想、基本原则、发展目标、空间布局，系统部署了重林统领、造林提质、营林增效、治林强能、林改创新等重点任务，明确了支撑体系和保障措施，是指导未来五年贵阳贵安林草事业高质量发展的纲领性文件。</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footerReference r:id="rId4" w:type="default"/>
          <w:pgSz w:w="11906" w:h="16838"/>
          <w:pgMar w:top="1440" w:right="1800" w:bottom="1440" w:left="1800" w:header="851" w:footer="992" w:gutter="0"/>
          <w:cols w:space="425" w:num="1"/>
          <w:docGrid w:type="lines" w:linePitch="312" w:charSpace="0"/>
        </w:sectPr>
      </w:pPr>
      <w:r>
        <w:rPr>
          <w:rFonts w:ascii="Times New Roman" w:hAnsi="Times New Roman" w:eastAsia="仿宋_GB2312" w:cs="Times New Roman"/>
          <w:color w:val="000000" w:themeColor="text1"/>
          <w:sz w:val="32"/>
          <w:szCs w:val="32"/>
          <w14:textFill>
            <w14:solidFill>
              <w14:schemeClr w14:val="tx1"/>
            </w14:solidFill>
          </w14:textFill>
        </w:rPr>
        <w:t>本规划基准年为2025年，规划期为2026—2030年，规划范围包括贵阳市和贵安新区。</w:t>
      </w:r>
    </w:p>
    <w:p>
      <w:pPr>
        <w:spacing w:line="360" w:lineRule="auto"/>
        <w:ind w:firstLine="720" w:firstLineChars="200"/>
        <w:jc w:val="center"/>
        <w:rPr>
          <w:rFonts w:ascii="Times New Roman" w:hAnsi="Times New Roman" w:eastAsia="仿宋" w:cs="Times New Roman"/>
          <w:color w:val="000000" w:themeColor="text1"/>
          <w:kern w:val="2"/>
          <w:sz w:val="32"/>
          <w:szCs w:val="32"/>
          <w:lang w:val="en-US" w:eastAsia="zh-CN" w:bidi="ar-SA"/>
          <w14:textFill>
            <w14:solidFill>
              <w14:schemeClr w14:val="tx1"/>
            </w14:solidFill>
          </w14:textFill>
        </w:rPr>
      </w:pPr>
      <w:bookmarkStart w:id="6" w:name="_Toc228548739"/>
      <w:bookmarkStart w:id="7" w:name="_Toc228546392"/>
      <w:bookmarkStart w:id="8" w:name="_Toc228723809"/>
      <w:bookmarkStart w:id="9" w:name="OLE_LINK6"/>
      <w:r>
        <w:rPr>
          <w:rFonts w:ascii="Times New Roman" w:hAnsi="Times New Roman" w:eastAsia="方正小标宋_GBK" w:cs="Times New Roman"/>
          <w:color w:val="000000" w:themeColor="text1"/>
          <w:sz w:val="36"/>
          <w:szCs w:val="36"/>
          <w14:textFill>
            <w14:solidFill>
              <w14:schemeClr w14:val="tx1"/>
            </w14:solidFill>
          </w14:textFill>
        </w:rPr>
        <w:t>目  录</w:t>
      </w:r>
      <w:bookmarkEnd w:id="6"/>
      <w:bookmarkEnd w:id="7"/>
      <w:bookmarkEnd w:id="8"/>
      <w:r>
        <w:rPr>
          <w:rFonts w:ascii="Times New Roman" w:hAnsi="Times New Roman" w:eastAsia="仿宋" w:cs="Times New Roman"/>
          <w:color w:val="000000" w:themeColor="text1"/>
          <w:sz w:val="32"/>
          <w:szCs w:val="32"/>
          <w14:textFill>
            <w14:solidFill>
              <w14:schemeClr w14:val="tx1"/>
            </w14:solidFill>
          </w14:textFill>
        </w:rPr>
        <w:fldChar w:fldCharType="begin"/>
      </w:r>
      <w:r>
        <w:rPr>
          <w:rFonts w:ascii="Times New Roman" w:hAnsi="Times New Roman" w:eastAsia="仿宋" w:cs="Times New Roman"/>
          <w:color w:val="000000" w:themeColor="text1"/>
          <w:sz w:val="32"/>
          <w:szCs w:val="32"/>
          <w14:textFill>
            <w14:solidFill>
              <w14:schemeClr w14:val="tx1"/>
            </w14:solidFill>
          </w14:textFill>
        </w:rPr>
        <w:instrText xml:space="preserve"> TOC \o "1-2" \h \z \u </w:instrText>
      </w:r>
      <w:r>
        <w:rPr>
          <w:rFonts w:ascii="Times New Roman" w:hAnsi="Times New Roman" w:eastAsia="仿宋" w:cs="Times New Roman"/>
          <w:color w:val="000000" w:themeColor="text1"/>
          <w:sz w:val="32"/>
          <w:szCs w:val="32"/>
          <w14:textFill>
            <w14:solidFill>
              <w14:schemeClr w14:val="tx1"/>
            </w14:solidFill>
          </w14:textFill>
        </w:rPr>
        <w:fldChar w:fldCharType="separate"/>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_Toc2028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 xml:space="preserve">第一章  </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lang w:val="en-US" w:eastAsia="zh-CN"/>
        </w:rPr>
        <w:t>十四五</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lang w:val="en-US" w:eastAsia="zh-CN"/>
        </w:rPr>
        <w:t>主要成效</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_Toc2028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_Toc3800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lang w:val="en-US"/>
        </w:rPr>
        <w:t>第二</w:t>
      </w:r>
      <w:r>
        <w:rPr>
          <w:rFonts w:hint="default" w:ascii="Times New Roman" w:hAnsi="Times New Roman" w:eastAsia="仿宋" w:cs="Times New Roman"/>
          <w:sz w:val="32"/>
          <w:szCs w:val="32"/>
          <w:lang w:val="en-US" w:eastAsia="zh-CN"/>
        </w:rPr>
        <w:t>章</w:t>
      </w:r>
      <w:r>
        <w:rPr>
          <w:rFonts w:hint="default" w:ascii="Times New Roman" w:hAnsi="Times New Roman" w:eastAsia="仿宋" w:cs="Times New Roman"/>
          <w:sz w:val="32"/>
          <w:szCs w:val="32"/>
          <w:lang w:val="en-US"/>
        </w:rPr>
        <w:t xml:space="preserve">  </w:t>
      </w:r>
      <w:r>
        <w:rPr>
          <w:rFonts w:hint="default" w:ascii="Times New Roman" w:hAnsi="Times New Roman" w:eastAsia="仿宋" w:cs="Times New Roman"/>
          <w:sz w:val="32"/>
          <w:szCs w:val="32"/>
          <w:lang w:val="en-US" w:eastAsia="zh-CN"/>
        </w:rPr>
        <w:t>“十五五”林业发展形势</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_Toc3800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_Toc4155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eastAsia="zh-CN"/>
        </w:rPr>
        <w:t>第一节  发展机遇</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_Toc4155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_Toc11659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w:t>
      </w:r>
      <w:r>
        <w:rPr>
          <w:rFonts w:hint="default" w:ascii="Times New Roman" w:hAnsi="Times New Roman" w:eastAsia="仿宋" w:cs="Times New Roman"/>
          <w:bCs/>
          <w:sz w:val="32"/>
          <w:szCs w:val="32"/>
          <w:lang w:val="en-US" w:eastAsia="zh-CN"/>
        </w:rPr>
        <w:t>二</w:t>
      </w:r>
      <w:r>
        <w:rPr>
          <w:rFonts w:hint="default" w:ascii="Times New Roman" w:hAnsi="Times New Roman" w:eastAsia="仿宋" w:cs="Times New Roman"/>
          <w:bCs/>
          <w:sz w:val="32"/>
          <w:szCs w:val="32"/>
          <w:lang w:val="en-US"/>
        </w:rPr>
        <w:t>节  面临挑战</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_Toc11659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6</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_Toc1381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三</w:t>
      </w:r>
      <w:r>
        <w:rPr>
          <w:rFonts w:hint="default" w:ascii="Times New Roman" w:hAnsi="Times New Roman" w:eastAsia="仿宋" w:cs="Times New Roman"/>
          <w:sz w:val="32"/>
          <w:szCs w:val="32"/>
        </w:rPr>
        <w:t>章  总体思路</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_Toc1381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_Toc29159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指导思想</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_Toc29159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_Toc1501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基本原则</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_Toc1501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_Toc23675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发展布局</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_Toc23675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10</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_Toc1107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第四节  发展目标</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_Toc1107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11</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_Toc8226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四</w:t>
      </w:r>
      <w:r>
        <w:rPr>
          <w:rFonts w:hint="default" w:ascii="Times New Roman" w:hAnsi="Times New Roman" w:eastAsia="仿宋" w:cs="Times New Roman"/>
          <w:sz w:val="32"/>
          <w:szCs w:val="32"/>
        </w:rPr>
        <w:t>章  强化重林统领，</w:t>
      </w:r>
      <w:r>
        <w:rPr>
          <w:rFonts w:hint="eastAsia" w:cs="Times New Roman"/>
          <w:sz w:val="32"/>
          <w:szCs w:val="32"/>
          <w:lang w:val="en-US" w:eastAsia="zh-CN"/>
        </w:rPr>
        <w:t>稳固</w:t>
      </w:r>
      <w:r>
        <w:rPr>
          <w:rFonts w:hint="default" w:ascii="Times New Roman" w:hAnsi="Times New Roman" w:eastAsia="仿宋" w:cs="Times New Roman"/>
          <w:sz w:val="32"/>
          <w:szCs w:val="32"/>
        </w:rPr>
        <w:t>林草发展基</w:t>
      </w:r>
      <w:r>
        <w:rPr>
          <w:rFonts w:hint="eastAsia" w:cs="Times New Roman"/>
          <w:sz w:val="32"/>
          <w:szCs w:val="32"/>
          <w:lang w:val="en-US" w:eastAsia="zh-CN"/>
        </w:rPr>
        <w:t>底</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_Toc8226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13</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_Toc3935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深化林长制改革</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_Toc3935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13</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_Toc17306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擦亮森林城市品牌</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_Toc17306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_Toc834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严守生态保护红线</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_Toc834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16</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_Toc18611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五</w:t>
      </w:r>
      <w:r>
        <w:rPr>
          <w:rFonts w:hint="default" w:ascii="Times New Roman" w:hAnsi="Times New Roman" w:eastAsia="仿宋" w:cs="Times New Roman"/>
          <w:sz w:val="32"/>
          <w:szCs w:val="32"/>
        </w:rPr>
        <w:t>章  强化造林提质，厚植城乡绿色本底</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_Toc18611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18</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_Toc24275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科学推进国土绿化美化</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_Toc24275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18</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_Toc19975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精准提升森林质量</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_Toc19975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19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_Toc31970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夯实林木种苗基础</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_Toc31970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20</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_Toc1882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六</w:t>
      </w:r>
      <w:r>
        <w:rPr>
          <w:rFonts w:hint="default" w:ascii="Times New Roman" w:hAnsi="Times New Roman" w:eastAsia="仿宋" w:cs="Times New Roman"/>
          <w:sz w:val="32"/>
          <w:szCs w:val="32"/>
        </w:rPr>
        <w:t>章  强化营林增效，壮大林业富民产业</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_Toc1882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23</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_Toc15757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做强森林康养旅居产业</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_Toc15757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23</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_Toc2576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拓展“森林+”融合业态</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_Toc2576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_Toc18268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做大传统林业产业</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_Toc18268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25</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_Toc5738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第四节  建强现代产业体系</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_Toc5738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26</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_Toc1568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七</w:t>
      </w:r>
      <w:r>
        <w:rPr>
          <w:rFonts w:hint="default" w:ascii="Times New Roman" w:hAnsi="Times New Roman" w:eastAsia="仿宋" w:cs="Times New Roman"/>
          <w:sz w:val="32"/>
          <w:szCs w:val="32"/>
        </w:rPr>
        <w:t>章  强化治林管护，筑牢生态安全屏障</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_Toc1568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_Toc2899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加强林草资源保护管理</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_Toc2899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29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_Toc32230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推进自然保护地体系建设</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_Toc32230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30</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_Toc25108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维护湿地生态系统稳定</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_Toc25108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31</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_Toc31369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第四节  加强野生动植物保护</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_Toc31369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32</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_Toc14371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第五节  提升森林防火能力</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_Toc14371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33</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_Toc10390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第六节  提高有害生物防治水平</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_Toc10390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_Toc24807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第七节  健全林业防灾减灾体系</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_Toc24807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36</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_Toc19113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八</w:t>
      </w:r>
      <w:r>
        <w:rPr>
          <w:rFonts w:hint="default" w:ascii="Times New Roman" w:hAnsi="Times New Roman" w:eastAsia="仿宋" w:cs="Times New Roman"/>
          <w:sz w:val="32"/>
          <w:szCs w:val="32"/>
        </w:rPr>
        <w:t>章  强化林改创新，激发林业内生动力</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_Toc19113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38</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_Toc1582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深化集体林权制度改革</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_Toc1582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38</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_Toc5747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推进国有林场改革</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_Toc5747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39</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_Toc21912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加快林业碳汇发展</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_Toc21912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40</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_Toc24313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九</w:t>
      </w:r>
      <w:r>
        <w:rPr>
          <w:rFonts w:hint="default" w:ascii="Times New Roman" w:hAnsi="Times New Roman" w:eastAsia="仿宋" w:cs="Times New Roman"/>
          <w:sz w:val="32"/>
          <w:szCs w:val="32"/>
        </w:rPr>
        <w:t>章  强化支撑体系，夯实林业发展根基</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_Toc24313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42</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_Toc27228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第一节  推进数智林草建设</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_Toc27228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42</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_Toc7634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第二节  加强人才队伍建设</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_Toc7634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44</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_Toc24063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bCs/>
          <w:sz w:val="32"/>
          <w:szCs w:val="32"/>
          <w:lang w:val="en-US"/>
        </w:rPr>
        <w:t>第三节  提升科技创新能力</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_Toc24063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45</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Style w:val="11"/>
        <w:keepNext w:val="0"/>
        <w:keepLines w:val="0"/>
        <w:pageBreakBefore w:val="0"/>
        <w:widowControl w:val="0"/>
        <w:tabs>
          <w:tab w:val="right" w:leader="dot" w:pos="8306"/>
          <w:tab w:val="clear" w:pos="8296"/>
        </w:tabs>
        <w:kinsoku/>
        <w:wordWrap/>
        <w:overflowPunct/>
        <w:topLinePunct w:val="0"/>
        <w:autoSpaceDE/>
        <w:autoSpaceDN/>
        <w:bidi w:val="0"/>
        <w:adjustRightInd/>
        <w:snapToGrid/>
        <w:spacing w:line="240" w:lineRule="atLeast"/>
        <w:textAlignment w:val="auto"/>
        <w:rPr>
          <w:rFonts w:hint="default" w:ascii="Times New Roman" w:hAnsi="Times New Roman" w:eastAsia="仿宋" w:cs="Times New Roman"/>
          <w:sz w:val="32"/>
          <w:szCs w:val="32"/>
        </w:rPr>
      </w:pPr>
      <w:r>
        <w:rPr>
          <w:rFonts w:hint="default" w:ascii="Times New Roman" w:hAnsi="Times New Roman" w:eastAsia="仿宋" w:cs="Times New Roman"/>
          <w:color w:val="000000" w:themeColor="text1"/>
          <w:sz w:val="32"/>
          <w:szCs w:val="32"/>
          <w14:textFill>
            <w14:solidFill>
              <w14:schemeClr w14:val="tx1"/>
            </w14:solidFill>
          </w14:textFill>
        </w:rPr>
        <w:fldChar w:fldCharType="begin"/>
      </w:r>
      <w:r>
        <w:rPr>
          <w:rFonts w:hint="default" w:ascii="Times New Roman" w:hAnsi="Times New Roman" w:eastAsia="仿宋" w:cs="Times New Roman"/>
          <w:sz w:val="32"/>
          <w:szCs w:val="32"/>
        </w:rPr>
        <w:instrText xml:space="preserve"> HYPERLINK \l _Toc15225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第</w:t>
      </w:r>
      <w:r>
        <w:rPr>
          <w:rFonts w:hint="default" w:ascii="Times New Roman" w:hAnsi="Times New Roman" w:eastAsia="仿宋" w:cs="Times New Roman"/>
          <w:sz w:val="32"/>
          <w:szCs w:val="32"/>
          <w:lang w:val="en-US" w:eastAsia="zh-CN"/>
        </w:rPr>
        <w:t>十</w:t>
      </w:r>
      <w:r>
        <w:rPr>
          <w:rFonts w:hint="default" w:ascii="Times New Roman" w:hAnsi="Times New Roman" w:eastAsia="仿宋" w:cs="Times New Roman"/>
          <w:sz w:val="32"/>
          <w:szCs w:val="32"/>
        </w:rPr>
        <w:t>章  健全保障机制，推动规划落地见效</w:t>
      </w:r>
      <w:r>
        <w:rPr>
          <w:rFonts w:hint="default" w:ascii="Times New Roman" w:hAnsi="Times New Roman" w:eastAsia="仿宋" w:cs="Times New Roman"/>
          <w:sz w:val="32"/>
          <w:szCs w:val="32"/>
        </w:rPr>
        <w:tab/>
      </w:r>
      <w:r>
        <w:rPr>
          <w:rFonts w:hint="default" w:ascii="Times New Roman" w:hAnsi="Times New Roman" w:eastAsia="仿宋" w:cs="Times New Roman"/>
          <w:sz w:val="32"/>
          <w:szCs w:val="32"/>
        </w:rPr>
        <w:fldChar w:fldCharType="begin"/>
      </w:r>
      <w:r>
        <w:rPr>
          <w:rFonts w:hint="default" w:ascii="Times New Roman" w:hAnsi="Times New Roman" w:eastAsia="仿宋" w:cs="Times New Roman"/>
          <w:sz w:val="32"/>
          <w:szCs w:val="32"/>
        </w:rPr>
        <w:instrText xml:space="preserve"> PAGEREF _Toc15225 \h </w:instrText>
      </w:r>
      <w:r>
        <w:rPr>
          <w:rFonts w:hint="default" w:ascii="Times New Roman" w:hAnsi="Times New Roman" w:eastAsia="仿宋" w:cs="Times New Roman"/>
          <w:sz w:val="32"/>
          <w:szCs w:val="32"/>
        </w:rPr>
        <w:fldChar w:fldCharType="separate"/>
      </w:r>
      <w:r>
        <w:rPr>
          <w:rFonts w:hint="default" w:ascii="Times New Roman" w:hAnsi="Times New Roman" w:eastAsia="仿宋" w:cs="Times New Roman"/>
          <w:sz w:val="32"/>
          <w:szCs w:val="32"/>
        </w:rPr>
        <w:t>48</w:t>
      </w:r>
      <w:r>
        <w:rPr>
          <w:rFonts w:hint="default" w:ascii="Times New Roman" w:hAnsi="Times New Roman" w:eastAsia="仿宋" w:cs="Times New Roman"/>
          <w:sz w:val="32"/>
          <w:szCs w:val="32"/>
        </w:rPr>
        <w:fldChar w:fldCharType="end"/>
      </w: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spacing w:before="312" w:beforeLines="100" w:after="312" w:afterLines="100" w:line="600" w:lineRule="exact"/>
        <w:ind w:firstLine="640" w:firstLineChars="200"/>
        <w:jc w:val="center"/>
        <w:outlineLvl w:val="0"/>
        <w:rPr>
          <w:rFonts w:ascii="Times New Roman" w:hAnsi="Times New Roman" w:eastAsia="仿宋" w:cs="Times New Roman"/>
          <w:color w:val="000000" w:themeColor="text1"/>
          <w:sz w:val="30"/>
          <w:szCs w:val="30"/>
          <w14:textFill>
            <w14:solidFill>
              <w14:schemeClr w14:val="tx1"/>
            </w14:solidFill>
          </w14:textFill>
        </w:rPr>
      </w:pPr>
      <w:r>
        <w:rPr>
          <w:rFonts w:ascii="Times New Roman" w:hAnsi="Times New Roman" w:eastAsia="仿宋" w:cs="Times New Roman"/>
          <w:color w:val="000000" w:themeColor="text1"/>
          <w:sz w:val="32"/>
          <w:szCs w:val="32"/>
          <w14:textFill>
            <w14:solidFill>
              <w14:schemeClr w14:val="tx1"/>
            </w14:solidFill>
          </w14:textFill>
        </w:rPr>
        <w:fldChar w:fldCharType="end"/>
      </w:r>
    </w:p>
    <w:p>
      <w:pPr>
        <w:spacing w:line="360" w:lineRule="auto"/>
        <w:ind w:firstLine="600" w:firstLineChars="200"/>
        <w:rPr>
          <w:rFonts w:ascii="Times New Roman" w:hAnsi="Times New Roman" w:eastAsia="仿宋" w:cs="Times New Roman"/>
          <w:color w:val="000000" w:themeColor="text1"/>
          <w:sz w:val="30"/>
          <w:szCs w:val="30"/>
          <w14:textFill>
            <w14:solidFill>
              <w14:schemeClr w14:val="tx1"/>
            </w14:solidFill>
          </w14:textFill>
        </w:rPr>
      </w:pPr>
    </w:p>
    <w:p>
      <w:pPr>
        <w:spacing w:line="360" w:lineRule="auto"/>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bookmarkEnd w:id="9"/>
    <w:p>
      <w:pPr>
        <w:spacing w:line="570" w:lineRule="exact"/>
        <w:rPr>
          <w:rFonts w:ascii="Times New Roman" w:hAnsi="Times New Roman" w:eastAsia="仿宋_GB2312" w:cs="Times New Roman"/>
          <w:b/>
          <w:color w:val="000000" w:themeColor="text1"/>
          <w:sz w:val="30"/>
          <w:szCs w:val="30"/>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pPr>
      <w:bookmarkStart w:id="10" w:name="_Toc2028"/>
      <w:bookmarkStart w:id="11" w:name="OLE_LINK8"/>
      <w:r>
        <w:rPr>
          <w:rFonts w:ascii="Times New Roman" w:hAnsi="Times New Roman" w:eastAsia="方正小标宋_GBK" w:cs="Times New Roman"/>
          <w:color w:val="000000" w:themeColor="text1"/>
          <w:sz w:val="36"/>
          <w:szCs w:val="36"/>
          <w14:textFill>
            <w14:solidFill>
              <w14:schemeClr w14:val="tx1"/>
            </w14:solidFill>
          </w14:textFill>
        </w:rPr>
        <w:t xml:space="preserve">第一章  </w:t>
      </w:r>
      <w:r>
        <w:rPr>
          <w:rFonts w:hint="eastAsia" w:ascii="Times New Roman" w:hAnsi="Times New Roman" w:eastAsia="方正小标宋_GBK" w:cs="Times New Roman"/>
          <w:color w:val="000000" w:themeColor="text1"/>
          <w:sz w:val="36"/>
          <w:szCs w:val="36"/>
          <w:lang w:eastAsia="zh-CN"/>
          <w14:textFill>
            <w14:solidFill>
              <w14:schemeClr w14:val="tx1"/>
            </w14:solidFill>
          </w14:textFill>
        </w:rPr>
        <w:t>“</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十四五</w:t>
      </w:r>
      <w:r>
        <w:rPr>
          <w:rFonts w:hint="eastAsia" w:ascii="Times New Roman" w:hAnsi="Times New Roman" w:eastAsia="方正小标宋_GBK" w:cs="Times New Roman"/>
          <w:color w:val="000000" w:themeColor="text1"/>
          <w:sz w:val="36"/>
          <w:szCs w:val="36"/>
          <w:lang w:eastAsia="zh-CN"/>
          <w14:textFill>
            <w14:solidFill>
              <w14:schemeClr w14:val="tx1"/>
            </w14:solidFill>
          </w14:textFill>
        </w:rPr>
        <w:t>”</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主要成效</w:t>
      </w:r>
      <w:bookmarkEnd w:id="10"/>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十四五”时期，在市委、市政府正确领导及贵州省林业局的大力支持下，贵阳林业以“林长制”为抓手，坚持以高质量发展统揽全局，深入践行“两山”理论，牢牢守好发展和生态两条底线，顺利完成了“十四五”林业保护发展规划目标。截至2025年，贵阳市林地面积620.9万亩，森林覆盖率按原来计算标准为55.47%、新口径为46.50%，森林蓄积量达到2920万立方米，草地面积6.68万亩，湿地面积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6.43</w:t>
      </w:r>
      <w:r>
        <w:rPr>
          <w:rFonts w:ascii="Times New Roman" w:hAnsi="Times New Roman" w:eastAsia="仿宋_GB2312" w:cs="Times New Roman"/>
          <w:color w:val="000000" w:themeColor="text1"/>
          <w:sz w:val="32"/>
          <w:szCs w:val="32"/>
          <w14:textFill>
            <w14:solidFill>
              <w14:schemeClr w14:val="tx1"/>
            </w14:solidFill>
          </w14:textFill>
        </w:rPr>
        <w:t>万亩；贵安新区林地面积23.46万亩，森林覆盖率按原来计算标准为30.55%、新口径为24.22%，森林蓄积量达到113万立方米，草地面积1.78万亩，湿地面积2.</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76</w:t>
      </w:r>
      <w:r>
        <w:rPr>
          <w:rFonts w:ascii="Times New Roman" w:hAnsi="Times New Roman" w:eastAsia="仿宋_GB2312" w:cs="Times New Roman"/>
          <w:color w:val="000000" w:themeColor="text1"/>
          <w:sz w:val="32"/>
          <w:szCs w:val="32"/>
          <w14:textFill>
            <w14:solidFill>
              <w14:schemeClr w14:val="tx1"/>
            </w14:solidFill>
          </w14:textFill>
        </w:rPr>
        <w:t>万亩。</w:t>
      </w:r>
    </w:p>
    <w:bookmarkEnd w:id="11"/>
    <w:p>
      <w:pPr>
        <w:spacing w:line="570" w:lineRule="exact"/>
        <w:ind w:firstLine="640" w:firstLineChars="200"/>
        <w:outlineLvl w:val="2"/>
        <w:rPr>
          <w:rFonts w:hint="eastAsia" w:ascii="Times New Roman" w:hAnsi="Times New Roman" w:eastAsia="黑体" w:cs="Times New Roman"/>
          <w:color w:val="000000" w:themeColor="text1"/>
          <w:sz w:val="32"/>
          <w:szCs w:val="32"/>
          <w:lang w:eastAsia="zh-CN"/>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一、重林引领，治理体系实现新突破</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林长制工作纵深推进，制定印发林长制工作方案和巡林巡查、履职规范等9项配套制度，将林长制纳入市县高质量绩效评价考核、生态文明建设目标专项考核和党校培训范畴。创新构建“领导领治、部门联治、基层共治”的林业治理新格局，形成“督促协调在市、责任落实在县、组织实施在乡、保护发展在村”的四级林长制工作体系。林长制考核实施五年来，四年位居全省第一，获得省政府督查激励，花溪区林长制入选国家林长制典型案例。</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生态文化品牌持续擦亮。建成阿哈湖湿地宣教中心、登高云山森林公园宣教馆、长坡岭森林公园森林体验教育中心三个生态文明宣传教育场馆。长坡岭国家森林公园中德合作森林体验教育基地先后获“全国自然教育基地”“贵州省自然教育基地”等称号。阿哈湖湿地宣教中心获科技部、国家林草局首批命名科普基地并创办阿哈湖自然观察节。全市建成国家、省级自然教育基地43个，自然教育走在全国前列。</w:t>
      </w:r>
    </w:p>
    <w:p>
      <w:pPr>
        <w:spacing w:line="570" w:lineRule="exact"/>
        <w:ind w:firstLine="640" w:firstLineChars="200"/>
        <w:outlineLvl w:val="2"/>
        <w:rPr>
          <w:rFonts w:hint="eastAsia" w:ascii="Times New Roman" w:hAnsi="Times New Roman" w:eastAsia="黑体" w:cs="Times New Roman"/>
          <w:color w:val="000000" w:themeColor="text1"/>
          <w:sz w:val="32"/>
          <w:szCs w:val="32"/>
          <w:lang w:eastAsia="zh-CN"/>
          <w14:textFill>
            <w14:solidFill>
              <w14:schemeClr w14:val="tx1"/>
            </w14:solidFill>
          </w14:textFill>
        </w:rPr>
      </w:pPr>
      <w:bookmarkStart w:id="12" w:name="OLE_LINK2"/>
      <w:bookmarkStart w:id="13" w:name="OLE_LINK3"/>
      <w:bookmarkStart w:id="14" w:name="OLE_LINK12"/>
      <w:r>
        <w:rPr>
          <w:rFonts w:ascii="Times New Roman" w:hAnsi="Times New Roman" w:eastAsia="黑体" w:cs="Times New Roman"/>
          <w:color w:val="000000" w:themeColor="text1"/>
          <w:sz w:val="32"/>
          <w:szCs w:val="32"/>
          <w14:textFill>
            <w14:solidFill>
              <w14:schemeClr w14:val="tx1"/>
            </w14:solidFill>
          </w14:textFill>
        </w:rPr>
        <w:t>二、造林筑基，森林质量获得新提升</w:t>
      </w:r>
      <w:bookmarkEnd w:id="12"/>
      <w:bookmarkEnd w:id="13"/>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围绕构建全域森林、健康森林、共享森林、文化森林、富民森林，大力实施环城林带森林质量精准提升、通道绿化美化、美丽乡村绿化、“双重”等林业生态工程。累计完成森林质量精准提升44万亩，治理石漠化保护修复面积31.5万亩，实施森林经营面积150.05万亩，开展乡村绿化美化建设面积2.5万亩，构建起“推窗见绿、出门见景”的国家森林城市绿化格局。同时，通过持续优化林分结构、加强中幼林抚育、推进低质低效林改造，森林生态系统稳定性不断增强，森林蓄积量稳步提升至2920万立方米，乔木林地单位面积蓄积量达99.8立方米/公顷。全市森林资源实现质的提升和量的持续增长，林城贵阳的“绿色家底”更加厚实、“多彩森林”更加丰富。</w:t>
      </w:r>
    </w:p>
    <w:bookmarkEnd w:id="14"/>
    <w:p>
      <w:pPr>
        <w:spacing w:line="570" w:lineRule="exact"/>
        <w:ind w:firstLine="640" w:firstLineChars="200"/>
        <w:outlineLvl w:val="2"/>
        <w:rPr>
          <w:rFonts w:hint="eastAsia" w:ascii="Times New Roman" w:hAnsi="Times New Roman" w:eastAsia="黑体" w:cs="Times New Roman"/>
          <w:color w:val="000000" w:themeColor="text1"/>
          <w:sz w:val="32"/>
          <w:szCs w:val="32"/>
          <w:lang w:eastAsia="zh-CN"/>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三、营林富民，林业产业迈上新台阶</w:t>
      </w:r>
    </w:p>
    <w:p>
      <w:pPr>
        <w:spacing w:line="57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依托丰富的森林、山地资源和区位优势，大力发展林业产业，初步形成以林下经济为主导、特色林业产业为延伸、森林旅游康养为引领的现代林业产业格局。打造200亩以上的林下种植基地31个，林下经济利用林地面积达247.51万亩。推进林下中药材生态化种植，实施中药材“上山入林”工程，推广“定制药园”模式，获评全省林下中药材种植定制药园3家。林下经济全产业链产值从2020年的78.66亿元增加到2025年的124.98亿元，年均增速达9.7%，助农增收成效明显。</w:t>
      </w:r>
    </w:p>
    <w:p>
      <w:pPr>
        <w:spacing w:line="57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大力发展森林生态旅游、森林康养、自然教育等新业态，打造全域森林康养试点县区3个、国家森林康养基地2个、省级森林康养基地4个。创新推出“生态修复·景观”“林下种植·体验”“花旅融合·观赏”三大模式，推动花卉产业与旅游融合发展，打造贵安梅园、贵安绣球园等花旅融合体验基地4个，“林花经济”成效凸显。</w:t>
      </w:r>
    </w:p>
    <w:p>
      <w:pPr>
        <w:spacing w:line="570" w:lineRule="exact"/>
        <w:ind w:firstLine="640" w:firstLineChars="200"/>
        <w:outlineLvl w:val="2"/>
        <w:rPr>
          <w:rFonts w:hint="eastAsia" w:ascii="Times New Roman" w:hAnsi="Times New Roman" w:eastAsia="黑体" w:cs="Times New Roman"/>
          <w:color w:val="000000" w:themeColor="text1"/>
          <w:sz w:val="32"/>
          <w:szCs w:val="32"/>
          <w:lang w:eastAsia="zh-CN"/>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四、治林护安，资源保护得到新加强</w:t>
      </w:r>
    </w:p>
    <w:p>
      <w:pPr>
        <w:spacing w:line="57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在全省率先建立落实“林长+检察长”“林长+庭长”“林长+警长”工作协作机制，形成打击涉林违法行为的强大合力，实现违法案件、违法面积逐年下降。强化自然保护地联动监管机制，有序推进“绿盾”问题整改，累计销号160个。松材线虫病疫情防控“三进三除”经验做法获国家林草局表扬肯定，获评全国松材线虫病防控攻坚行动先进单位。</w:t>
      </w:r>
    </w:p>
    <w:p>
      <w:pPr>
        <w:spacing w:line="570" w:lineRule="exact"/>
        <w:ind w:firstLine="640" w:firstLineChars="200"/>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保障支撑持续加强。建成“一平台、四系统”的“天空地一体化”贵阳智慧林业云平台，实现森林资源“一张图”数字化管理，“智慧林业”品牌入选国家林草局科技推广成果库。各区（市、县）完成森林防火专业队组建，在全省率先实现有林乡（镇）半专业队伍全覆盖，国内首创森林防火“驾驶舱”，获评“国家林草局全国森林草原防火工作先进单位”。获批建设首个国家级“贵州贵阳城市生态系统定位观测研究站”。</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五、林改赋能，内生动力获得新激发</w:t>
      </w:r>
    </w:p>
    <w:p>
      <w:pPr>
        <w:spacing w:line="570" w:lineRule="exact"/>
        <w:ind w:firstLine="640" w:firstLineChars="200"/>
        <w:rPr>
          <w:rFonts w:hint="eastAsia" w:ascii="Times New Roman" w:hAnsi="Times New Roman" w:eastAsia="仿宋_GB2312" w:cs="Times New Roman"/>
          <w:color w:val="000000" w:themeColor="text1"/>
          <w:sz w:val="32"/>
          <w:szCs w:val="32"/>
          <w:lang w:eastAsia="zh-CN"/>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制定实施《贵阳贵安深化集体林权制度改革重点任务清单》，系统推进32项重点林改任务落地见效。全面推进开阳县集体林权制度改革试点，出台《开阳县林权流转工作机制（试行）》《不动产权登记发证机制及林地经营权抵押备案机制（试行）》《开阳风景名胜区内特许经营项目有偿使用集体林地经营权的制度（试行）》等配套制度，建成股份</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制</w:t>
      </w:r>
      <w:r>
        <w:rPr>
          <w:rFonts w:hint="eastAsia" w:ascii="Times New Roman" w:hAnsi="Times New Roman" w:eastAsia="仿宋_GB2312" w:cs="Times New Roman"/>
          <w:color w:val="000000" w:themeColor="text1"/>
          <w:sz w:val="32"/>
          <w:szCs w:val="32"/>
          <w14:textFill>
            <w14:solidFill>
              <w14:schemeClr w14:val="tx1"/>
            </w14:solidFill>
          </w14:textFill>
        </w:rPr>
        <w:t>合作林场8个，有力支持开阳县获选第一批省级集体林业大县。助推花溪区按照“林权入股、集约经营”模式探索建立全省首个村级联户林场。同时，有序推动林业碳汇开发等各项改革任务。森林覆盖率交易试点经验获《中国绿色时报》以《贵州探索建立生态补偿机制试点》《贵州省积极探索建立横向生态补偿机制》为题报道，并被“贵州改革”作为典型经验推广。在全省率先提出并实践“森林碳票+生态修复+生态损害赔偿”模式，应用于违法使用林地案件的异地复绿工作，形成创新性生态修复机制</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p>
    <w:p>
      <w:pPr>
        <w:spacing w:before="312" w:beforeLines="100" w:after="312" w:afterLines="100" w:line="600" w:lineRule="exact"/>
        <w:jc w:val="center"/>
        <w:outlineLvl w:val="0"/>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pPr>
      <w:bookmarkStart w:id="15" w:name="_Toc3800"/>
      <w:r>
        <w:rPr>
          <w:rFonts w:ascii="Times New Roman" w:hAnsi="Times New Roman" w:eastAsia="方正小标宋_GBK" w:cs="Times New Roman"/>
          <w:color w:val="000000" w:themeColor="text1"/>
          <w:sz w:val="36"/>
          <w:szCs w:val="36"/>
          <w:lang w:val="en-US"/>
          <w14:textFill>
            <w14:solidFill>
              <w14:schemeClr w14:val="tx1"/>
            </w14:solidFill>
          </w14:textFill>
        </w:rPr>
        <w:t>第二</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章</w:t>
      </w:r>
      <w:r>
        <w:rPr>
          <w:rFonts w:ascii="Times New Roman" w:hAnsi="Times New Roman" w:eastAsia="方正小标宋_GBK" w:cs="Times New Roman"/>
          <w:color w:val="000000" w:themeColor="text1"/>
          <w:sz w:val="36"/>
          <w:szCs w:val="36"/>
          <w:lang w:val="en-US"/>
          <w14:textFill>
            <w14:solidFill>
              <w14:schemeClr w14:val="tx1"/>
            </w14:solidFill>
          </w14:textFill>
        </w:rPr>
        <w:t xml:space="preserve">  </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“十五五”林业发展形势</w:t>
      </w:r>
      <w:bookmarkEnd w:id="15"/>
    </w:p>
    <w:p>
      <w:pPr>
        <w:pStyle w:val="9"/>
        <w:spacing w:before="156" w:beforeLines="50" w:after="156" w:afterLines="50" w:line="570" w:lineRule="exact"/>
        <w:jc w:val="center"/>
        <w:rPr>
          <w:rFonts w:hint="default" w:ascii="Times New Roman" w:hAnsi="Times New Roman" w:eastAsia="黑体" w:cs="Times New Roman"/>
          <w:bCs/>
          <w:color w:val="000000" w:themeColor="text1"/>
          <w:lang w:val="en-US" w:eastAsia="zh-CN"/>
          <w14:textFill>
            <w14:solidFill>
              <w14:schemeClr w14:val="tx1"/>
            </w14:solidFill>
          </w14:textFill>
        </w:rPr>
      </w:pPr>
      <w:bookmarkStart w:id="16" w:name="_Toc4155"/>
      <w:r>
        <w:rPr>
          <w:rFonts w:hint="eastAsia" w:ascii="Times New Roman" w:hAnsi="Times New Roman" w:eastAsia="黑体" w:cs="Times New Roman"/>
          <w:bCs/>
          <w:color w:val="000000" w:themeColor="text1"/>
          <w:lang w:val="en-US" w:eastAsia="zh-CN"/>
          <w14:textFill>
            <w14:solidFill>
              <w14:schemeClr w14:val="tx1"/>
            </w14:solidFill>
          </w14:textFill>
        </w:rPr>
        <w:t>第一节  发展机遇</w:t>
      </w:r>
      <w:bookmarkEnd w:id="16"/>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“十五五”时期，贵阳贵安林业发展面临一系列重大战略机遇，必须准确把握、乘势而上。</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一、锚定</w:t>
      </w:r>
      <w:r>
        <w:rPr>
          <w:rFonts w:hint="eastAsia" w:ascii="Times New Roman" w:hAnsi="Times New Roman" w:eastAsia="黑体" w:cs="Times New Roman"/>
          <w:color w:val="000000" w:themeColor="text1"/>
          <w:sz w:val="32"/>
          <w:szCs w:val="32"/>
          <w:lang w:val="en-US" w:eastAsia="zh-CN"/>
          <w14:textFill>
            <w14:solidFill>
              <w14:schemeClr w14:val="tx1"/>
            </w14:solidFill>
          </w14:textFill>
        </w:rPr>
        <w:t>根本</w:t>
      </w:r>
      <w:r>
        <w:rPr>
          <w:rFonts w:ascii="Times New Roman" w:hAnsi="Times New Roman" w:eastAsia="黑体" w:cs="Times New Roman"/>
          <w:color w:val="000000" w:themeColor="text1"/>
          <w:sz w:val="32"/>
          <w:szCs w:val="32"/>
          <w14:textFill>
            <w14:solidFill>
              <w14:schemeClr w14:val="tx1"/>
            </w14:solidFill>
          </w14:textFill>
        </w:rPr>
        <w:t>遵循，启航生态新征程</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习近平总书记鲜明提出“林草兴则生态兴、生态兴则文明兴”重大论断，全方位确立了林草事业基础性、战略性、全局性核心地位。</w:t>
      </w:r>
      <w:r>
        <w:rPr>
          <w:rFonts w:ascii="Times New Roman" w:hAnsi="Times New Roman" w:eastAsia="仿宋_GB2312" w:cs="Times New Roman"/>
          <w:color w:val="000000" w:themeColor="text1"/>
          <w:sz w:val="32"/>
          <w:szCs w:val="32"/>
          <w14:textFill>
            <w14:solidFill>
              <w14:schemeClr w14:val="tx1"/>
            </w14:solidFill>
          </w14:textFill>
        </w:rPr>
        <w:t>总书记三次到贵州考察，先后作出“守好发展和生态两条底线”“在生态文明建设上出新绩”“要保护好生态环境，努力把生态优势转化为发展优势”等重要指示，为贵州林草发展锚定</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了</w:t>
      </w:r>
      <w:r>
        <w:rPr>
          <w:rFonts w:ascii="Times New Roman" w:hAnsi="Times New Roman" w:eastAsia="仿宋_GB2312" w:cs="Times New Roman"/>
          <w:color w:val="000000" w:themeColor="text1"/>
          <w:sz w:val="32"/>
          <w:szCs w:val="32"/>
          <w14:textFill>
            <w14:solidFill>
              <w14:schemeClr w14:val="tx1"/>
            </w14:solidFill>
          </w14:textFill>
        </w:rPr>
        <w:t>方向、明确</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了</w:t>
      </w:r>
      <w:r>
        <w:rPr>
          <w:rFonts w:ascii="Times New Roman" w:hAnsi="Times New Roman" w:eastAsia="仿宋_GB2312" w:cs="Times New Roman"/>
          <w:color w:val="000000" w:themeColor="text1"/>
          <w:sz w:val="32"/>
          <w:szCs w:val="32"/>
          <w14:textFill>
            <w14:solidFill>
              <w14:schemeClr w14:val="tx1"/>
            </w14:solidFill>
          </w14:textFill>
        </w:rPr>
        <w:t>路径。《国务院关于支持贵州在新时代西部大开发上闯新路的意见》（国发〔2022〕2号）明确支持贵州打造生态文明建设先行区，为林业改革发展搭建了政策平台、创造了有利条件。</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w:t>
      </w:r>
      <w:r>
        <w:rPr>
          <w:rFonts w:hint="eastAsia" w:ascii="Times New Roman" w:hAnsi="Times New Roman" w:eastAsia="黑体" w:cs="Times New Roman"/>
          <w:color w:val="000000" w:themeColor="text1"/>
          <w:sz w:val="32"/>
          <w:szCs w:val="32"/>
          <w:lang w:val="en-US" w:eastAsia="zh-CN"/>
          <w14:textFill>
            <w14:solidFill>
              <w14:schemeClr w14:val="tx1"/>
            </w14:solidFill>
          </w14:textFill>
        </w:rPr>
        <w:t>融入国家战略，找准林业新机遇</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贵阳贵安地处长江水系与珠江水系分水岭，全域已纳入《全国重要生态系统保护和修复重大工程总体规划（2021-2035年）》中的长江重点生态区，肩负筑牢“两江”上游重要生态屏障的战略使命。国家实施重要生态系统保护和修复重大工程，为加强森林、草地和湿地生态保护修复、提升森林质量、巩固石漠化治理成效提供了重大政策窗口。</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三、赋能乡村振兴，搭建林草新</w:t>
      </w:r>
      <w:r>
        <w:rPr>
          <w:rFonts w:hint="eastAsia" w:ascii="Times New Roman" w:hAnsi="Times New Roman" w:eastAsia="黑体" w:cs="Times New Roman"/>
          <w:color w:val="000000" w:themeColor="text1"/>
          <w:sz w:val="32"/>
          <w:szCs w:val="32"/>
          <w:lang w:val="en-US" w:eastAsia="zh-CN"/>
          <w14:textFill>
            <w14:solidFill>
              <w14:schemeClr w14:val="tx1"/>
            </w14:solidFill>
          </w14:textFill>
        </w:rPr>
        <w:t>舞</w:t>
      </w:r>
      <w:r>
        <w:rPr>
          <w:rFonts w:ascii="Times New Roman" w:hAnsi="Times New Roman" w:eastAsia="黑体" w:cs="Times New Roman"/>
          <w:color w:val="000000" w:themeColor="text1"/>
          <w:sz w:val="32"/>
          <w:szCs w:val="32"/>
          <w14:textFill>
            <w14:solidFill>
              <w14:schemeClr w14:val="tx1"/>
            </w14:solidFill>
          </w14:textFill>
        </w:rPr>
        <w:t>台</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贵州省委2025年一号文件提出“深化农村改革，扎实推进乡村全面振兴”。贵阳作为典型喀斯特地区，林草是乡村振兴主战场。发挥森林“四库”功能，</w:t>
      </w:r>
      <w:r>
        <w:rPr>
          <w:rFonts w:ascii="Times New Roman" w:hAnsi="Times New Roman" w:eastAsia="仿宋_GB2312" w:cs="Times New Roman"/>
          <w:color w:val="000000" w:themeColor="text1"/>
          <w:sz w:val="32"/>
          <w:szCs w:val="32"/>
          <w:lang w:val="en-US" w:eastAsia="zh-CN"/>
          <w14:textFill>
            <w14:solidFill>
              <w14:schemeClr w14:val="tx1"/>
            </w14:solidFill>
          </w14:textFill>
        </w:rPr>
        <w:t>培优做强林下经济、森林康养、生态文旅、林业碳汇等绿色富民产业</w:t>
      </w:r>
      <w:r>
        <w:rPr>
          <w:rFonts w:ascii="Times New Roman" w:hAnsi="Times New Roman" w:eastAsia="仿宋_GB2312" w:cs="Times New Roman"/>
          <w:color w:val="000000" w:themeColor="text1"/>
          <w:sz w:val="32"/>
          <w:szCs w:val="32"/>
          <w14:textFill>
            <w14:solidFill>
              <w14:schemeClr w14:val="tx1"/>
            </w14:solidFill>
          </w14:textFill>
        </w:rPr>
        <w:t>，既是林业发展的内在要求，也是服务乡村振兴的重要路径。通过系统推进林草事业高质量发展，实现生态美、产业兴、百姓富的有机统一。</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四、深化生态立市，激活林业新动能</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市第十一次党代会明确提出“四主四市”发展战略，将“生态立市”作为“四市”之首。2022年提出“五林”工作路径，将国家森林城市纳入“三城共建”，林地改革成为“四块地”改革重点突破之一。“生态立市”战略将林业项目与城市建设、乡村振兴、基础设施等紧密捆绑，为争取稳定多元的财政资金投入、吸引社会资本进入生态修复和产业发展领域创造了有利条件。</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五、升级品质需求，拓展生态新空间</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作为“避暑之都”，贵阳已进入提供更多优质生态产品满足人民日益增长需要的攻坚期。</w:t>
      </w:r>
      <w:r>
        <w:rPr>
          <w:rFonts w:ascii="Times New Roman" w:hAnsi="Times New Roman" w:eastAsia="仿宋_GB2312" w:cs="Times New Roman"/>
          <w:color w:val="000000" w:themeColor="text1"/>
          <w:sz w:val="32"/>
          <w:szCs w:val="32"/>
          <w:lang w:val="en-US" w:eastAsia="zh-CN"/>
          <w14:textFill>
            <w14:solidFill>
              <w14:schemeClr w14:val="tx1"/>
            </w14:solidFill>
          </w14:textFill>
        </w:rPr>
        <w:t>林业兼具公益保障性与基础产业性双重属性，既是优质生态产品核心供给主体，也是稳生态、固碳汇、兴产业、富群众的关键支撑载体。</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要</w:t>
      </w:r>
      <w:r>
        <w:rPr>
          <w:rFonts w:ascii="Times New Roman" w:hAnsi="Times New Roman" w:eastAsia="仿宋_GB2312" w:cs="Times New Roman"/>
          <w:color w:val="000000" w:themeColor="text1"/>
          <w:sz w:val="32"/>
          <w:szCs w:val="32"/>
          <w14:textFill>
            <w14:solidFill>
              <w14:schemeClr w14:val="tx1"/>
            </w14:solidFill>
          </w14:textFill>
        </w:rPr>
        <w:t>紧扣碳达峰碳中和目标</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依托生态产品价值实现机制改</w:t>
      </w:r>
      <w:r>
        <w:rPr>
          <w:rFonts w:ascii="Times New Roman" w:hAnsi="Times New Roman" w:eastAsia="仿宋_GB2312" w:cs="Times New Roman"/>
          <w:color w:val="000000" w:themeColor="text1"/>
          <w:sz w:val="32"/>
          <w:szCs w:val="32"/>
          <w:lang w:val="en-US" w:eastAsia="zh-CN"/>
          <w14:textFill>
            <w14:solidFill>
              <w14:schemeClr w14:val="tx1"/>
            </w14:solidFill>
          </w14:textFill>
        </w:rPr>
        <w:t>革，持续扩容普惠优质生态公共产品供给，</w:t>
      </w:r>
      <w:r>
        <w:rPr>
          <w:rFonts w:ascii="Times New Roman" w:hAnsi="Times New Roman" w:eastAsia="仿宋_GB2312" w:cs="Times New Roman"/>
          <w:color w:val="000000" w:themeColor="text1"/>
          <w:sz w:val="32"/>
          <w:szCs w:val="32"/>
          <w14:textFill>
            <w14:solidFill>
              <w14:schemeClr w14:val="tx1"/>
            </w14:solidFill>
          </w14:textFill>
        </w:rPr>
        <w:t>为社会提供更丰富、更优质的林业生态产品，更好满足人民群众对美好生活的需求。</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17" w:name="_Toc11659"/>
      <w:bookmarkStart w:id="18" w:name="OLE_LINK4"/>
      <w:r>
        <w:rPr>
          <w:rFonts w:ascii="Times New Roman" w:hAnsi="Times New Roman" w:eastAsia="黑体" w:cs="Times New Roman"/>
          <w:bCs/>
          <w:color w:val="000000" w:themeColor="text1"/>
          <w:lang w:val="en-US"/>
          <w14:textFill>
            <w14:solidFill>
              <w14:schemeClr w14:val="tx1"/>
            </w14:solidFill>
          </w14:textFill>
        </w:rPr>
        <w:t>第</w:t>
      </w:r>
      <w:r>
        <w:rPr>
          <w:rFonts w:hint="eastAsia" w:ascii="Times New Roman" w:hAnsi="Times New Roman" w:eastAsia="黑体" w:cs="Times New Roman"/>
          <w:bCs/>
          <w:color w:val="000000" w:themeColor="text1"/>
          <w:lang w:val="en-US" w:eastAsia="zh-CN"/>
          <w14:textFill>
            <w14:solidFill>
              <w14:schemeClr w14:val="tx1"/>
            </w14:solidFill>
          </w14:textFill>
        </w:rPr>
        <w:t>二</w:t>
      </w:r>
      <w:r>
        <w:rPr>
          <w:rFonts w:ascii="Times New Roman" w:hAnsi="Times New Roman" w:eastAsia="黑体" w:cs="Times New Roman"/>
          <w:bCs/>
          <w:color w:val="000000" w:themeColor="text1"/>
          <w:lang w:val="en-US"/>
          <w14:textFill>
            <w14:solidFill>
              <w14:schemeClr w14:val="tx1"/>
            </w14:solidFill>
          </w14:textFill>
        </w:rPr>
        <w:t>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面临挑战</w:t>
      </w:r>
      <w:bookmarkEnd w:id="17"/>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bookmarkStart w:id="19" w:name="OLE_LINK5"/>
      <w:r>
        <w:rPr>
          <w:rFonts w:hint="eastAsia" w:ascii="Times New Roman" w:hAnsi="Times New Roman" w:eastAsia="仿宋_GB2312" w:cs="Times New Roman"/>
          <w:color w:val="000000" w:themeColor="text1"/>
          <w:sz w:val="32"/>
          <w:szCs w:val="32"/>
          <w14:textFill>
            <w14:solidFill>
              <w14:schemeClr w14:val="tx1"/>
            </w14:solidFill>
          </w14:textFill>
        </w:rPr>
        <w:t>对标“生态立市”战略要求和人民群众对美好生态环境的期盼，贵阳贵安林业发展仍面临体制机制、资源质量、产业体系、治理能力等方面的突出挑战。</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14:textFill>
            <w14:solidFill>
              <w14:schemeClr w14:val="tx1"/>
            </w14:solidFill>
          </w14:textFill>
        </w:rPr>
        <w:t>一、“两山”转化不畅，体制机制亟待突破</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贵阳贵安持续深化集体林权制度改革，积极探索经营权流转和集约经营机制，激活了林业活力，但历史形成的林地、林权分散性、碎片化问题突出，历史遗留林权纠纷尚未完全解决，流转机制不健全，导致社会资本“进山入林”面临现实阻碍，影响规模化、集约化经营，林业产业发展规模小、散、弱问题依然存在。林业投融资、税收优惠、数字经济等扶持政策尚未健全，优势生态资源尚未有效转化为经济优势。</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14:textFill>
            <w14:solidFill>
              <w14:schemeClr w14:val="tx1"/>
            </w14:solidFill>
          </w14:textFill>
        </w:rPr>
        <w:t>二、森林质量不高，优质生态产品供给不足</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贵阳贵安树种结构单一，针叶纯林占比较大，以马尾松、杉木为主。龄组结构不合理，中幼林占比较高。森林结构不完整，林下植被稀疏，森林生态系统涵养水源、保持水土、增加碳汇、抵御自然灾害的生态功能有待提升，提供优质生态产品的能力还需持续增强。森林资源质量不高、总量不足，影响林产品开发，难以满足市场对绿色、有机、健康林产品的需求。作为省会城市，森林彩化、香化、珍贵化树种不足，一定程度上降低了康养、旅游和自然教育活动的吸引力与价值，影响文化类产品输出。</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14:textFill>
            <w14:solidFill>
              <w14:schemeClr w14:val="tx1"/>
            </w14:solidFill>
          </w14:textFill>
        </w:rPr>
        <w:t>三、产业基础薄弱，现代产业体系建设滞后</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科技创新支撑的短板依然明显，林业新质生产力培育能力不足，现有精深加工生产设备和工艺较为落后。社会资本进入林业产业发展的参与度低，贡献度小。林区基础设施建设主要靠财政支撑，企业及社会资本投入比重小，金融产品较少（仅“贵林贷”“欲林快贷”），融资难度较大，导致产业种植基地水、电、路、通讯等基础设施薄弱，发展后劲不足。林产品精深加工水平较低，产业链条短，产品科技含量和附加值不高，品牌效应尚未全面形成，市场竞争力弱。投入机制和利益联结机制不完善，制约现代林业产业体系发展。</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14:textFill>
            <w14:solidFill>
              <w14:schemeClr w14:val="tx1"/>
            </w14:solidFill>
          </w14:textFill>
        </w:rPr>
        <w:t>四、治理能力不足，高质量发展面临制约</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国有林场与集体林区联动不足，林业规模化、集约化经营受限，资源培育和经营管理水平有待提升。大数据、云计算、物联网、人工智能、虚拟现实等新一代信息技术在林草行业应用处于起步阶段，融合应用不足，网络和信息安全基础自主可控能力有待加强。林草科技创新平台支撑不够，难以有效承载数字技术、绿色低碳等前沿领域的研发与转化需求。林区通讯基础设施薄弱，基层林业机构和管理人员弱化，对全面履行林业职责、提升现代治理能力和创新能力带来诸多挑战。</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footerReference r:id="rId5" w:type="default"/>
          <w:pgSz w:w="11906" w:h="16838"/>
          <w:pgMar w:top="1440" w:right="1800" w:bottom="1440" w:left="1800" w:header="851" w:footer="992" w:gutter="0"/>
          <w:pgNumType w:start="1"/>
          <w:cols w:space="425" w:num="1"/>
          <w:docGrid w:type="lines" w:linePitch="312" w:charSpace="0"/>
        </w:sect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20" w:name="_Toc1381"/>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三</w:t>
      </w:r>
      <w:r>
        <w:rPr>
          <w:rFonts w:ascii="Times New Roman" w:hAnsi="Times New Roman" w:eastAsia="方正小标宋_GBK" w:cs="Times New Roman"/>
          <w:color w:val="000000" w:themeColor="text1"/>
          <w:sz w:val="36"/>
          <w:szCs w:val="36"/>
          <w14:textFill>
            <w14:solidFill>
              <w14:schemeClr w14:val="tx1"/>
            </w14:solidFill>
          </w14:textFill>
        </w:rPr>
        <w:t>章  总体思路</w:t>
      </w:r>
      <w:bookmarkEnd w:id="20"/>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1" w:name="_Toc29159"/>
      <w:r>
        <w:rPr>
          <w:rFonts w:ascii="Times New Roman" w:hAnsi="Times New Roman" w:eastAsia="黑体" w:cs="Times New Roman"/>
          <w:bCs/>
          <w:color w:val="000000" w:themeColor="text1"/>
          <w:lang w:val="en-US"/>
          <w14:textFill>
            <w14:solidFill>
              <w14:schemeClr w14:val="tx1"/>
            </w14:solidFill>
          </w14:textFill>
        </w:rPr>
        <w:t>第一节  指导思想</w:t>
      </w:r>
      <w:bookmarkEnd w:id="21"/>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bookmarkStart w:id="22" w:name="OLE_LINK22"/>
      <w:r>
        <w:rPr>
          <w:rFonts w:hint="eastAsia" w:ascii="Times New Roman" w:hAnsi="Times New Roman" w:eastAsia="仿宋_GB2312" w:cs="Times New Roman"/>
          <w:color w:val="000000" w:themeColor="text1"/>
          <w:sz w:val="32"/>
          <w:szCs w:val="32"/>
          <w14:textFill>
            <w14:solidFill>
              <w14:schemeClr w14:val="tx1"/>
            </w14:solidFill>
          </w14:textFill>
        </w:rPr>
        <w:t>以习近平新时代中国特色社会主义思想为指导，深入践行习近平生态文明思想，认真落实习近平总书记关于“三绿”并举、“四库”联动、提质兴业利民等重要指示精神，紧密结合习近平总书记对贵州、贵阳贵安工作的重要指示要求，全面落实省委、市委历次全会决策部署，牢固树立和践行绿水青山就是金山银山理念，坚定不移实施“生态立市”战略。坚持山水林田湖草一体化保护和系统治理，统筹科学保护、系统治理、合理利用，统筹林草资源管理与国土空间治理，</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着力提升“林长制”统筹力、“五林”落实力、产业突破力、科技支撑力、项目承载力、文化软实力、队伍战斗力，</w:t>
      </w:r>
      <w:r>
        <w:rPr>
          <w:rFonts w:hint="eastAsia" w:ascii="Times New Roman" w:hAnsi="Times New Roman" w:eastAsia="仿宋_GB2312" w:cs="Times New Roman"/>
          <w:color w:val="000000" w:themeColor="text1"/>
          <w:sz w:val="32"/>
          <w:szCs w:val="32"/>
          <w14:textFill>
            <w14:solidFill>
              <w14:schemeClr w14:val="tx1"/>
            </w14:solidFill>
          </w14:textFill>
        </w:rPr>
        <w:t>持续强化林业生态比较优势。发挥省会城市引领示范作用，打造全省林草高质量发展样板区、“两山”转化先行区、林草改革创新试验区，以“含绿量”提升发展的“含金量”，为建设人与自然和谐共生的现代化贵阳贵安贡献林业力量。</w:t>
      </w:r>
    </w:p>
    <w:bookmarkEnd w:id="22"/>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3" w:name="_Toc1501"/>
      <w:r>
        <w:rPr>
          <w:rFonts w:ascii="Times New Roman" w:hAnsi="Times New Roman" w:eastAsia="黑体" w:cs="Times New Roman"/>
          <w:bCs/>
          <w:color w:val="000000" w:themeColor="text1"/>
          <w:lang w:val="en-US"/>
          <w14:textFill>
            <w14:solidFill>
              <w14:schemeClr w14:val="tx1"/>
            </w14:solidFill>
          </w14:textFill>
        </w:rPr>
        <w:t>第二节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基本原则</w:t>
      </w:r>
      <w:bookmarkEnd w:id="23"/>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一、坚持生态优先，厚植绿色本底</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定不移守好发展和生态两条底线，持续加大森林、草原、湿地等自然生态系统保护修复力度，确保生态系统安全稳定。深入践行绿水青山就是金山银山理念，统筹生态、经济、社会效益，让生产空间集约高效、生活空间宜居适度、生态空间山清水秀。</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二、坚持科学绿化，精准提质增效</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遵循自然规律和经济规律，加快推动发展方式转变，从追求“绿量”增长向提升“绿质”跃升。聚焦森林质量精准提升，着力增强生态功能和碳汇能力，构建健康稳定、优质高效的森林生态系统，夯实贵阳贵安高质量发展的绿色根基。</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三、坚持改革创新，激活内生动力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强化大数据、云计算、物联网、人工智能等新一代信息技术在林草领域的深度融合应用，以科技创新引领产业创新。把改革创新作为林业发展的根本动力，持续深化林草重点领域改革，破除体制机制障碍，加快发展林草新质生产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四、坚持统筹协调，融合发展共赢</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系统观念，将林草规划主动融入全市国土空间和经济社会发展大局。统筹林草湿资源保护与经济社会协调发展，推进“森林四库”目标融合、任务融合、政策融合，实现林草事业与文化旅游、康养旅居、自然教育、森林城市、乡村振兴互促共进、要素共享。</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4" w:name="_Toc23675"/>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发展布局</w:t>
      </w:r>
      <w:bookmarkEnd w:id="24"/>
    </w:p>
    <w:p>
      <w:pPr>
        <w:bidi w:val="0"/>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立足西南中心城市和生态休闲旅游目的地定位，深入实施“生态立市”战略，以“五林”工作为抓手，构建</w:t>
      </w:r>
      <w:r>
        <w:rPr>
          <w:rFonts w:ascii="Times New Roman" w:hAnsi="Times New Roman" w:eastAsia="仿宋_GB2312" w:cs="Times New Roman"/>
          <w:b/>
          <w:color w:val="000000" w:themeColor="text1"/>
          <w:sz w:val="32"/>
          <w:szCs w:val="32"/>
          <w14:textFill>
            <w14:solidFill>
              <w14:schemeClr w14:val="tx1"/>
            </w14:solidFill>
          </w14:textFill>
        </w:rPr>
        <w:t>“一核两带三廊四区十产百地”</w:t>
      </w:r>
      <w:r>
        <w:rPr>
          <w:rFonts w:ascii="Times New Roman" w:hAnsi="Times New Roman" w:eastAsia="仿宋_GB2312" w:cs="Times New Roman"/>
          <w:color w:val="000000" w:themeColor="text1"/>
          <w:sz w:val="32"/>
          <w:szCs w:val="32"/>
          <w14:textFill>
            <w14:solidFill>
              <w14:schemeClr w14:val="tx1"/>
            </w14:solidFill>
          </w14:textFill>
        </w:rPr>
        <w:t>林草保护发展格局。</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一核：</w:t>
      </w:r>
      <w:r>
        <w:rPr>
          <w:rFonts w:ascii="Times New Roman" w:hAnsi="Times New Roman" w:eastAsia="仿宋_GB2312" w:cs="Times New Roman"/>
          <w:color w:val="000000" w:themeColor="text1"/>
          <w:sz w:val="32"/>
          <w:szCs w:val="32"/>
          <w14:textFill>
            <w14:solidFill>
              <w14:schemeClr w14:val="tx1"/>
            </w14:solidFill>
          </w14:textFill>
        </w:rPr>
        <w:t>以阿哈湖绿核为核心，打造“城市绿心”和“生态会客厅”，完善绿道、游憩、科普等公园体系。</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两带：</w:t>
      </w:r>
      <w:r>
        <w:rPr>
          <w:rFonts w:ascii="Times New Roman" w:hAnsi="Times New Roman" w:eastAsia="仿宋_GB2312" w:cs="Times New Roman"/>
          <w:color w:val="000000" w:themeColor="text1"/>
          <w:sz w:val="32"/>
          <w:szCs w:val="32"/>
          <w14:textFill>
            <w14:solidFill>
              <w14:schemeClr w14:val="tx1"/>
            </w14:solidFill>
          </w14:textFill>
        </w:rPr>
        <w:t>以第一、第二环城林带为主体，实施退化林修复和抚育间伐，补植彩化、香化及药用药木树种，发展生态旅游、自然教育等业态。</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三廊：</w:t>
      </w:r>
      <w:r>
        <w:rPr>
          <w:rFonts w:ascii="Times New Roman" w:hAnsi="Times New Roman" w:eastAsia="仿宋_GB2312" w:cs="Times New Roman"/>
          <w:color w:val="000000" w:themeColor="text1"/>
          <w:sz w:val="32"/>
          <w:szCs w:val="32"/>
          <w14:textFill>
            <w14:solidFill>
              <w14:schemeClr w14:val="tx1"/>
            </w14:solidFill>
          </w14:textFill>
        </w:rPr>
        <w:t>以南明河、贵阳—贵安、西望山—云顶山三条生态廊道为重点，提升森林质量，加强湿地修复，构建水源涵养和生物多样性保护廊道。</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四区：</w:t>
      </w:r>
      <w:r>
        <w:rPr>
          <w:rFonts w:ascii="Times New Roman" w:hAnsi="Times New Roman" w:eastAsia="仿宋_GB2312" w:cs="Times New Roman"/>
          <w:color w:val="000000" w:themeColor="text1"/>
          <w:sz w:val="32"/>
          <w:szCs w:val="32"/>
          <w14:textFill>
            <w14:solidFill>
              <w14:schemeClr w14:val="tx1"/>
            </w14:solidFill>
          </w14:textFill>
        </w:rPr>
        <w:t>东部（云岩、南明、观山湖、经开、贵安及一环林带）打造城市森林休闲游憩区；北部（清镇西北部、修文、息烽、开阳、乌当清水江—乌江走廊）打造生态屏障区；西部（花溪、贵安、清镇饮用水源地流域）打造水源涵养区；中部（乌当大部、白云全域、息烽东南部、修文中部、开阳东南及县城周边）打造林业产业发展区。</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十产：</w:t>
      </w:r>
      <w:r>
        <w:rPr>
          <w:rFonts w:ascii="Times New Roman" w:hAnsi="Times New Roman" w:eastAsia="仿宋_GB2312" w:cs="Times New Roman"/>
          <w:color w:val="000000" w:themeColor="text1"/>
          <w:sz w:val="32"/>
          <w:szCs w:val="32"/>
          <w14:textFill>
            <w14:solidFill>
              <w14:schemeClr w14:val="tx1"/>
            </w14:solidFill>
          </w14:textFill>
        </w:rPr>
        <w:t>重点发展林下中药材、木本中药材、林下食用菌、花卉苗木、生态茶、竹产业、林蜂、战略储备林、森林生态旅游、林产品精深加工十大产业板块。</w:t>
      </w:r>
    </w:p>
    <w:p>
      <w:pPr>
        <w:bidi w:val="0"/>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百地：</w:t>
      </w:r>
      <w:r>
        <w:rPr>
          <w:rFonts w:ascii="Times New Roman" w:hAnsi="Times New Roman" w:eastAsia="仿宋_GB2312" w:cs="Times New Roman"/>
          <w:color w:val="000000" w:themeColor="text1"/>
          <w:sz w:val="32"/>
          <w:szCs w:val="32"/>
          <w14:textFill>
            <w14:solidFill>
              <w14:schemeClr w14:val="tx1"/>
            </w14:solidFill>
          </w14:textFill>
        </w:rPr>
        <w:t>辐射打造100个以上林草产业基地，形成“以点带面、串珠成链”的产业格局。</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5" w:name="_Toc1107"/>
      <w:r>
        <w:rPr>
          <w:rFonts w:ascii="Times New Roman" w:hAnsi="Times New Roman" w:eastAsia="黑体" w:cs="Times New Roman"/>
          <w:bCs/>
          <w:color w:val="000000" w:themeColor="text1"/>
          <w:lang w:val="en-US"/>
          <w14:textFill>
            <w14:solidFill>
              <w14:schemeClr w14:val="tx1"/>
            </w14:solidFill>
          </w14:textFill>
        </w:rPr>
        <w:t>第四节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发展目标</w:t>
      </w:r>
      <w:bookmarkEnd w:id="25"/>
    </w:p>
    <w:p>
      <w:pPr>
        <w:bidi w:val="0"/>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十五五”时期，贵阳贵安林业锚定“生态立市”战略目标，当好全省高质量发展“排头兵、领头羊”，全力实现以下目标：林草资源保护更加有力，森林覆盖率保持总体稳定，森林质量明显提升；生态系统多样性、稳定性、持续性不断增强；林业产业结构持续优化，绿色富民产业蓬勃发展；林业治理体系和治理能力现代化水平显著提升；森林防火、有害生物防治等基础能力全面加强。</w:t>
      </w:r>
    </w:p>
    <w:p>
      <w:pPr>
        <w:bidi w:val="0"/>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到2030年，贵阳市森林覆盖率稳定在46.50%以上，森林蓄积量达到3232万立方米以上，林地保有量稳定在55</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ascii="Times New Roman" w:hAnsi="Times New Roman" w:eastAsia="仿宋_GB2312" w:cs="Times New Roman"/>
          <w:color w:val="000000" w:themeColor="text1"/>
          <w:sz w:val="32"/>
          <w:szCs w:val="32"/>
          <w14:textFill>
            <w14:solidFill>
              <w14:schemeClr w14:val="tx1"/>
            </w14:solidFill>
          </w14:textFill>
        </w:rPr>
        <w:t>万亩以上，林草产业总产值达到710亿元；贵安新区森林覆盖率稳定在24.22%以上，森林蓄积量达到118万立方米以上，林地保有量稳定在1</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8</w:t>
      </w:r>
      <w:r>
        <w:rPr>
          <w:rFonts w:ascii="Times New Roman" w:hAnsi="Times New Roman" w:eastAsia="仿宋_GB2312" w:cs="Times New Roman"/>
          <w:color w:val="000000" w:themeColor="text1"/>
          <w:sz w:val="32"/>
          <w:szCs w:val="32"/>
          <w14:textFill>
            <w14:solidFill>
              <w14:schemeClr w14:val="tx1"/>
            </w14:solidFill>
          </w14:textFill>
        </w:rPr>
        <w:t>万亩以上，林草产业总产值达到10亿元。</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2"/>
        <w:gridCol w:w="1846"/>
        <w:gridCol w:w="1757"/>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pPr>
              <w:adjustRightInd w:val="0"/>
              <w:snapToGrid w:val="0"/>
              <w:ind w:firstLine="420"/>
              <w:jc w:val="center"/>
              <w:rPr>
                <w:rFonts w:ascii="Times New Roman" w:hAnsi="Times New Roman" w:eastAsia="仿宋" w:cs="Times New Roman"/>
                <w:b/>
                <w:color w:val="000000" w:themeColor="text1"/>
                <w:sz w:val="28"/>
                <w:szCs w:val="28"/>
                <w14:textFill>
                  <w14:solidFill>
                    <w14:schemeClr w14:val="tx1"/>
                  </w14:solidFill>
                </w14:textFill>
              </w:rPr>
            </w:pPr>
            <w:r>
              <w:rPr>
                <w:rFonts w:ascii="Times New Roman" w:hAnsi="Times New Roman" w:eastAsia="仿宋" w:cs="Times New Roman"/>
                <w:b/>
                <w:color w:val="000000" w:themeColor="text1"/>
                <w:sz w:val="28"/>
                <w:szCs w:val="28"/>
                <w14:textFill>
                  <w14:solidFill>
                    <w14:schemeClr w14:val="tx1"/>
                  </w14:solidFill>
                </w14:textFill>
              </w:rPr>
              <w:t>专栏1 “十五五”林业草原保护发展规划主要指标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bottom w:val="single" w:color="auto" w:sz="4" w:space="0"/>
            </w:tcBorders>
            <w:vAlign w:val="center"/>
          </w:tcPr>
          <w:p>
            <w:pPr>
              <w:adjustRightInd w:val="0"/>
              <w:snapToGrid w:val="0"/>
              <w:jc w:val="center"/>
              <w:rPr>
                <w:rFonts w:ascii="Times New Roman" w:hAnsi="Times New Roman" w:eastAsia="仿宋" w:cs="Times New Roman"/>
                <w:bCs/>
                <w:color w:val="000000" w:themeColor="text1"/>
                <w:sz w:val="24"/>
                <w:szCs w:val="24"/>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主要指标</w:t>
            </w:r>
          </w:p>
        </w:tc>
        <w:tc>
          <w:tcPr>
            <w:tcW w:w="1083" w:type="pct"/>
            <w:tcBorders>
              <w:bottom w:val="single" w:color="auto" w:sz="4" w:space="0"/>
            </w:tcBorders>
            <w:vAlign w:val="center"/>
          </w:tcPr>
          <w:p>
            <w:pPr>
              <w:adjustRightInd w:val="0"/>
              <w:snapToGrid w:val="0"/>
              <w:jc w:val="center"/>
              <w:rPr>
                <w:rFonts w:ascii="Times New Roman" w:hAnsi="Times New Roman" w:eastAsia="仿宋" w:cs="Times New Roman"/>
                <w:bCs/>
                <w:color w:val="000000" w:themeColor="text1"/>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2025年</w:t>
            </w:r>
          </w:p>
          <w:p>
            <w:pPr>
              <w:adjustRightInd w:val="0"/>
              <w:snapToGrid w:val="0"/>
              <w:jc w:val="center"/>
              <w:rPr>
                <w:rFonts w:ascii="Times New Roman" w:hAnsi="Times New Roman" w:eastAsia="仿宋" w:cs="Times New Roman"/>
                <w:bCs/>
                <w:color w:val="000000" w:themeColor="text1"/>
                <w:sz w:val="24"/>
                <w:szCs w:val="24"/>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（贵阳/贵安）</w:t>
            </w:r>
          </w:p>
        </w:tc>
        <w:tc>
          <w:tcPr>
            <w:tcW w:w="1031" w:type="pct"/>
            <w:tcBorders>
              <w:bottom w:val="single" w:color="auto" w:sz="4" w:space="0"/>
            </w:tcBorders>
            <w:vAlign w:val="center"/>
          </w:tcPr>
          <w:p>
            <w:pPr>
              <w:adjustRightInd w:val="0"/>
              <w:snapToGrid w:val="0"/>
              <w:jc w:val="center"/>
              <w:rPr>
                <w:rFonts w:ascii="Times New Roman" w:hAnsi="Times New Roman" w:eastAsia="仿宋" w:cs="Times New Roman"/>
                <w:bCs/>
                <w:color w:val="000000" w:themeColor="text1"/>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2030年</w:t>
            </w:r>
          </w:p>
          <w:p>
            <w:pPr>
              <w:adjustRightInd w:val="0"/>
              <w:snapToGrid w:val="0"/>
              <w:jc w:val="center"/>
              <w:rPr>
                <w:rFonts w:ascii="Times New Roman" w:hAnsi="Times New Roman" w:eastAsia="仿宋" w:cs="Times New Roman"/>
                <w:bCs/>
                <w:color w:val="000000" w:themeColor="text1"/>
                <w:sz w:val="24"/>
                <w:szCs w:val="24"/>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（贵阳/贵安）</w:t>
            </w:r>
          </w:p>
        </w:tc>
        <w:tc>
          <w:tcPr>
            <w:tcW w:w="542" w:type="pct"/>
            <w:tcBorders>
              <w:bottom w:val="single" w:color="auto" w:sz="4" w:space="0"/>
            </w:tcBorders>
            <w:vAlign w:val="center"/>
          </w:tcPr>
          <w:p>
            <w:pPr>
              <w:adjustRightInd w:val="0"/>
              <w:snapToGrid w:val="0"/>
              <w:jc w:val="center"/>
              <w:rPr>
                <w:rFonts w:ascii="Times New Roman" w:hAnsi="Times New Roman" w:eastAsia="仿宋" w:cs="Times New Roman"/>
                <w:bCs/>
                <w:color w:val="000000" w:themeColor="text1"/>
                <w:sz w:val="24"/>
                <w:szCs w:val="24"/>
                <w14:textFill>
                  <w14:solidFill>
                    <w14:schemeClr w14:val="tx1"/>
                  </w14:solidFill>
                </w14:textFill>
              </w:rPr>
            </w:pPr>
            <w:r>
              <w:rPr>
                <w:rFonts w:ascii="Times New Roman" w:hAnsi="Times New Roman" w:eastAsia="仿宋" w:cs="Times New Roman"/>
                <w:bCs/>
                <w:color w:val="000000" w:themeColor="text1"/>
                <w14:textFill>
                  <w14:solidFill>
                    <w14:schemeClr w14:val="tx1"/>
                  </w14:solidFill>
                </w14:textFill>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1.森林覆盖率（%）</w:t>
            </w:r>
          </w:p>
        </w:tc>
        <w:tc>
          <w:tcPr>
            <w:tcW w:w="1083" w:type="pct"/>
            <w:tcBorders>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55.47/30.55</w:t>
            </w:r>
          </w:p>
        </w:tc>
        <w:tc>
          <w:tcPr>
            <w:tcW w:w="1031" w:type="pct"/>
            <w:tcBorders>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≥46.50/≥24.22</w:t>
            </w:r>
          </w:p>
        </w:tc>
        <w:tc>
          <w:tcPr>
            <w:tcW w:w="542" w:type="pct"/>
            <w:tcBorders>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2.森林蓄积量（万m</w:t>
            </w:r>
            <w:r>
              <w:rPr>
                <w:rFonts w:ascii="Times New Roman" w:hAnsi="Times New Roman" w:eastAsia="宋体" w:cs="Times New Roman"/>
                <w:color w:val="000000" w:themeColor="text1"/>
                <w14:textFill>
                  <w14:solidFill>
                    <w14:schemeClr w14:val="tx1"/>
                  </w14:solidFill>
                </w14:textFill>
              </w:rPr>
              <w:t>³</w:t>
            </w:r>
            <w:r>
              <w:rPr>
                <w:rFonts w:ascii="Times New Roman" w:hAnsi="Times New Roman" w:eastAsia="仿宋" w:cs="Times New Roman"/>
                <w:color w:val="000000" w:themeColor="text1"/>
                <w14:textFill>
                  <w14:solidFill>
                    <w14:schemeClr w14:val="tx1"/>
                  </w14:solidFill>
                </w14:textFill>
              </w:rPr>
              <w:t>）</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2920/113</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≥3232/≥118</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3.林地保有量（万亩）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w:t>
            </w:r>
            <w:r>
              <w:rPr>
                <w:rFonts w:hint="eastAsia" w:ascii="Times New Roman" w:hAnsi="Times New Roman" w:eastAsia="仿宋" w:cs="Times New Roman"/>
                <w:color w:val="000000" w:themeColor="text1"/>
                <w:lang w:val="en-US" w:eastAsia="zh-CN"/>
                <w14:textFill>
                  <w14:solidFill>
                    <w14:schemeClr w14:val="tx1"/>
                  </w14:solidFill>
                </w14:textFill>
              </w:rPr>
              <w:t>63</w:t>
            </w:r>
            <w:r>
              <w:rPr>
                <w:rFonts w:ascii="Times New Roman" w:hAnsi="Times New Roman" w:eastAsia="仿宋" w:cs="Times New Roman"/>
                <w:color w:val="000000" w:themeColor="text1"/>
                <w14:textFill>
                  <w14:solidFill>
                    <w14:schemeClr w14:val="tx1"/>
                  </w14:solidFill>
                </w14:textFill>
              </w:rPr>
              <w:t>/19</w:t>
            </w:r>
          </w:p>
        </w:tc>
        <w:tc>
          <w:tcPr>
            <w:tcW w:w="1031" w:type="pct"/>
            <w:tcBorders>
              <w:top w:val="nil"/>
              <w:left w:val="nil"/>
              <w:bottom w:val="nil"/>
              <w:right w:val="nil"/>
            </w:tcBorders>
            <w:vAlign w:val="center"/>
          </w:tcPr>
          <w:p>
            <w:pPr>
              <w:adjustRightInd w:val="0"/>
              <w:snapToGrid w:val="0"/>
              <w:jc w:val="center"/>
              <w:rPr>
                <w:rFonts w:hint="eastAsia" w:ascii="Times New Roman" w:hAnsi="Times New Roman" w:eastAsia="仿宋" w:cs="Times New Roman"/>
                <w:color w:val="000000" w:themeColor="text1"/>
                <w:sz w:val="24"/>
                <w:szCs w:val="24"/>
                <w:lang w:val="en-US" w:eastAsia="zh-CN"/>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≥55</w:t>
            </w:r>
            <w:r>
              <w:rPr>
                <w:rFonts w:hint="eastAsia" w:ascii="Times New Roman" w:hAnsi="Times New Roman" w:eastAsia="仿宋" w:cs="Times New Roman"/>
                <w:color w:val="000000" w:themeColor="text1"/>
                <w:lang w:val="en-US" w:eastAsia="zh-CN"/>
                <w14:textFill>
                  <w14:solidFill>
                    <w14:schemeClr w14:val="tx1"/>
                  </w14:solidFill>
                </w14:textFill>
              </w:rPr>
              <w:t>7</w:t>
            </w:r>
            <w:r>
              <w:rPr>
                <w:rFonts w:ascii="Times New Roman" w:hAnsi="Times New Roman" w:eastAsia="仿宋" w:cs="Times New Roman"/>
                <w:color w:val="000000" w:themeColor="text1"/>
                <w14:textFill>
                  <w14:solidFill>
                    <w14:schemeClr w14:val="tx1"/>
                  </w14:solidFill>
                </w14:textFill>
              </w:rPr>
              <w:t>/≥1</w:t>
            </w:r>
            <w:r>
              <w:rPr>
                <w:rFonts w:hint="eastAsia" w:ascii="Times New Roman" w:hAnsi="Times New Roman" w:eastAsia="仿宋" w:cs="Times New Roman"/>
                <w:color w:val="000000" w:themeColor="text1"/>
                <w:lang w:val="en-US" w:eastAsia="zh-CN"/>
                <w14:textFill>
                  <w14:solidFill>
                    <w14:schemeClr w14:val="tx1"/>
                  </w14:solidFill>
                </w14:textFill>
              </w:rPr>
              <w:t>8</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4.乔木林地单位面积蓄积量（m</w:t>
            </w:r>
            <w:r>
              <w:rPr>
                <w:rFonts w:ascii="Times New Roman" w:hAnsi="Times New Roman" w:eastAsia="宋体" w:cs="Times New Roman"/>
                <w:color w:val="000000" w:themeColor="text1"/>
                <w14:textFill>
                  <w14:solidFill>
                    <w14:schemeClr w14:val="tx1"/>
                  </w14:solidFill>
                </w14:textFill>
              </w:rPr>
              <w:t>³</w:t>
            </w:r>
            <w:r>
              <w:rPr>
                <w:rFonts w:ascii="Times New Roman" w:hAnsi="Times New Roman" w:eastAsia="仿宋" w:cs="Times New Roman"/>
                <w:color w:val="000000" w:themeColor="text1"/>
                <w14:textFill>
                  <w14:solidFill>
                    <w14:schemeClr w14:val="tx1"/>
                  </w14:solidFill>
                </w14:textFill>
              </w:rPr>
              <w:t>/hm</w:t>
            </w:r>
            <w:r>
              <w:rPr>
                <w:rFonts w:ascii="Times New Roman" w:hAnsi="Times New Roman" w:eastAsia="宋体" w:cs="Times New Roman"/>
                <w:color w:val="000000" w:themeColor="text1"/>
                <w14:textFill>
                  <w14:solidFill>
                    <w14:schemeClr w14:val="tx1"/>
                  </w14:solidFill>
                </w14:textFill>
              </w:rPr>
              <w:t>²</w:t>
            </w:r>
            <w:r>
              <w:rPr>
                <w:rFonts w:ascii="Times New Roman" w:hAnsi="Times New Roman" w:eastAsia="仿宋" w:cs="Times New Roman"/>
                <w:color w:val="000000" w:themeColor="text1"/>
                <w14:textFill>
                  <w14:solidFill>
                    <w14:schemeClr w14:val="tx1"/>
                  </w14:solidFill>
                </w14:textFill>
              </w:rPr>
              <w:t>）</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99.8/—</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≥110/—</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5.自然保护地面积占国土面积比例（%）</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11/—</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≥11/—</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6.公益林占林地面积比例（%）</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59.46/68.30</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55/65</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7.森林火灾受害率（‰）</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0/0</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＜0.6/＜0.6</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8.林业有害生物成灾率（‰）</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0/0</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≤2/≤2</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9.森林生态系统服务价值（亿元/年）</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362/13</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370/15</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10.森林年碳汇量（万吨CO₂）</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116/—</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124/—</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11.森林质量精准提升（万亩）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42.8/1.2</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48/2</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其中：森林抚育（万亩）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9/2</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37/2</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ind w:firstLine="630" w:firstLineChars="3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退化林修复（万亩）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10/1</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6/—</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ind w:firstLine="630" w:firstLineChars="30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树种结构调整（万亩）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23.8/—</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5/—</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12.石漠化综合治理（万亩）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31.5/—</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38/2</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13.林下经济利用面积（万亩）</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160/2.35</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230/5</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2" w:type="pct"/>
            <w:tcBorders>
              <w:top w:val="nil"/>
              <w:bottom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14.林草产业总产值（亿元）</w:t>
            </w:r>
          </w:p>
        </w:tc>
        <w:tc>
          <w:tcPr>
            <w:tcW w:w="1083"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670.28/—</w:t>
            </w:r>
          </w:p>
        </w:tc>
        <w:tc>
          <w:tcPr>
            <w:tcW w:w="1031" w:type="pct"/>
            <w:tcBorders>
              <w:top w:val="nil"/>
              <w:left w:val="nil"/>
              <w:bottom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710/10</w:t>
            </w:r>
          </w:p>
        </w:tc>
        <w:tc>
          <w:tcPr>
            <w:tcW w:w="542" w:type="pct"/>
            <w:tcBorders>
              <w:top w:val="nil"/>
              <w:left w:val="nil"/>
              <w:bottom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2" w:type="pct"/>
            <w:tcBorders>
              <w:top w:val="nil"/>
              <w:righ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15.规模以上林产品加工企业（家）</w:t>
            </w:r>
          </w:p>
        </w:tc>
        <w:tc>
          <w:tcPr>
            <w:tcW w:w="1083" w:type="pct"/>
            <w:tcBorders>
              <w:top w:val="nil"/>
              <w:left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9/—</w:t>
            </w:r>
          </w:p>
        </w:tc>
        <w:tc>
          <w:tcPr>
            <w:tcW w:w="1031" w:type="pct"/>
            <w:tcBorders>
              <w:top w:val="nil"/>
              <w:left w:val="nil"/>
              <w:right w:val="nil"/>
            </w:tcBorders>
            <w:vAlign w:val="center"/>
          </w:tcPr>
          <w:p>
            <w:pPr>
              <w:adjustRightInd w:val="0"/>
              <w:snapToGrid w:val="0"/>
              <w:jc w:val="center"/>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18/2</w:t>
            </w:r>
          </w:p>
        </w:tc>
        <w:tc>
          <w:tcPr>
            <w:tcW w:w="542" w:type="pct"/>
            <w:tcBorders>
              <w:top w:val="nil"/>
              <w:left w:val="nil"/>
            </w:tcBorders>
            <w:vAlign w:val="center"/>
          </w:tcPr>
          <w:p>
            <w:pPr>
              <w:adjustRightInd w:val="0"/>
              <w:snapToGrid w:val="0"/>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预期性</w:t>
            </w:r>
          </w:p>
        </w:tc>
      </w:tr>
    </w:tbl>
    <w:p>
      <w:pPr>
        <w:adjustRightInd w:val="0"/>
        <w:snapToGrid w:val="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Cs w:val="21"/>
          <w14:textFill>
            <w14:solidFill>
              <w14:schemeClr w14:val="tx1"/>
            </w14:solidFill>
          </w14:textFill>
        </w:rPr>
        <w:t>注：1.2025年数据以国家审核后为准；2.自然保护地数据待批复后更新；3.</w:t>
      </w:r>
      <w:r>
        <w:rPr>
          <w:rFonts w:hint="eastAsia" w:ascii="Times New Roman" w:hAnsi="Times New Roman" w:eastAsia="仿宋_GB2312" w:cs="Times New Roman"/>
          <w:color w:val="000000" w:themeColor="text1"/>
          <w:szCs w:val="21"/>
          <w14:textFill>
            <w14:solidFill>
              <w14:schemeClr w14:val="tx1"/>
            </w14:solidFill>
          </w14:textFill>
        </w:rPr>
        <w:t>因全国统一采用国土“三调”及其年度变更数据作为统一底版，导致统计口径发生变化。2030年森林覆盖率</w:t>
      </w:r>
      <w:r>
        <w:rPr>
          <w:rFonts w:ascii="Times New Roman" w:hAnsi="Times New Roman" w:eastAsia="仿宋_GB2312" w:cs="Times New Roman"/>
          <w:color w:val="000000" w:themeColor="text1"/>
          <w:szCs w:val="21"/>
          <w14:textFill>
            <w14:solidFill>
              <w14:schemeClr w14:val="tx1"/>
            </w14:solidFill>
          </w14:textFill>
        </w:rPr>
        <w:t>按国家林草局新口径执行。</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hint="default" w:ascii="Times New Roman" w:hAnsi="Times New Roman" w:eastAsia="方正小标宋_GBK" w:cs="Times New Roman"/>
          <w:color w:val="000000" w:themeColor="text1"/>
          <w:sz w:val="36"/>
          <w:szCs w:val="36"/>
          <w:lang w:val="en-US" w:eastAsia="zh-CN"/>
          <w14:textFill>
            <w14:solidFill>
              <w14:schemeClr w14:val="tx1"/>
            </w14:solidFill>
          </w14:textFill>
        </w:rPr>
      </w:pPr>
      <w:bookmarkStart w:id="26" w:name="_Toc8226"/>
      <w:bookmarkStart w:id="27" w:name="OLE_LINK9"/>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四</w:t>
      </w:r>
      <w:r>
        <w:rPr>
          <w:rFonts w:ascii="Times New Roman" w:hAnsi="Times New Roman" w:eastAsia="方正小标宋_GBK" w:cs="Times New Roman"/>
          <w:color w:val="000000" w:themeColor="text1"/>
          <w:sz w:val="36"/>
          <w:szCs w:val="36"/>
          <w14:textFill>
            <w14:solidFill>
              <w14:schemeClr w14:val="tx1"/>
            </w14:solidFill>
          </w14:textFill>
        </w:rPr>
        <w:t>章  强化重林统领，</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稳固</w:t>
      </w:r>
      <w:r>
        <w:rPr>
          <w:rFonts w:ascii="Times New Roman" w:hAnsi="Times New Roman" w:eastAsia="方正小标宋_GBK" w:cs="Times New Roman"/>
          <w:color w:val="000000" w:themeColor="text1"/>
          <w:sz w:val="36"/>
          <w:szCs w:val="36"/>
          <w14:textFill>
            <w14:solidFill>
              <w14:schemeClr w14:val="tx1"/>
            </w14:solidFill>
          </w14:textFill>
        </w:rPr>
        <w:t>林草发展</w:t>
      </w:r>
      <w:bookmarkEnd w:id="26"/>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基底</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重林”居“五林”之首，重在管全局、把方向、定根基。必须深入践行习近平生态文明思想，全面落实“三绿”并举、“四库”联动要求，将林草工作深度融入“生态立市”战略全局。以深化林长制为总抓手，以巩固国家森林城市为载体，以严守生态红线为底线，统筹高质量发展与高水平保护，为贵阳贵安筑牢“两江”上游生态安全屏障，夯实人与自然和谐共生的</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生态</w:t>
      </w:r>
      <w:r>
        <w:rPr>
          <w:rFonts w:ascii="Times New Roman" w:hAnsi="Times New Roman" w:eastAsia="仿宋_GB2312" w:cs="Times New Roman"/>
          <w:color w:val="000000" w:themeColor="text1"/>
          <w:sz w:val="32"/>
          <w:szCs w:val="32"/>
          <w14:textFill>
            <w14:solidFill>
              <w14:schemeClr w14:val="tx1"/>
            </w14:solidFill>
          </w14:textFill>
        </w:rPr>
        <w:t>根基。</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8" w:name="_Toc3935"/>
      <w:r>
        <w:rPr>
          <w:rFonts w:ascii="Times New Roman" w:hAnsi="Times New Roman" w:eastAsia="黑体" w:cs="Times New Roman"/>
          <w:bCs/>
          <w:color w:val="000000" w:themeColor="text1"/>
          <w:lang w:val="en-US"/>
          <w14:textFill>
            <w14:solidFill>
              <w14:schemeClr w14:val="tx1"/>
            </w14:solidFill>
          </w14:textFill>
        </w:rPr>
        <w:t>第一节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深化林长制改革</w:t>
      </w:r>
      <w:bookmarkEnd w:id="28"/>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坚持把全面深化林长制作为林草治理的“牛鼻子”来抓，推动制度优势转化为治理效能，构建党政同责、上下联动、社会协同的生态保护新格局。</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一、健全制度体系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五林”工作为纲，构建科学规范、运行高效的林长制制度体系。进一步细化市、县、乡、村四级林长组织架构，明确各级林长在资源保护、生态修复、灾害防控等领域的核心职责，压实各级党委、政府保护发展林草资源的主体责任。落实党政同责、属地负责、部门协同的工作机制，积极探索“官方林长+民间林长”协同共治模式，汇聚全社会力量，提升森林资源保护管理的整体效能。</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二、增强履职能力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将林长制工作经费纳入市县两级财政预算，切实保障基层林长巡林装备、技术支持等履职条件。建立健全以履职实效为导向的基层林长评价激励机制，对在森林防火、有害生物防治、重点问题整改中表现突出的单位和个人予以表彰，激发基层干事创业热情。持续深化“林长制进党校”模式，构建“市级统筹、县级落实、乡级补充”的分级培训体系，全面提升基层林长的专业素养和履职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三、深化协同联动</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林长+”机制为纽带，推动构建跨部门、跨区域、跨领域的协同治理新局面。深度深化“林长+检察长+庭长+警长”协作机制，推动涉林案件快查、快审、快判，促进行刑衔接与生态损害赔偿、公益诉讼有机融合，形成打击涉林违法行为的强大震慑力。充分发挥林长制统筹协调作用，强化责任部门齐抓共管、多部门协同破解重点难点问题的合力，形成林草资源保护“一盘棋”的治理大格局。</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29" w:name="_Toc17306"/>
      <w:r>
        <w:rPr>
          <w:rFonts w:ascii="Times New Roman" w:hAnsi="Times New Roman" w:eastAsia="黑体" w:cs="Times New Roman"/>
          <w:bCs/>
          <w:color w:val="000000" w:themeColor="text1"/>
          <w:lang w:val="en-US"/>
          <w14:textFill>
            <w14:solidFill>
              <w14:schemeClr w14:val="tx1"/>
            </w14:solidFill>
          </w14:textFill>
        </w:rPr>
        <w:t>第二节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擦亮森林城市品牌</w:t>
      </w:r>
      <w:bookmarkEnd w:id="29"/>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巩固拓展首个国家森林城市创建成果，以打造“城在林中、林在城中、人在景中”的宜居典范为目标，推动林业与城乡发展、生态文化深度融合，持续释放绿色红利。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一、构建生态廊道</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强化地方政府主体责任，引导企业、社会组织、公众等各方力量多元投入，建设贯通城乡、连接重点生态区域的森林步道体系。重点推进阿哈湖环湖绿道、环湖绿化景观工程、骑行驿站等慢行系统建设，精心修复环湖生态植被，丰富“山、水、林、湖、城”相融的景观层次，构建连续完整的生态廊道。提高公众走进森林、亲近自然的便捷性，让生态福祉更加普惠共享，推动城乡生态环境一体化提质升级。</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二、弘扬生态文化</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立足林下经济、花卉苗木等产业优势，深度开发森林食品、药膳养生、木竹工艺品等生态文化产品，推动“林产”向“文创”延伸，丰富高品质生态产品供给。策划打造森林音乐台、萤火虫森林、湿地观鸟平台等高辨识度生态文化场景，提升公众生态体验感。深入挖掘贵阳贵安地方民族传统文化中的生态智慧和护林习俗，打造具有鲜明地域特色的生态文化IP。聚力打造“爽林珍品”公共品牌，推出系列林业主题文艺作品，全面提升贵阳贵安林业的辨识度与影响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三、发展自然教育</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全面推进自然教育水平提升，完善森林课堂、自然教育径、科普解说系统及科技成果展示廊道建设。以阿哈湖绿核为核心，辐射鹿冲关森林公园等优质资源，设计开发以森林生态、生物多样性保护为核心的精品研学路线，定制差异化研学实践课程，满足不同群体需求。常态化举办参与式、体验式、互动式自然教育活动，打造具有贵阳辨识度的优质自然教育品牌。推动自然教育机构交流平台和志愿者队伍建设，探索行业规范发展制度，让自然教育成为贵阳生态文明建设的亮丽名片。</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四、促进业态融合</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强化森林避暑康养首位产业的带动作用，联动“森林+”特色林业与传统产业三端发力，大幅提升林业在经济发展中的贡献度。以森林公园、湿地公园为核心载体，深度融合森林避暑康养、森林旅游、生态研学等多元业态，打造集生态休闲、自然体验、文化体验于一体的综合服务场景。完善鹿冲关、阿哈湖、长坡岭等森林公园基础设施和配套服务，提升接待能力与服务水平，全力将贵阳打造为国内知名的山地森林旅游与避暑康养目的地。</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0" w:name="_Toc834"/>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严守生态保护红线</w:t>
      </w:r>
      <w:bookmarkEnd w:id="30"/>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牢固树立底线思维，以最严格的制度和最严密的法治守护好贵阳的绿水青山，统筹推进山水林田湖草沙一体化保护，确保生态系统的原真性、完整性和稳定性。</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一、严守空间底线</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严守林地、草地、湿地生态保护红线，严控建设项目违规占用。完善项目选址准入、红线占用审查与审批等制度。</w:t>
      </w:r>
      <w:r>
        <w:rPr>
          <w:rFonts w:ascii="Times New Roman" w:hAnsi="Times New Roman" w:eastAsia="仿宋_GB2312" w:cs="Times New Roman"/>
          <w:color w:val="000000" w:themeColor="text1"/>
          <w:sz w:val="32"/>
          <w:szCs w:val="32"/>
          <w14:textFill>
            <w14:solidFill>
              <w14:schemeClr w14:val="tx1"/>
            </w14:solidFill>
          </w14:textFill>
        </w:rPr>
        <w:t>全面加强天然林、公益林、湿地、草地常态化巡护监管，严厉打击各类违法行为。统筹推进防灾减灾、野生动植物保护、外来有害生物防控等重点工作，形成全方位、全流程、无死角的资源管控闭环。加快构建“责任明晰、制度健全、监管严密、保障有力”的长效管控体系，筑牢区域生态安全屏障。</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lang w:val="en-US" w:eastAsia="zh-CN"/>
          <w14:textFill>
            <w14:solidFill>
              <w14:schemeClr w14:val="tx1"/>
            </w14:solidFill>
          </w14:textFill>
        </w:rPr>
        <w:t>二</w:t>
      </w:r>
      <w:r>
        <w:rPr>
          <w:rFonts w:ascii="Times New Roman" w:hAnsi="Times New Roman" w:eastAsia="黑体" w:cs="Times New Roman"/>
          <w:color w:val="000000" w:themeColor="text1"/>
          <w:sz w:val="32"/>
          <w:szCs w:val="32"/>
          <w14:textFill>
            <w14:solidFill>
              <w14:schemeClr w14:val="tx1"/>
            </w14:solidFill>
          </w14:textFill>
        </w:rPr>
        <w:t>、严格指标考核</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聚焦森林覆盖率、森林蓄积量、林地保有量等核心约束性指标，建立常态化监测、动态化管控、年度化考核机制。将指标完成情况纳入各级党委政府绩效考核，压实管控责任。“十五五”期间，确保贵阳市森林覆盖率稳定在46.5%以上，森林蓄积量达到3232万立方米以上，林地保有量稳定在55</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7</w:t>
      </w:r>
      <w:r>
        <w:rPr>
          <w:rFonts w:ascii="Times New Roman" w:hAnsi="Times New Roman" w:eastAsia="仿宋_GB2312" w:cs="Times New Roman"/>
          <w:color w:val="000000" w:themeColor="text1"/>
          <w:sz w:val="32"/>
          <w:szCs w:val="32"/>
          <w14:textFill>
            <w14:solidFill>
              <w14:schemeClr w14:val="tx1"/>
            </w14:solidFill>
          </w14:textFill>
        </w:rPr>
        <w:t>万亩以上；贵安新区森林覆盖率稳定在24.22%以上，森林蓄积量达到118万立方米以上，林地保有量稳定在1</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8</w:t>
      </w:r>
      <w:r>
        <w:rPr>
          <w:rFonts w:ascii="Times New Roman" w:hAnsi="Times New Roman" w:eastAsia="仿宋_GB2312" w:cs="Times New Roman"/>
          <w:color w:val="000000" w:themeColor="text1"/>
          <w:sz w:val="32"/>
          <w:szCs w:val="32"/>
          <w14:textFill>
            <w14:solidFill>
              <w14:schemeClr w14:val="tx1"/>
            </w14:solidFill>
          </w14:textFill>
        </w:rPr>
        <w:t>万亩以上。通过刚性指标的硬约束，确保贵阳贵安绿色底色不改、生态屏障永固。</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bookmarkEnd w:id="27"/>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31" w:name="_Toc18611"/>
      <w:bookmarkStart w:id="32" w:name="OLE_LINK10"/>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五</w:t>
      </w:r>
      <w:r>
        <w:rPr>
          <w:rFonts w:ascii="Times New Roman" w:hAnsi="Times New Roman" w:eastAsia="方正小标宋_GBK" w:cs="Times New Roman"/>
          <w:color w:val="000000" w:themeColor="text1"/>
          <w:sz w:val="36"/>
          <w:szCs w:val="36"/>
          <w14:textFill>
            <w14:solidFill>
              <w14:schemeClr w14:val="tx1"/>
            </w14:solidFill>
          </w14:textFill>
        </w:rPr>
        <w:t>章  强化造林提质，厚植城乡绿色本底</w:t>
      </w:r>
      <w:bookmarkEnd w:id="31"/>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造林”是增厚绿色家底、提升生态质量的基础性工程。必须坚持科学绿化、量质并重，立足贵阳贵安国土空间格局，遵循自然规律和经济规律，推动造林工作从“规模扩张”向“质量提升”根本性转变。以优化生态空间、提升城乡绿化水平、增强森林固碳增汇能力为核心，协同推进国土绿化美化、森林质量精准提升和林木种苗保障，厚植生态底色，筑牢绿色屏障。</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3" w:name="_Toc24275"/>
      <w:r>
        <w:rPr>
          <w:rFonts w:ascii="Times New Roman" w:hAnsi="Times New Roman" w:eastAsia="黑体" w:cs="Times New Roman"/>
          <w:bCs/>
          <w:color w:val="000000" w:themeColor="text1"/>
          <w:lang w:val="en-US"/>
          <w14:textFill>
            <w14:solidFill>
              <w14:schemeClr w14:val="tx1"/>
            </w14:solidFill>
          </w14:textFill>
        </w:rPr>
        <w:t xml:space="preserve">第一节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科学推进国土绿化美化</w:t>
      </w:r>
      <w:bookmarkEnd w:id="33"/>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坚持因地制宜、分区施策，统筹城市、乡村、石漠化区域协同推进，持续增加绿色总量、提升绿化品质。</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一、提升城市森林景观</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结合城市更新和公园城市建设，聚焦</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公路、铁路、</w:t>
      </w:r>
      <w:r>
        <w:rPr>
          <w:rFonts w:ascii="Times New Roman" w:hAnsi="Times New Roman" w:eastAsia="仿宋_GB2312" w:cs="Times New Roman"/>
          <w:color w:val="000000" w:themeColor="text1"/>
          <w:sz w:val="32"/>
          <w:szCs w:val="32"/>
          <w14:textFill>
            <w14:solidFill>
              <w14:schemeClr w14:val="tx1"/>
            </w14:solidFill>
          </w14:textFill>
        </w:rPr>
        <w:t>城市主次干道、公园绿地、闲置地块等重点区域，推进城市森林绿化美化提升工程。优先选用乡土树种和珍贵树种，打造乔灌草搭配、四季有景的城市森林景观。完善城市绿道网络，串联城市公园和街头绿地，构建“城在林中、林在城中”的城市生态格局。到2030年，完成森林质量提升50万亩，其中贵阳市48万亩，贵安新区2万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二、打造乡村生态风貌</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学习运用“千万工程”经验，围绕改善农村人居环境和促进农民增收，结合乡村振兴与“美丽家园”建设，创新投入机制，引导社会力量参与四旁植树，建立“谁种植、谁管护、谁受益”的长效机制。重点推进村镇周边和交通干线等区域绿化美化，打造“村在绿中、房在景中”的乡村生态风貌。到2030年，整村推进乡村绿化村寨38个，种植乡土珍贵树种60万株。</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三、实施石漠化综合治理</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协同农业农村、自然资源、水利等部门，通过“双重”项目、全域土地整治</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、基础设施建设</w:t>
      </w:r>
      <w:r>
        <w:rPr>
          <w:rFonts w:ascii="Times New Roman" w:hAnsi="Times New Roman" w:eastAsia="仿宋_GB2312" w:cs="Times New Roman"/>
          <w:color w:val="000000" w:themeColor="text1"/>
          <w:sz w:val="32"/>
          <w:szCs w:val="32"/>
          <w14:textFill>
            <w14:solidFill>
              <w14:schemeClr w14:val="tx1"/>
            </w14:solidFill>
          </w14:textFill>
        </w:rPr>
        <w:t>等项目，分类施策推进石漠化综合治理。重度以上区域以封育为主快速增绿，中度区域适度造林种草并优化种植结构，轻度区域推广生态经济模式发展林草产业。到2030年，完成石漠化综合治理面积40万亩，其中贵阳市38万亩，贵安新区2万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四、创新义务植树形式</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探索“义务植树+”新路径，依托植树节开展市、县、乡、村四级联动植树，推动义务植树常态化、制度化。鼓励公众通过捐资造林、认养树木、参与抚育等多种形式履行植树义务。到2030年，累计植树75万株以上，其中贵阳市70万株，贵安新区5万株。</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4" w:name="_Toc19975"/>
      <w:r>
        <w:rPr>
          <w:rFonts w:ascii="Times New Roman" w:hAnsi="Times New Roman" w:eastAsia="黑体" w:cs="Times New Roman"/>
          <w:bCs/>
          <w:color w:val="000000" w:themeColor="text1"/>
          <w:lang w:val="en-US"/>
          <w14:textFill>
            <w14:solidFill>
              <w14:schemeClr w14:val="tx1"/>
            </w14:solidFill>
          </w14:textFill>
        </w:rPr>
        <w:t>第二节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精准提升森林质量</w:t>
      </w:r>
      <w:bookmarkEnd w:id="34"/>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以构建稳定健康、优质高效的森林生态系统为目标，实施分类经营、分区施策，持续推进森林抚育、退化林修复和可持续经营。</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一、优化林分结构</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环城林带、阿哈湖绿核等为重点，实施分类经营，提升森林健康水平与固碳增汇能力。对新造幼林加强割灌除草等抚育管护，促进郁闭成林；对密度过高的幼、中、近熟林及时实施抚育，优化林分结构；对近、成、过熟用材林及时开展采伐更新；对树种单一、稳定性差的低质低效林，采取补植改造等措施调整树种结构。到2030年，实施森林抚育39万亩，其中贵阳市37万亩、贵安新区2万亩</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树种结构调整5万亩。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二、修复退化林分</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根据退化原因和退化程度，采取不同措施促进退化林生态系统正向演替。对重度退化或受重大有害生物危害的林分，实施小面积块状皆伐更新或林冠下造林；对中度退化林分，采用块状择伐或带状择伐；对轻度退化林分，通过疏伐、透光伐等措施补植乡土树种和珍贵树种。到2030年，完成退化林修复6万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三、推动可持续经营</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实施森林可持续经营试点，以国有林场和集体林地等为经营单位，科学编制森林经营方案，采取目标树培育、结构化抚育、可持续采伐等关键技术措施，定向培育以珍贵树种为优势的针阔混交林和阔叶混交林，实现森林可持续利用。到2030年，实施森林可持续经营试点面积0.5万亩。</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5" w:name="_Toc31970"/>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夯实林木种苗基础</w:t>
      </w:r>
      <w:bookmarkEnd w:id="35"/>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坚持种苗先行，健全良种选育、种质保护、苗木供应全链条体系，为造林绿化和森林质量提升提供优质种苗保障。</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一、建强保障性苗圃</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国有林场为重点，持续提升现有4个保障性苗圃的基础设施和装备水平，扩大生产规模，鼓励社会资本参与。推行保障性苗木免费调配制度，保障重大生态工程和义务植树公益用苗需求。到2030年，培育乡土珍贵苗木300万株。</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二、收集保护种质资源</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系统开展林木种质资源普查、收集与保存，重点保护珍稀濒危和特色乡土树种。依托长坡岭国有林场国家林木种质资源库和顺海林场，收集樟科、木兰科等乡土树种，开展保存、鉴定与利用研究。到2030年，种质资源库建设规模达300亩以上，累计收集保存林木种质资源600份以上。</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三、推广使用良种壮苗</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加强现有良种基地抚育管理，提升种子产量与品质。推进贵安新区国家华山松林木良种基地优化调整为山桐子国家良种基地。支持科研院所与企业联合开展良种选育与引种驯化，推广高产优质抗逆性强的优良品种。到2030年，主要造林树种和珍贵树种使用率达75%以上。</w:t>
      </w: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仿宋" w:cs="Times New Roman"/>
                <w:b/>
                <w:color w:val="000000" w:themeColor="text1"/>
                <w:sz w:val="28"/>
                <w:szCs w:val="28"/>
                <w14:textFill>
                  <w14:solidFill>
                    <w14:schemeClr w14:val="tx1"/>
                  </w14:solidFill>
                </w14:textFill>
              </w:rPr>
            </w:pPr>
            <w:r>
              <w:rPr>
                <w:rFonts w:hint="default" w:ascii="Times New Roman" w:hAnsi="Times New Roman" w:eastAsia="仿宋" w:cs="Times New Roman"/>
                <w:b/>
                <w:color w:val="000000" w:themeColor="text1"/>
                <w:sz w:val="28"/>
                <w:szCs w:val="28"/>
                <w14:textFill>
                  <w14:solidFill>
                    <w14:schemeClr w14:val="tx1"/>
                  </w14:solidFill>
                </w14:textFill>
              </w:rPr>
              <w:t>专栏2  造林提质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01 国土绿化美化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村寨绿化美化项目：</w:t>
            </w:r>
            <w:r>
              <w:rPr>
                <w:rFonts w:hint="default" w:ascii="Times New Roman" w:hAnsi="Times New Roman" w:eastAsia="仿宋" w:cs="Times New Roman"/>
                <w:color w:val="000000" w:themeColor="text1"/>
                <w:szCs w:val="21"/>
                <w14:textFill>
                  <w14:solidFill>
                    <w14:schemeClr w14:val="tx1"/>
                  </w14:solidFill>
                </w14:textFill>
              </w:rPr>
              <w:t>整村推进绿化美化村寨38个，四旁植树60万株。</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义务植树项目：</w:t>
            </w:r>
            <w:r>
              <w:rPr>
                <w:rFonts w:hint="default" w:ascii="Times New Roman" w:hAnsi="Times New Roman" w:eastAsia="仿宋" w:cs="Times New Roman"/>
                <w:color w:val="000000" w:themeColor="text1"/>
                <w:szCs w:val="21"/>
                <w14:textFill>
                  <w14:solidFill>
                    <w14:schemeClr w14:val="tx1"/>
                  </w14:solidFill>
                </w14:textFill>
              </w:rPr>
              <w:t>全民义务植树累计75万株（贵阳市70万株，贵安新区5万株）。</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石漠化综合治理项目：</w:t>
            </w:r>
            <w:r>
              <w:rPr>
                <w:rFonts w:hint="default" w:ascii="Times New Roman" w:hAnsi="Times New Roman" w:eastAsia="仿宋" w:cs="Times New Roman"/>
                <w:color w:val="000000" w:themeColor="text1"/>
                <w:szCs w:val="21"/>
                <w14:textFill>
                  <w14:solidFill>
                    <w14:schemeClr w14:val="tx1"/>
                  </w14:solidFill>
                </w14:textFill>
              </w:rPr>
              <w:t>完成石漠化综合治理面积40万亩（贵阳市38万亩，贵安新区2万亩）。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02 森林质量精准提升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森林质量精准提升项目：</w:t>
            </w:r>
            <w:r>
              <w:rPr>
                <w:rFonts w:hint="default" w:ascii="Times New Roman" w:hAnsi="Times New Roman" w:eastAsia="仿宋" w:cs="Times New Roman"/>
                <w:color w:val="000000" w:themeColor="text1"/>
                <w:szCs w:val="21"/>
                <w14:textFill>
                  <w14:solidFill>
                    <w14:schemeClr w14:val="tx1"/>
                  </w14:solidFill>
                </w14:textFill>
              </w:rPr>
              <w:t>完成森林质量精准提升50万亩（贵阳市48万亩，贵安新区2万亩）。</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森林抚育项目：</w:t>
            </w:r>
            <w:r>
              <w:rPr>
                <w:rFonts w:hint="default" w:ascii="Times New Roman" w:hAnsi="Times New Roman" w:eastAsia="仿宋" w:cs="Times New Roman"/>
                <w:color w:val="000000" w:themeColor="text1"/>
                <w:szCs w:val="21"/>
                <w14:textFill>
                  <w14:solidFill>
                    <w14:schemeClr w14:val="tx1"/>
                  </w14:solidFill>
                </w14:textFill>
              </w:rPr>
              <w:t>实施森林抚育39万亩（贵阳市37万亩，贵安新区2万亩）。</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退化林修复项目：</w:t>
            </w:r>
            <w:r>
              <w:rPr>
                <w:rFonts w:hint="default" w:ascii="Times New Roman" w:hAnsi="Times New Roman" w:eastAsia="仿宋" w:cs="Times New Roman"/>
                <w:color w:val="000000" w:themeColor="text1"/>
                <w:szCs w:val="21"/>
                <w14:textFill>
                  <w14:solidFill>
                    <w14:schemeClr w14:val="tx1"/>
                  </w14:solidFill>
                </w14:textFill>
              </w:rPr>
              <w:t>完成退化林修复6万亩。</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树种结构调整项目：</w:t>
            </w:r>
            <w:r>
              <w:rPr>
                <w:rFonts w:hint="default" w:ascii="Times New Roman" w:hAnsi="Times New Roman" w:eastAsia="仿宋" w:cs="Times New Roman"/>
                <w:color w:val="000000" w:themeColor="text1"/>
                <w:szCs w:val="21"/>
                <w14:textFill>
                  <w14:solidFill>
                    <w14:schemeClr w14:val="tx1"/>
                  </w14:solidFill>
                </w14:textFill>
              </w:rPr>
              <w:t>完成树种结构调整面积5万亩。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03 林木种苗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保障性苗圃建设项目：</w:t>
            </w:r>
            <w:r>
              <w:rPr>
                <w:rFonts w:hint="default" w:ascii="Times New Roman" w:hAnsi="Times New Roman" w:eastAsia="仿宋" w:cs="Times New Roman"/>
                <w:color w:val="000000" w:themeColor="text1"/>
                <w:szCs w:val="21"/>
                <w14:textFill>
                  <w14:solidFill>
                    <w14:schemeClr w14:val="tx1"/>
                  </w14:solidFill>
                </w14:textFill>
              </w:rPr>
              <w:t>持续提升改造保障性苗圃4个，培育保障性苗木300万株。</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良种基地建设项目：</w:t>
            </w:r>
            <w:r>
              <w:rPr>
                <w:rFonts w:hint="default" w:ascii="Times New Roman" w:hAnsi="Times New Roman" w:eastAsia="仿宋" w:cs="Times New Roman"/>
                <w:color w:val="000000" w:themeColor="text1"/>
                <w:szCs w:val="21"/>
                <w14:textFill>
                  <w14:solidFill>
                    <w14:schemeClr w14:val="tx1"/>
                  </w14:solidFill>
                </w14:textFill>
              </w:rPr>
              <w:t>改造建设贵安新区山桐子国家良种基地保障性苗圃1个。</w:t>
            </w:r>
          </w:p>
          <w:p>
            <w:pPr>
              <w:ind w:firstLine="420"/>
              <w:rPr>
                <w:rFonts w:hint="default" w:ascii="Times New Roman" w:hAnsi="Times New Roman" w:eastAsia="仿宋" w:cs="Times New Roman"/>
                <w:b/>
                <w:bCs/>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种质资源库建设项目：</w:t>
            </w:r>
            <w:r>
              <w:rPr>
                <w:rFonts w:hint="default" w:ascii="Times New Roman" w:hAnsi="Times New Roman" w:eastAsia="仿宋" w:cs="Times New Roman"/>
                <w:color w:val="000000" w:themeColor="text1"/>
                <w:szCs w:val="21"/>
                <w14:textFill>
                  <w14:solidFill>
                    <w14:schemeClr w14:val="tx1"/>
                  </w14:solidFill>
                </w14:textFill>
              </w:rPr>
              <w:t>长坡岭国有林场特色乡土树种国家林木种质资源库规模达300亩以上，累计收集保存林木种质资源600份以上。</w:t>
            </w:r>
          </w:p>
        </w:tc>
      </w:tr>
    </w:tbl>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bookmarkEnd w:id="32"/>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36" w:name="_Toc1882"/>
      <w:bookmarkStart w:id="37" w:name="OLE_LINK11"/>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六</w:t>
      </w:r>
      <w:r>
        <w:rPr>
          <w:rFonts w:ascii="Times New Roman" w:hAnsi="Times New Roman" w:eastAsia="方正小标宋_GBK" w:cs="Times New Roman"/>
          <w:color w:val="000000" w:themeColor="text1"/>
          <w:sz w:val="36"/>
          <w:szCs w:val="36"/>
          <w14:textFill>
            <w14:solidFill>
              <w14:schemeClr w14:val="tx1"/>
            </w14:solidFill>
          </w14:textFill>
        </w:rPr>
        <w:t>章  强化营林增效，壮大林业富民产业</w:t>
      </w:r>
      <w:bookmarkEnd w:id="36"/>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营林”是激活森林多重效益、释放生态红利的关键路径。必须坚持以释放生态红利、带动林农增收为核心，以产业融合发展为路径，聚焦森林康养、林下经济、特色林业等重点领域，推动产业链向高端化、智能化、绿色化延伸，构建“接二连三”融合发展格局，实现一产做优、二产做精、三产做强，推动生态优势转化为发展优势，助力乡村全面振兴。</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8" w:name="_Toc15757"/>
      <w:r>
        <w:rPr>
          <w:rFonts w:ascii="Times New Roman" w:hAnsi="Times New Roman" w:eastAsia="黑体" w:cs="Times New Roman"/>
          <w:bCs/>
          <w:color w:val="000000" w:themeColor="text1"/>
          <w:lang w:val="en-US"/>
          <w14:textFill>
            <w14:solidFill>
              <w14:schemeClr w14:val="tx1"/>
            </w14:solidFill>
          </w14:textFill>
        </w:rPr>
        <w:t xml:space="preserve">第一节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做强森林康养旅居产业</w:t>
      </w:r>
      <w:bookmarkEnd w:id="38"/>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充分发挥贵阳“避暑之都”气候优势和森林资源优势，构建近郊与远郊联动、点线面结合的森林康养产业体系。</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一、建设近郊康养基地群</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鹿冲关森林公园为核心引擎，推进“一园一带两区八景”总体布局落地，完善森林康养、避暑旅居、山地运动、文创研学四大产业体系，打造集休闲度假、养生保健、康复疗养、生态体验于一体的综合性都市森林康养度假区。拓展乌当区全域康养空间，提升改造修文桃源河等现有基地，加快建设白云初垦庄园、花溪孟关林场等基地。到2030年，近郊森林康养基地数量达6个以上。</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二、培育远郊康养目的地</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ascii="Times New Roman" w:hAnsi="Times New Roman" w:eastAsia="仿宋_GB2312" w:cs="Times New Roman"/>
          <w:color w:val="000000" w:themeColor="text1"/>
          <w:sz w:val="32"/>
          <w:szCs w:val="32"/>
          <w14:textFill>
            <w14:solidFill>
              <w14:schemeClr w14:val="tx1"/>
            </w14:solidFill>
          </w14:textFill>
        </w:rPr>
        <w:t>云漫湖、开阳水东乡舍等为重点，利用食药、茶、温泉等资源，打造夏秋避暑、冬春温泉特色康养基地，推进清镇竹海、修文峰泰湖等基地建设，完善生态体验、自然教育、康体疗养等基础设施。到2030年，远郊森林康养基地达10个以上，其中贵阳市9个、贵安新区1个，力争建成全域康养区（市、县）7个。</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39" w:name="_Toc2576"/>
      <w:r>
        <w:rPr>
          <w:rFonts w:ascii="Times New Roman" w:hAnsi="Times New Roman" w:eastAsia="黑体" w:cs="Times New Roman"/>
          <w:bCs/>
          <w:color w:val="000000" w:themeColor="text1"/>
          <w:lang w:val="en-US"/>
          <w14:textFill>
            <w14:solidFill>
              <w14:schemeClr w14:val="tx1"/>
            </w14:solidFill>
          </w14:textFill>
        </w:rPr>
        <w:t xml:space="preserve">第二节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拓展“森林+”融合业态</w:t>
      </w:r>
      <w:bookmarkEnd w:id="39"/>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推动林业与文旅、体育、医疗等产业深度融合，培育新业态、打造新场景、拓展新空间。</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一、融合文旅场景</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协同文旅部门，以阿哈湖湿地公园、长坡岭国家森林公园、鹿冲关、登高云山省级森林公园、盘龙山森林公园等为重点，谋划建设森林书屋、森林咖啡馆、森林音乐会、森林灯光艺术展、森林剧场、城市森林夜探、昆虫旅馆等林下文旅场景，打造便捷可达、体验丰富的都市森林休闲圈。</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二、融合体育项目</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联动体育部门，依托一环林带资源，升级改造林区道路、森林步道等基础设施，推出林间智能健身步道、森林骑行、森林摩托越野赛、树木攀爬体验场、定向越野迷宫、森林平衡木与低空拓展、林下太极/瑜伽广场、森林跑酷训练场等特色项目，发展都市森林体育运动，丰富市民健身休闲选择。</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三、融合医疗康养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加强与医院及高校合作，整合森林资源与医疗康养资源，打造森林保健、森林养生、森林食疗、森林心理健康咨询站、森林音疗睡眠舱、都市减压森林浴、五感调节训练区等森林SPA疗养体验项目，推动生态康养产业发展，提升市民健康保障水平。</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0" w:name="_Toc18268"/>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做大传统林业产业</w:t>
      </w:r>
      <w:bookmarkEnd w:id="40"/>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立足资源禀赋和产业基础，推动林下经济、花卉苗木、特色林业等传统产业提质增效、扩面增量。</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一、发展林下经济</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（一）种植中药材。</w:t>
      </w:r>
      <w:r>
        <w:rPr>
          <w:rFonts w:ascii="Times New Roman" w:hAnsi="Times New Roman" w:eastAsia="仿宋_GB2312" w:cs="Times New Roman"/>
          <w:color w:val="000000" w:themeColor="text1"/>
          <w:sz w:val="32"/>
          <w:szCs w:val="32"/>
          <w14:textFill>
            <w14:solidFill>
              <w14:schemeClr w14:val="tx1"/>
            </w14:solidFill>
          </w14:textFill>
        </w:rPr>
        <w:t>在贵安新区、修文县、开阳县、息烽县、清镇市等区域，按照“一县一品”思路，重点推动黄柏、黄精、天麻等中药材产业提质扩面发展。实施林业重点工程林药两用林建设，充分利用林下空间开展林药复合种植。到2030年，林下中药材种植面积达12万亩，其中贵阳市11万亩，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ascii="Times New Roman" w:hAnsi="Times New Roman" w:eastAsia="仿宋_GB2312" w:cs="Times New Roman"/>
          <w:color w:val="000000" w:themeColor="text1"/>
          <w:sz w:val="32"/>
          <w:szCs w:val="32"/>
          <w14:textFill>
            <w14:solidFill>
              <w14:schemeClr w14:val="tx1"/>
            </w14:solidFill>
          </w14:textFill>
        </w:rPr>
        <w:t>1万亩；中药材种植示范基地25个，其中贵阳市17个，贵安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ascii="Times New Roman" w:hAnsi="Times New Roman" w:eastAsia="仿宋_GB2312" w:cs="Times New Roman"/>
          <w:color w:val="000000" w:themeColor="text1"/>
          <w:sz w:val="32"/>
          <w:szCs w:val="32"/>
          <w14:textFill>
            <w14:solidFill>
              <w14:schemeClr w14:val="tx1"/>
            </w14:solidFill>
          </w14:textFill>
        </w:rPr>
        <w:t>8个。</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（二）培育食用菌。</w:t>
      </w:r>
      <w:r>
        <w:rPr>
          <w:rFonts w:ascii="Times New Roman" w:hAnsi="Times New Roman" w:eastAsia="仿宋_GB2312" w:cs="Times New Roman"/>
          <w:color w:val="000000" w:themeColor="text1"/>
          <w:sz w:val="32"/>
          <w:szCs w:val="32"/>
          <w14:textFill>
            <w14:solidFill>
              <w14:schemeClr w14:val="tx1"/>
            </w14:solidFill>
          </w14:textFill>
        </w:rPr>
        <w:t>稳步推进林下赤松茸、羊肚菌、马桑菌等食用菌规模化种植，加大野生菌保育力度，规范建设乌当水田、花溪孟关、贵安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ascii="Times New Roman" w:hAnsi="Times New Roman" w:eastAsia="仿宋_GB2312" w:cs="Times New Roman"/>
          <w:color w:val="000000" w:themeColor="text1"/>
          <w:sz w:val="32"/>
          <w:szCs w:val="32"/>
          <w14:textFill>
            <w14:solidFill>
              <w14:schemeClr w14:val="tx1"/>
            </w14:solidFill>
          </w14:textFill>
        </w:rPr>
        <w:t>湖潮平寨等野生食用菌市场，提高林下野生食用菌质量和产量。到2030年，种植规模稳定在1万亩以上，打造种植示范基地5个，野生菌保育面积达10万亩以上。</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（三）养殖林蜂林禽。</w:t>
      </w:r>
      <w:r>
        <w:rPr>
          <w:rFonts w:ascii="Times New Roman" w:hAnsi="Times New Roman" w:eastAsia="仿宋_GB2312" w:cs="Times New Roman"/>
          <w:color w:val="000000" w:themeColor="text1"/>
          <w:sz w:val="32"/>
          <w:szCs w:val="32"/>
          <w14:textFill>
            <w14:solidFill>
              <w14:schemeClr w14:val="tx1"/>
            </w14:solidFill>
          </w14:textFill>
        </w:rPr>
        <w:t>在蜜源植物丰富、养殖基础扎实的开阳县、息烽县、修文县、清镇市等区域，持续发展林蜂生态养殖；立足产业基础，采取适度规模轮作放养方式，发展林禽、林畜等养殖产业。到2030年，林下养殖示范基地5个，林下养殖利用面积达10万亩。</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（四）建设种源基地。</w:t>
      </w:r>
      <w:r>
        <w:rPr>
          <w:rFonts w:ascii="Times New Roman" w:hAnsi="Times New Roman" w:eastAsia="仿宋_GB2312" w:cs="Times New Roman"/>
          <w:color w:val="000000" w:themeColor="text1"/>
          <w:sz w:val="32"/>
          <w:szCs w:val="32"/>
          <w14:textFill>
            <w14:solidFill>
              <w14:schemeClr w14:val="tx1"/>
            </w14:solidFill>
          </w14:textFill>
        </w:rPr>
        <w:t>以白云区、乌当区、清镇市、开阳县、修文县、贵安新区为重点，加大良种培育和本土品种选育扶持力度，建设中药材、食用菌、花卉苗木种苗研发扩繁基地。到2030年，累计建成中药材种苗生产基地6个、菌种研发扩繁基地4个、花卉苗木种苗生产基地25个。</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二、提升花旅品牌</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沿贵黄路、花安高速、贵瓮高速布局，重点发展樱花、梅花、百合、绣球、月季等花卉产业基地，打造花旅融合产业示范区。扶壮扶强贵安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ascii="Times New Roman" w:hAnsi="Times New Roman" w:eastAsia="仿宋_GB2312" w:cs="Times New Roman"/>
          <w:color w:val="000000" w:themeColor="text1"/>
          <w:sz w:val="32"/>
          <w:szCs w:val="32"/>
          <w14:textFill>
            <w14:solidFill>
              <w14:schemeClr w14:val="tx1"/>
            </w14:solidFill>
          </w14:textFill>
        </w:rPr>
        <w:t>樱花园、梅园、绣球园、清镇百合园、乌当羊昌花画小镇</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ascii="Times New Roman" w:hAnsi="Times New Roman" w:eastAsia="仿宋_GB2312" w:cs="Times New Roman"/>
          <w:color w:val="000000" w:themeColor="text1"/>
          <w:sz w:val="32"/>
          <w:szCs w:val="32"/>
          <w14:textFill>
            <w14:solidFill>
              <w14:schemeClr w14:val="tx1"/>
            </w14:solidFill>
          </w14:textFill>
        </w:rPr>
        <w:t>花溪高坡花海等花旅融合产业，形成黔中花景IP打卡地。到2030年，培育花卉苗木8500万株，打造花旅融合示范基地5个。</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三、升级特色林业</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持续发展木本粮油、竹笋两用等特色产业，重点在清镇市、开阳县、息烽县等区域，推进笋用竹林等特色经济林基地新建、改造，全面提升特色林产品供给能力。到2030年，发展特色林业产业面积15万亩。</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1" w:name="_Toc5738"/>
      <w:r>
        <w:rPr>
          <w:rFonts w:ascii="Times New Roman" w:hAnsi="Times New Roman" w:eastAsia="黑体" w:cs="Times New Roman"/>
          <w:bCs/>
          <w:color w:val="000000" w:themeColor="text1"/>
          <w:lang w:val="en-US"/>
          <w14:textFill>
            <w14:solidFill>
              <w14:schemeClr w14:val="tx1"/>
            </w14:solidFill>
          </w14:textFill>
        </w:rPr>
        <w:t xml:space="preserve">第四节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建强现代产业体系</w:t>
      </w:r>
      <w:bookmarkEnd w:id="41"/>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以培育壮大经营主体为核心，以品牌创建为引领，以精深加工为突破口，全面提升林业产业综合竞争力。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一、壮大经营主体</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实施新型林业经营主体培育工程，加快培育龙头企业、林业专业合作经济组织、家庭林场、林业产业化联合体等新型经营主体，推动林业产业集群发展。精准引进一批生产规模大、科研实力强、销售渠道畅的行业龙头企业，发挥引领带动作用。鼓励龙头企业通过“公司+合作社+农户+基地”等模式与农户构建紧密利益联结机制。到2030年，林业产业经营主体达240个，省级以上龙头企业22个。</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二、创建林业品牌</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培育“爽林珍品”高端林产品城市公共品牌，建立林产品品牌目录，推动林产品从“规模扩面”向“品牌提升”转型。支持企业搭建质量追溯平台，打造“行业标杆品牌”；扶持指导企业申报“有机产品认证”，定期发布林产品目录；依托扎佐物流园，打造集销售、仓储、物流为一体的全省林产品销售集散地；线上线下联动举办“林产品展销会”，集中展销培育品牌，帮助企业拓展销售渠道。</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三、扶强精深加工</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按照“种植在全省，加工在贵阳”的发展思路，围绕刺梨、茶叶、花椒、皂角、山桐子等产品，争取国家、省、市扶持政策、资金、贷款贴息，扶持壮大木本油料、饮品调料、化工洗液精深加工。围绕食用菌、中药材、蜂蜜等产品，扶强林下经济产品精深加工企业；围绕板材、家居用品、生物燃料、竹材及工艺品等产品，培育木竹精深加工基地，推动产业链延伸升级。到2030年，规模以上林产品加工企业达20家以上。</w:t>
      </w: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仿宋" w:cs="Times New Roman"/>
                <w:b/>
                <w:color w:val="000000" w:themeColor="text1"/>
                <w:sz w:val="28"/>
                <w:szCs w:val="28"/>
                <w14:textFill>
                  <w14:solidFill>
                    <w14:schemeClr w14:val="tx1"/>
                  </w14:solidFill>
                </w14:textFill>
              </w:rPr>
            </w:pPr>
            <w:r>
              <w:rPr>
                <w:rFonts w:hint="default" w:ascii="Times New Roman" w:hAnsi="Times New Roman" w:eastAsia="仿宋" w:cs="Times New Roman"/>
                <w:b/>
                <w:color w:val="000000" w:themeColor="text1"/>
                <w:sz w:val="28"/>
                <w:szCs w:val="28"/>
                <w14:textFill>
                  <w14:solidFill>
                    <w14:schemeClr w14:val="tx1"/>
                  </w14:solidFill>
                </w14:textFill>
              </w:rPr>
              <w:t>专栏3  营林增效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01 森林康养基地提升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全域森林康养县（区）建设项目：</w:t>
            </w:r>
            <w:r>
              <w:rPr>
                <w:rFonts w:hint="default" w:ascii="Times New Roman" w:hAnsi="Times New Roman" w:eastAsia="仿宋" w:cs="Times New Roman"/>
                <w:color w:val="000000" w:themeColor="text1"/>
                <w:szCs w:val="21"/>
                <w14:textFill>
                  <w14:solidFill>
                    <w14:schemeClr w14:val="tx1"/>
                  </w14:solidFill>
                </w14:textFill>
              </w:rPr>
              <w:t>打造全域森林康养县（区）7个。</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森林康养示范基地建设：</w:t>
            </w:r>
            <w:r>
              <w:rPr>
                <w:rFonts w:hint="default" w:ascii="Times New Roman" w:hAnsi="Times New Roman" w:eastAsia="仿宋" w:cs="Times New Roman"/>
                <w:color w:val="000000" w:themeColor="text1"/>
                <w:szCs w:val="21"/>
                <w14:textFill>
                  <w14:solidFill>
                    <w14:schemeClr w14:val="tx1"/>
                  </w14:solidFill>
                </w14:textFill>
              </w:rPr>
              <w:t>建成森林康养示范基地10个以上（贵阳市9个，贵安新区1个）。</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“森林+”特色产业基地培育项目：</w:t>
            </w:r>
            <w:r>
              <w:rPr>
                <w:rFonts w:hint="default" w:ascii="Times New Roman" w:hAnsi="Times New Roman" w:eastAsia="仿宋" w:cs="Times New Roman"/>
                <w:color w:val="000000" w:themeColor="text1"/>
                <w:szCs w:val="21"/>
                <w14:textFill>
                  <w14:solidFill>
                    <w14:schemeClr w14:val="tx1"/>
                  </w14:solidFill>
                </w14:textFill>
              </w:rPr>
              <w:t>培育打造“森林+”特色产业基地30个。</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02 传统产业扩面提质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林下中药材项目：</w:t>
            </w:r>
            <w:r>
              <w:rPr>
                <w:rFonts w:hint="default" w:ascii="Times New Roman" w:hAnsi="Times New Roman" w:eastAsia="仿宋" w:cs="Times New Roman"/>
                <w:color w:val="000000" w:themeColor="text1"/>
                <w:szCs w:val="21"/>
                <w14:textFill>
                  <w14:solidFill>
                    <w14:schemeClr w14:val="tx1"/>
                  </w14:solidFill>
                </w14:textFill>
              </w:rPr>
              <w:t>林下中药材种植面积达12万亩（贵阳市11万亩，贵安新区1万亩），打造中药材种植示范基地25个（贵阳市17个，贵安新区8个）。</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林下食用菌项目：</w:t>
            </w:r>
            <w:r>
              <w:rPr>
                <w:rFonts w:hint="default" w:ascii="Times New Roman" w:hAnsi="Times New Roman" w:eastAsia="仿宋" w:cs="Times New Roman"/>
                <w:color w:val="000000" w:themeColor="text1"/>
                <w:szCs w:val="21"/>
                <w14:textFill>
                  <w14:solidFill>
                    <w14:schemeClr w14:val="tx1"/>
                  </w14:solidFill>
                </w14:textFill>
              </w:rPr>
              <w:t>林下食用菌种植累计达1万亩以上，打造种植示范基地5个以上，野生菌保育面积达10万亩以上。</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林下养殖项目：</w:t>
            </w:r>
            <w:r>
              <w:rPr>
                <w:rFonts w:hint="default" w:ascii="Times New Roman" w:hAnsi="Times New Roman" w:eastAsia="仿宋" w:cs="Times New Roman"/>
                <w:color w:val="000000" w:themeColor="text1"/>
                <w:szCs w:val="21"/>
                <w14:textFill>
                  <w14:solidFill>
                    <w14:schemeClr w14:val="tx1"/>
                  </w14:solidFill>
                </w14:textFill>
              </w:rPr>
              <w:t>林下养殖示范基地5个，林下养殖面积达到10万亩。</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种源扩繁项目：</w:t>
            </w:r>
            <w:r>
              <w:rPr>
                <w:rFonts w:hint="default" w:ascii="Times New Roman" w:hAnsi="Times New Roman" w:eastAsia="仿宋" w:cs="Times New Roman"/>
                <w:color w:val="000000" w:themeColor="text1"/>
                <w:szCs w:val="21"/>
                <w14:textFill>
                  <w14:solidFill>
                    <w14:schemeClr w14:val="tx1"/>
                  </w14:solidFill>
                </w14:textFill>
              </w:rPr>
              <w:t>建成中药材种苗生产基地6个、菌种研发扩繁基地4个、花卉苗木种苗生产基地25个。</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花旅融合项目：</w:t>
            </w:r>
            <w:r>
              <w:rPr>
                <w:rFonts w:hint="default" w:ascii="Times New Roman" w:hAnsi="Times New Roman" w:eastAsia="仿宋" w:cs="Times New Roman"/>
                <w:color w:val="000000" w:themeColor="text1"/>
                <w:szCs w:val="21"/>
                <w14:textFill>
                  <w14:solidFill>
                    <w14:schemeClr w14:val="tx1"/>
                  </w14:solidFill>
                </w14:textFill>
              </w:rPr>
              <w:t>打造花旅融合示范基地5个，种植各类观赏花卉苗木8500万株。</w:t>
            </w:r>
          </w:p>
          <w:p>
            <w:pPr>
              <w:adjustRightInd w:val="0"/>
              <w:snapToGrid w:val="0"/>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特色经济林项目：</w:t>
            </w:r>
            <w:r>
              <w:rPr>
                <w:rFonts w:hint="default" w:ascii="Times New Roman" w:hAnsi="Times New Roman" w:eastAsia="仿宋" w:cs="Times New Roman"/>
                <w:color w:val="000000" w:themeColor="text1"/>
                <w:szCs w:val="21"/>
                <w14:textFill>
                  <w14:solidFill>
                    <w14:schemeClr w14:val="tx1"/>
                  </w14:solidFill>
                </w14:textFill>
              </w:rPr>
              <w:t>发展特色林业产业面积15万亩。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03 培育壮大经营主体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经营主体培育项目：</w:t>
            </w:r>
            <w:r>
              <w:rPr>
                <w:rFonts w:hint="default" w:ascii="Times New Roman" w:hAnsi="Times New Roman" w:eastAsia="仿宋" w:cs="Times New Roman"/>
                <w:color w:val="000000" w:themeColor="text1"/>
                <w:szCs w:val="21"/>
                <w14:textFill>
                  <w14:solidFill>
                    <w14:schemeClr w14:val="tx1"/>
                  </w14:solidFill>
                </w14:textFill>
              </w:rPr>
              <w:t>采取招商引资、引优扶强等方式，持续加大林业产业经营主体培育力度，到2030年经营主体达240家。</w:t>
            </w:r>
          </w:p>
          <w:p>
            <w:pPr>
              <w:adjustRightInd w:val="0"/>
              <w:snapToGrid w:val="0"/>
              <w:ind w:firstLine="42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eastAsia="仿宋" w:cs="Times New Roman"/>
                <w:b/>
                <w:color w:val="000000" w:themeColor="text1"/>
                <w:szCs w:val="21"/>
                <w14:textFill>
                  <w14:solidFill>
                    <w14:schemeClr w14:val="tx1"/>
                  </w14:solidFill>
                </w14:textFill>
              </w:rPr>
              <w:t>龙头企业培育项目：</w:t>
            </w:r>
            <w:r>
              <w:rPr>
                <w:rFonts w:hint="default" w:ascii="Times New Roman" w:hAnsi="Times New Roman" w:eastAsia="仿宋" w:cs="Times New Roman"/>
                <w:color w:val="000000" w:themeColor="text1"/>
                <w:szCs w:val="21"/>
                <w14:textFill>
                  <w14:solidFill>
                    <w14:schemeClr w14:val="tx1"/>
                  </w14:solidFill>
                </w14:textFill>
              </w:rPr>
              <w:t>省级以上林业龙头企业达到22家（其中林产品精深加工企业达到10家），规模以上林产品加工企业达到20家。</w:t>
            </w:r>
          </w:p>
        </w:tc>
      </w:tr>
    </w:tbl>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bookmarkEnd w:id="37"/>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42" w:name="_Toc1568"/>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七</w:t>
      </w:r>
      <w:r>
        <w:rPr>
          <w:rFonts w:ascii="Times New Roman" w:hAnsi="Times New Roman" w:eastAsia="方正小标宋_GBK" w:cs="Times New Roman"/>
          <w:color w:val="000000" w:themeColor="text1"/>
          <w:sz w:val="36"/>
          <w:szCs w:val="36"/>
          <w14:textFill>
            <w14:solidFill>
              <w14:schemeClr w14:val="tx1"/>
            </w14:solidFill>
          </w14:textFill>
        </w:rPr>
        <w:t>章  强化治林管护，筑牢生态安全屏障</w:t>
      </w:r>
      <w:bookmarkEnd w:id="42"/>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治林”是守护森林资源安全、维护生态系统稳定的重要保障。必须坚持以筑牢森林资源安全屏障为核心，统筹林草资源保护、自然保护地建设、湿地修复、野生动植物保护、森林防火、有害生物防治等重点工作，完善管护体系、强化科技赋能，推动治林工作向精准化、智能化、规范化转型，全方位守护林草湿生态系统的完整性与稳定性。</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3" w:name="_Toc2899"/>
      <w:r>
        <w:rPr>
          <w:rFonts w:ascii="Times New Roman" w:hAnsi="Times New Roman" w:eastAsia="黑体" w:cs="Times New Roman"/>
          <w:bCs/>
          <w:color w:val="000000" w:themeColor="text1"/>
          <w:lang w:val="en-US"/>
          <w14:textFill>
            <w14:solidFill>
              <w14:schemeClr w14:val="tx1"/>
            </w14:solidFill>
          </w14:textFill>
        </w:rPr>
        <w:t xml:space="preserve">第一节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加强林草资源保护管理</w:t>
      </w:r>
      <w:bookmarkEnd w:id="43"/>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严格林地草原用途管控，健全资源监测体系，构建协同高效的林草资源保护管理新格局。</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一、严格资源保护修复</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严格林地、草原用途管控和定额管理，强化源头管控</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和批后监管</w:t>
      </w:r>
      <w:r>
        <w:rPr>
          <w:rFonts w:ascii="Times New Roman" w:hAnsi="Times New Roman" w:eastAsia="仿宋_GB2312" w:cs="Times New Roman"/>
          <w:color w:val="000000" w:themeColor="text1"/>
          <w:sz w:val="32"/>
          <w:szCs w:val="32"/>
          <w14:textFill>
            <w14:solidFill>
              <w14:schemeClr w14:val="tx1"/>
            </w14:solidFill>
          </w14:textFill>
        </w:rPr>
        <w:t>，严防林地、草原违规占用。协同开展年度国土变更调查和林草湿荒调查监测，高质量编制林地保护利用规划</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与国土绿化空间专项规划</w:t>
      </w:r>
      <w:r>
        <w:rPr>
          <w:rFonts w:ascii="Times New Roman" w:hAnsi="Times New Roman" w:eastAsia="仿宋_GB2312" w:cs="Times New Roman"/>
          <w:color w:val="000000" w:themeColor="text1"/>
          <w:sz w:val="32"/>
          <w:szCs w:val="32"/>
          <w14:textFill>
            <w14:solidFill>
              <w14:schemeClr w14:val="tx1"/>
            </w14:solidFill>
          </w14:textFill>
        </w:rPr>
        <w:t>，划定并加强林地管理边界落地管理。加强天然林保护，实行分类管控，继续全面停止天然林商品性采伐，严格控制占用天然林行为。探索天然林与公益林管理并轨，推动规划布局、基础数据、补偿政策与管护制度统一，构建协同高效的天然林和公益林一体化保护体系。</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二、健全动态监测体系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综合利用卫星影像、无人机等技术，整合巡护轨迹记录、火警自动告警、病虫害监测等功能，构建“全链条、智能化”监测体系，推动智慧林业平台升级。常态化监测林地、草原、湿地等地类变化图斑，实现林草湿荒“一张图”数据库动态更新、精准预警与快速响应。建立年度保护发展评价指标体系，定期评估林地保有量、森林覆盖率等约束性指标的动态变化与完成情况，为林草资源保护管理提供科学支撑。</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4" w:name="_Toc32230"/>
      <w:r>
        <w:rPr>
          <w:rFonts w:ascii="Times New Roman" w:hAnsi="Times New Roman" w:eastAsia="黑体" w:cs="Times New Roman"/>
          <w:bCs/>
          <w:color w:val="000000" w:themeColor="text1"/>
          <w:lang w:val="en-US"/>
          <w14:textFill>
            <w14:solidFill>
              <w14:schemeClr w14:val="tx1"/>
            </w14:solidFill>
          </w14:textFill>
        </w:rPr>
        <w:t xml:space="preserve">第二节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推进自然保护地体系建设</w:t>
      </w:r>
      <w:bookmarkEnd w:id="44"/>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持续推进自然保护地整合优化，健全管理体系，提升管护能力，探索共建共享新机制。</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一、健全保护地体系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推进自然保护地整合优化，全面开展勘界立标、本底调查、自然资源确权登记及矢量数据库建设，明确自然保护地范围和管控边界。科学编制自然保护地总体规划及详细规划，明确功能分区、生态保护、修复治理、科研监测、社区协调等重点任务，细化分区管控与准入要求。健全自然保护地管理机构和人员队伍，完善管理机制，强化履职能力。建立从规划编制、审批、实施到评估、修编的全流程闭环管理机制，全面提升自然保护地治理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二、提升管护能力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整合卫星遥感、无人机巡护、红外相机等多源监测数据，升级完善</w:t>
      </w:r>
      <w:r>
        <w:rPr>
          <w:rFonts w:hint="eastAsia" w:ascii="Times New Roman" w:hAnsi="Times New Roman" w:eastAsia="仿宋_GB2312" w:cs="Times New Roman"/>
          <w:color w:val="000000" w:themeColor="text1"/>
          <w:sz w:val="32"/>
          <w:szCs w:val="32"/>
          <w14:textFill>
            <w14:solidFill>
              <w14:schemeClr w14:val="tx1"/>
            </w14:solidFill>
          </w14:textFill>
        </w:rPr>
        <w:t>自然保护地管理系统</w:t>
      </w:r>
      <w:r>
        <w:rPr>
          <w:rFonts w:ascii="Times New Roman" w:hAnsi="Times New Roman" w:eastAsia="仿宋_GB2312" w:cs="Times New Roman"/>
          <w:color w:val="000000" w:themeColor="text1"/>
          <w:sz w:val="32"/>
          <w:szCs w:val="32"/>
          <w14:textFill>
            <w14:solidFill>
              <w14:schemeClr w14:val="tx1"/>
            </w14:solidFill>
          </w14:textFill>
        </w:rPr>
        <w:t>、巡护管理系统、资源环境监测系统，加强自然保护地动态监测。建立与自然资源、生态环境、水务等部门的联席会议制度，开展联合执法和常态化巡护执法。运用智慧监测系统，构建“监测预警—线索移交—执法查处—督办整改”的协同机制，严厉打击破坏自然保护地生态环境的违法违规行为。</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三、探索共建共享</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推动自然保护地多元共建共享，鼓励通过特许经营方式引导企业参与生态旅游、生态产品开发等项目，吸引社会资本投入。联合周边社区共同挖掘生态与旅游资源，开发特色生态产品，构建“政府主导、科研支撑、企业参与、公众监督”的多元化共建格局。完善政府、企业、社区及公众的收益分配机制与社区利益联结机制，实现生态保护与社区发展共赢。</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5" w:name="_Toc25108"/>
      <w:r>
        <w:rPr>
          <w:rFonts w:ascii="Times New Roman" w:hAnsi="Times New Roman" w:eastAsia="黑体" w:cs="Times New Roman"/>
          <w:bCs/>
          <w:color w:val="000000" w:themeColor="text1"/>
          <w:lang w:val="en-US"/>
          <w14:textFill>
            <w14:solidFill>
              <w14:schemeClr w14:val="tx1"/>
            </w14:solidFill>
          </w14:textFill>
        </w:rPr>
        <w:t>第三节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维护湿地生态系统稳定</w:t>
      </w:r>
      <w:bookmarkEnd w:id="45"/>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完善湿地保护管理体系，推进湿地生态修复，强化动态监测，维护湿地生态功能和生物多样性。</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一、完善保护管理体系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加强湿地用途监管，防止湿地面积缩减和功能退化。落实湿地面积总量管控和分级分类保护制度，发布湿地名录，健全湿地保护协同机制。强化湿地保护管理机构能力建设，积极探索湿地保护创新管理模式，提升湿地保护管理水平。</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二、推进湿地生态修复</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重点推进红枫湖、百花湖、阿哈湖等重要湿地生态修复，提升湿地生态系统完整性和稳定性。栽植乡土湿地植物，构建健康稳定的湿地植被群落。加强外来入侵物种防控，提升监测预警与清除能力，遏制外来入侵物种扩散蔓延。推广小微湿地建设，将小微湿地融入社区与城市空间，提升城市生态品质。</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三、强化动态监测</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利用遥感、无人机、固定监测站等手段，整合自然资源、生态环境等部门数据，对重要湿地开展动态监测，实现对湿地类型、面积、水质、生物多样性、威胁因子等关键指标的动态感知和跟踪。依托贵州贵阳城市生态系统定位观测研究站建设，逐步拓展监测范围，为湿地保护管理和生态修复提供科学依据。</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6" w:name="_Toc31369"/>
      <w:r>
        <w:rPr>
          <w:rFonts w:ascii="Times New Roman" w:hAnsi="Times New Roman" w:eastAsia="黑体" w:cs="Times New Roman"/>
          <w:bCs/>
          <w:color w:val="000000" w:themeColor="text1"/>
          <w:lang w:val="en-US"/>
          <w14:textFill>
            <w14:solidFill>
              <w14:schemeClr w14:val="tx1"/>
            </w14:solidFill>
          </w14:textFill>
        </w:rPr>
        <w:t>第四节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加强野生动植物保护</w:t>
      </w:r>
      <w:bookmarkEnd w:id="46"/>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健全野生动植物资源监测体系，加强珍稀濒危物种拯救保护，提升收容救护和疫病防控能力。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一、完善监测体系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推进陆生野生动物和森林植物资源保护和监测工作，建立陆生野生动物和重点保护野生植物档案，优化野生动物监测设施设备，应用监测新技术，针对重点区域、重点物种开展动态监测保护，全面掌握野生动植物资源动态。</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二、拯救濒危物种</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实施珍稀濒危野生动植物栖息地保护与修复工程，开展中华秋沙鸭、花榈木、贵州山核桃等珍稀濒危物种及其栖息地的专项监测与保护。聚焦雉类、贵州山核桃等珍稀濒危物种的人工繁育和野外回归研究，公布贵阳市野生植物重要原生境保护名录，建成一批珍稀植物原生境保护点。开展全国保护鸟类活动和打击非法捕猎贩卖鸟类专项行动，严厉打击破坏野生动植物资源的违法行为。</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三、防控疫病疫情</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基于AI、地理信息化及大模型等新技术，整合现有远程监测系统，研发建立鸟类等野生动物智能化监测系统，提升陆生野生动物疫源疫病监测预警和防范控制能力。加快推进贵州贵阳野生动物收容救护中心项目建设，完善隔离检疫、收容饲养、康养及野化训练等基础设施，实现对伤病、受困野生动物的及时收容救治与放归。</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四、保护古树名木</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配合做好全省古树名木第3次资源普查，完成古树名木复核及新一轮入库挂牌，公布古树名木名录及数量，利用全国古树名木智慧管理系统实现智慧化管理。持续为登记在册的古树名木统一购买保险，因地制宜开展管护、复壮及生境修复改造。到2030年，实现全市古树名木保护率100%。</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7" w:name="_Toc14371"/>
      <w:r>
        <w:rPr>
          <w:rFonts w:ascii="Times New Roman" w:hAnsi="Times New Roman" w:eastAsia="黑体" w:cs="Times New Roman"/>
          <w:bCs/>
          <w:color w:val="000000" w:themeColor="text1"/>
          <w:lang w:val="en-US"/>
          <w14:textFill>
            <w14:solidFill>
              <w14:schemeClr w14:val="tx1"/>
            </w14:solidFill>
          </w14:textFill>
        </w:rPr>
        <w:t>第五节</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 xml:space="preserve"> 提升森林防火能力</w:t>
      </w:r>
      <w:bookmarkEnd w:id="47"/>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坚持“预防为主、积极消灭、生命至上、安全第一”方针，全面提升预警监测、应急处置和综合保障能力，构建高效协同的森林防灭火体系。到2030年，年度森林火灾受害率稳定控制在0.6‰以下。</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一、强化预防能力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加强林区远程视频监测系统和防火卡点智能化建设，综合利用远程视频监控、无人机、瞭望塔等监测手段，形成集监测、预警、提示于一体的立体化监测网络。到2030年，新增林火远程视频监控250套。在森林防火期开展高密度、常态化宣传，规范设置智能语音警示设备、宣传牌、电子显示屏等宣教设施。结合现有阻隔系统分布，补齐补强防火隔离带，形成网状林火阻隔系统。到2030年，规划建设森林防火应急道路125.1公里。严格执行禁火令，压实防火责任，严格野外用火审批与监管，持续开展风险隐患排查整治。</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二、提升处置能力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参照《森林消防队伍建设标准》要求，充分发挥现有扑火机具装备作用，积极探索无人机、机器人等新兴装备在森林防灭火中的应用，配备补充现代化扑救装备。加强市、县、乡、村四级专业、半专业森林消防队伍建设，每年开展防灭火专业技能培训与实战演练，提升综合处置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三、健全保障机制</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各级森林防火成员单位按职责分工密切协作，建立健全防火工作考核与责任追究机制。将森林火灾预防经费、专业队伍人员经费纳入各级财政预算，建立预警、通信、信息等设施运行维护经费渠道。建立高效稳定的“以水灭火”消防系统，优先推进国有林场、风景名胜区、森林公园等重点区域以水灭火能力建设。到2030年，规划建设森林消防水池300座。</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8" w:name="_Toc10390"/>
      <w:r>
        <w:rPr>
          <w:rFonts w:ascii="Times New Roman" w:hAnsi="Times New Roman" w:eastAsia="黑体" w:cs="Times New Roman"/>
          <w:bCs/>
          <w:color w:val="000000" w:themeColor="text1"/>
          <w:lang w:val="en-US"/>
          <w14:textFill>
            <w14:solidFill>
              <w14:schemeClr w14:val="tx1"/>
            </w14:solidFill>
          </w14:textFill>
        </w:rPr>
        <w:t xml:space="preserve">第六节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提高有害生物防治水平</w:t>
      </w:r>
      <w:bookmarkEnd w:id="48"/>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坚持“预防为主，科学治理，依法监管，强化责任”方针，实行分区分级管控，提升防治能力。到2030年，林业有害生物成灾率控制在2‰以下，无公害防治率、测报准确率均达90%以上，种苗产地检疫率100%。</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一、完善监测网络</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整合卫星遥感、无人机巡查、智能监测设备、物联网感知、大数据分析等技术，完善“天空地”一体化监测预报网络体系，实现全方位、多层次、相互补充的立体化系统监测，做到“最及时的监测、最准确的预报、最主动的预警”。</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二、实施综合防治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巩固松材线虫病攻坚行动成效，对环城林带重点区域</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192</w:t>
      </w:r>
      <w:r>
        <w:rPr>
          <w:rFonts w:ascii="Times New Roman" w:hAnsi="Times New Roman" w:eastAsia="仿宋_GB2312" w:cs="Times New Roman"/>
          <w:color w:val="000000" w:themeColor="text1"/>
          <w:sz w:val="32"/>
          <w:szCs w:val="32"/>
          <w14:textFill>
            <w14:solidFill>
              <w14:schemeClr w14:val="tx1"/>
            </w14:solidFill>
          </w14:textFill>
        </w:rPr>
        <w:t>万亩（贵阳市186.53万亩，贵安</w:t>
      </w:r>
      <w:r>
        <w:rPr>
          <w:rFonts w:hint="eastAsia" w:ascii="Times New Roman" w:hAnsi="Times New Roman" w:eastAsia="仿宋_GB2312" w:cs="Times New Roman"/>
          <w:color w:val="000000" w:themeColor="text1"/>
          <w:sz w:val="32"/>
          <w:szCs w:val="32"/>
          <w14:textFill>
            <w14:solidFill>
              <w14:schemeClr w14:val="tx1"/>
            </w14:solidFill>
          </w14:textFill>
        </w:rPr>
        <w:t>新区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5.47</w:t>
      </w:r>
      <w:r>
        <w:rPr>
          <w:rFonts w:ascii="Times New Roman" w:hAnsi="Times New Roman" w:eastAsia="仿宋_GB2312" w:cs="Times New Roman"/>
          <w:color w:val="000000" w:themeColor="text1"/>
          <w:sz w:val="32"/>
          <w:szCs w:val="32"/>
          <w14:textFill>
            <w14:solidFill>
              <w14:schemeClr w14:val="tx1"/>
            </w14:solidFill>
          </w14:textFill>
        </w:rPr>
        <w:t>万亩）松林采取全覆盖监测、枯死树清零、媒介天牛绿色防治等措施实施全面有效预防。强化外来入侵物种防控，对红火蚁、紫茎泽兰、加拿大一枝黄花等主要外来物种实施重点防控，遏制其扩散蔓延。</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三、加强检疫执法</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完善检疫监管体系，筑牢检疫性、危险性有害生物传播扩散防线。严格执行检疫审批制度，加强产地检疫和调运检疫。整合执法力量开展常态化执法和专项检疫执法行动，严厉打击违法违规采伐、运输、加工和使用疫木行为。完善市际、县际联防联治机制，开展联合监测、联合除治和联合执法，从源头防止有害生物传入和扩散。</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四、推进能力建设</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探索低空经济林业有害生物无人机监测、防治、运输等特色应用场景。提升市、县两级林业有害生物检疫检验实验室建设水平，丰富检测技术手段。深化产学研合作，开展重大有害生物基础研究和防控关键技术攻关。强化防治人员专业技术培训，营造群防群治、联防联治的良好氛围。</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49" w:name="_Toc24807"/>
      <w:r>
        <w:rPr>
          <w:rFonts w:ascii="Times New Roman" w:hAnsi="Times New Roman" w:eastAsia="黑体" w:cs="Times New Roman"/>
          <w:bCs/>
          <w:color w:val="000000" w:themeColor="text1"/>
          <w:lang w:val="en-US"/>
          <w14:textFill>
            <w14:solidFill>
              <w14:schemeClr w14:val="tx1"/>
            </w14:solidFill>
          </w14:textFill>
        </w:rPr>
        <w:t xml:space="preserve">第七节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健全林业防灾减灾体系</w:t>
      </w:r>
      <w:bookmarkEnd w:id="49"/>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强化灾害风险防控，完善监测预警与应急保障，提升林业防灾减灾综合能力。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一、强化风险防控</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开展林区常态化与重点时段巡查，严格执行自然保护地、国有林场等重点区域“汛前排查、汛中巡查、汛后核查”制度。建立“一地一策”动态风险台账，设立警示标识。推进树种结构调整与退化林修复，构建稳定防护林体系。治理林区道路危险路段，规划应急避险场所，为野外林业作业人员配备必要防护装备，开展安全避险及自救能力培训。</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二、完善应急保障</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依托“天空地”一体化监测体系，整合多部门数据，探索风险早期识别与智能预警，优化灾前、灾中、灾后处置流程。整合林场职工、森林消防等力量组建应急抢险队伍，定期开展险情处置技能培训。按需配备抽水泵、冲锋舟、发电机、应急照明等抢险物资。构建与应急、气象、水利等部门的联动机制，实现信息共享和力量互补，提升应急处置协同能力。</w:t>
      </w:r>
    </w:p>
    <w:tbl>
      <w:tblPr>
        <w:tblStyle w:val="13"/>
        <w:tblW w:w="9061"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l2br w:val="nil"/>
              <w:tr2bl w:val="nil"/>
            </w:tcBorders>
            <w:vAlign w:val="center"/>
          </w:tcPr>
          <w:p>
            <w:pPr>
              <w:adjustRightInd w:val="0"/>
              <w:snapToGrid w:val="0"/>
              <w:jc w:val="center"/>
              <w:rPr>
                <w:rFonts w:hint="default" w:ascii="Times New Roman" w:hAnsi="Times New Roman" w:eastAsia="仿宋" w:cs="Times New Roman"/>
                <w:b/>
                <w:color w:val="000000" w:themeColor="text1"/>
                <w:sz w:val="28"/>
                <w:szCs w:val="28"/>
                <w14:textFill>
                  <w14:solidFill>
                    <w14:schemeClr w14:val="tx1"/>
                  </w14:solidFill>
                </w14:textFill>
              </w:rPr>
            </w:pPr>
            <w:r>
              <w:rPr>
                <w:rFonts w:hint="default" w:ascii="Times New Roman" w:hAnsi="Times New Roman" w:eastAsia="仿宋" w:cs="Times New Roman"/>
                <w:b/>
                <w:color w:val="000000" w:themeColor="text1"/>
                <w:sz w:val="28"/>
                <w:szCs w:val="28"/>
                <w14:textFill>
                  <w14:solidFill>
                    <w14:schemeClr w14:val="tx1"/>
                  </w14:solidFill>
                </w14:textFill>
              </w:rPr>
              <w:t>专栏4  治林强能</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01 自然保护地建设</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自然保护地（湿地）科教宣传建设项目：</w:t>
            </w:r>
            <w:r>
              <w:rPr>
                <w:rFonts w:hint="default" w:ascii="Times New Roman" w:hAnsi="Times New Roman" w:eastAsia="仿宋" w:cs="Times New Roman"/>
                <w:bCs/>
                <w:color w:val="000000" w:themeColor="text1"/>
                <w:szCs w:val="21"/>
                <w14:textFill>
                  <w14:solidFill>
                    <w14:schemeClr w14:val="tx1"/>
                  </w14:solidFill>
                </w14:textFill>
              </w:rPr>
              <w:t>建设自然教育径、科普长廊、户外教学点，配备标本室、多媒体展示设备，完善标识解说体系。</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世行贷款绿色城市发展项目：</w:t>
            </w:r>
            <w:r>
              <w:rPr>
                <w:rFonts w:hint="default" w:ascii="Times New Roman" w:hAnsi="Times New Roman" w:eastAsia="仿宋" w:cs="Times New Roman"/>
                <w:bCs/>
                <w:color w:val="000000" w:themeColor="text1"/>
                <w:szCs w:val="21"/>
                <w14:textFill>
                  <w14:solidFill>
                    <w14:schemeClr w14:val="tx1"/>
                  </w14:solidFill>
                </w14:textFill>
              </w:rPr>
              <w:t>推进阿哈湖慢行系统建设（环湖绿道、绿化景观、骑行驿站、供水设施改造）；实施生态系统保护与修复（生物多样性监测、湿地自然教育、鸟类栖息地修复、小车河流域截污沟改造）。</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自然保护地体系强化与智慧监管能力提升项目：</w:t>
            </w:r>
            <w:r>
              <w:rPr>
                <w:rFonts w:hint="default" w:ascii="Times New Roman" w:hAnsi="Times New Roman" w:eastAsia="仿宋" w:cs="Times New Roman"/>
                <w:bCs/>
                <w:color w:val="000000" w:themeColor="text1"/>
                <w:szCs w:val="21"/>
                <w14:textFill>
                  <w14:solidFill>
                    <w14:schemeClr w14:val="tx1"/>
                  </w14:solidFill>
                </w14:textFill>
              </w:rPr>
              <w:t>开展总体规划编制、勘界定标、电子界桩、确权登记，升级自然保护地管理系统，实施生态保护和修复工程。</w:t>
            </w:r>
          </w:p>
          <w:p>
            <w:pPr>
              <w:adjustRightInd w:val="0"/>
              <w:snapToGrid w:val="0"/>
              <w:ind w:firstLine="420"/>
              <w:rPr>
                <w:rFonts w:hint="default" w:ascii="Times New Roman" w:hAnsi="Times New Roman" w:eastAsia="仿宋" w:cs="Times New Roman"/>
                <w:color w:val="000000" w:themeColor="text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公园基础设施提质改造项目：</w:t>
            </w:r>
            <w:r>
              <w:rPr>
                <w:rFonts w:hint="default" w:ascii="Times New Roman" w:hAnsi="Times New Roman" w:eastAsia="仿宋" w:cs="Times New Roman"/>
                <w:bCs/>
                <w:color w:val="000000" w:themeColor="text1"/>
                <w:szCs w:val="21"/>
                <w14:textFill>
                  <w14:solidFill>
                    <w14:schemeClr w14:val="tx1"/>
                  </w14:solidFill>
                </w14:textFill>
              </w:rPr>
              <w:t>对鹿冲关、登高云山、阿哈湖、长坡岭等公园的水电排污、道路及配套设施进行提升改造。</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02 湿地保护与修复</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阿哈湖湿地公园生态旅游示范点建设：</w:t>
            </w:r>
            <w:r>
              <w:rPr>
                <w:rFonts w:hint="default" w:ascii="Times New Roman" w:hAnsi="Times New Roman" w:eastAsia="仿宋" w:cs="Times New Roman"/>
                <w:bCs/>
                <w:color w:val="000000" w:themeColor="text1"/>
                <w:szCs w:val="21"/>
                <w14:textFill>
                  <w14:solidFill>
                    <w14:schemeClr w14:val="tx1"/>
                  </w14:solidFill>
                </w14:textFill>
              </w:rPr>
              <w:t>改造提升湿地科普宣教中心，引入AR/VR互动装置，打造自然教育径、湿地自然书吧，建设“湿地＋多彩贵州”自然教育学校。</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湿地生态修复与动态监测项目：</w:t>
            </w:r>
            <w:r>
              <w:rPr>
                <w:rFonts w:hint="default" w:ascii="Times New Roman" w:hAnsi="Times New Roman" w:eastAsia="仿宋" w:cs="Times New Roman"/>
                <w:bCs/>
                <w:color w:val="000000" w:themeColor="text1"/>
                <w:szCs w:val="21"/>
                <w14:textFill>
                  <w14:solidFill>
                    <w14:schemeClr w14:val="tx1"/>
                  </w14:solidFill>
                </w14:textFill>
              </w:rPr>
              <w:t>推进省级重要湿地水生态修复，实施自然岸线维护、植被恢复、栖息地生境改善，构建小微湿地，补充安装水质传感器、红外摄像头。</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贵州贵阳城市生态系统定位观测研究站：</w:t>
            </w:r>
            <w:r>
              <w:rPr>
                <w:rFonts w:hint="default" w:ascii="Times New Roman" w:hAnsi="Times New Roman" w:eastAsia="仿宋" w:cs="Times New Roman"/>
                <w:bCs/>
                <w:color w:val="000000" w:themeColor="text1"/>
                <w:szCs w:val="21"/>
                <w14:textFill>
                  <w14:solidFill>
                    <w14:schemeClr w14:val="tx1"/>
                  </w14:solidFill>
                </w14:textFill>
              </w:rPr>
              <w:t>设置湿地、森林、草地等12个观测点，配备气象、环境、水质、土壤、生物等观测设备。</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03 野生动植物保护</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珍稀濒危植物拯救保护项目：</w:t>
            </w:r>
            <w:r>
              <w:rPr>
                <w:rFonts w:hint="default" w:ascii="Times New Roman" w:hAnsi="Times New Roman" w:eastAsia="仿宋" w:cs="Times New Roman"/>
                <w:bCs/>
                <w:color w:val="000000" w:themeColor="text1"/>
                <w:szCs w:val="21"/>
                <w14:textFill>
                  <w14:solidFill>
                    <w14:schemeClr w14:val="tx1"/>
                  </w14:solidFill>
                </w14:textFill>
              </w:rPr>
              <w:t>对花榈木、贵州山核桃等珍稀濒危植物生境开展专项监测与保护。</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疫源疫病监测防控项目：</w:t>
            </w:r>
            <w:r>
              <w:rPr>
                <w:rFonts w:hint="default" w:ascii="Times New Roman" w:hAnsi="Times New Roman" w:eastAsia="仿宋" w:cs="Times New Roman"/>
                <w:bCs/>
                <w:color w:val="000000" w:themeColor="text1"/>
                <w:szCs w:val="21"/>
                <w14:textFill>
                  <w14:solidFill>
                    <w14:schemeClr w14:val="tx1"/>
                  </w14:solidFill>
                </w14:textFill>
              </w:rPr>
              <w:t>升级21套远程监测系统，构建鸟类等野生动物智能化监测体系。</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野生动物救护中心项目：</w:t>
            </w:r>
            <w:r>
              <w:rPr>
                <w:rFonts w:hint="default" w:ascii="Times New Roman" w:hAnsi="Times New Roman" w:eastAsia="仿宋" w:cs="Times New Roman"/>
                <w:bCs/>
                <w:color w:val="000000" w:themeColor="text1"/>
                <w:szCs w:val="21"/>
                <w14:textFill>
                  <w14:solidFill>
                    <w14:schemeClr w14:val="tx1"/>
                  </w14:solidFill>
                </w14:textFill>
              </w:rPr>
              <w:t>新建猛禽笼舍、繁育孵化间、野化场地，购置救护专用车、无害化处理装置等设备。</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野生动物收容救护中心运维项目：</w:t>
            </w:r>
            <w:r>
              <w:rPr>
                <w:rFonts w:hint="default" w:ascii="Times New Roman" w:hAnsi="Times New Roman" w:eastAsia="仿宋" w:cs="Times New Roman"/>
                <w:bCs/>
                <w:color w:val="000000" w:themeColor="text1"/>
                <w:szCs w:val="21"/>
                <w14:textFill>
                  <w14:solidFill>
                    <w14:schemeClr w14:val="tx1"/>
                  </w14:solidFill>
                </w14:textFill>
              </w:rPr>
              <w:t>开展动物诊断治疗、隔离检疫、康复饲养，配备药品试剂、检测耗材，定期维护设施设备。</w:t>
            </w:r>
          </w:p>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古树名木复壮保护及生境修复项目：</w:t>
            </w:r>
            <w:r>
              <w:rPr>
                <w:rFonts w:hint="default" w:ascii="Times New Roman" w:hAnsi="Times New Roman" w:eastAsia="仿宋" w:cs="Times New Roman"/>
                <w:bCs/>
                <w:color w:val="000000" w:themeColor="text1"/>
                <w:szCs w:val="21"/>
                <w14:textFill>
                  <w14:solidFill>
                    <w14:schemeClr w14:val="tx1"/>
                  </w14:solidFill>
                </w14:textFill>
              </w:rPr>
              <w:t>每年开展4株珍贵、濒危古树名木的复壮和生境修复工程。</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04 森林防火能力建设</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森林防火应急道路建设项目：</w:t>
            </w:r>
            <w:r>
              <w:rPr>
                <w:rFonts w:hint="default" w:ascii="Times New Roman" w:hAnsi="Times New Roman" w:eastAsia="仿宋" w:cs="Times New Roman"/>
                <w:bCs/>
                <w:color w:val="000000" w:themeColor="text1"/>
                <w:szCs w:val="21"/>
                <w14:textFill>
                  <w14:solidFill>
                    <w14:schemeClr w14:val="tx1"/>
                  </w14:solidFill>
                </w14:textFill>
              </w:rPr>
              <w:t>新建林区森林防火应急道路125.1公里。</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森林防灭火专业设施建设项目：</w:t>
            </w:r>
            <w:r>
              <w:rPr>
                <w:rFonts w:hint="default" w:ascii="Times New Roman" w:hAnsi="Times New Roman" w:eastAsia="仿宋" w:cs="Times New Roman"/>
                <w:bCs/>
                <w:color w:val="000000" w:themeColor="text1"/>
                <w:szCs w:val="21"/>
                <w14:textFill>
                  <w14:solidFill>
                    <w14:schemeClr w14:val="tx1"/>
                  </w14:solidFill>
                </w14:textFill>
              </w:rPr>
              <w:t>在花溪区、乌当区、清镇市、修文县、息烽县、开阳县新建森林消防水池300座。</w:t>
            </w:r>
          </w:p>
          <w:p>
            <w:pPr>
              <w:adjustRightInd w:val="0"/>
              <w:snapToGrid w:val="0"/>
              <w:ind w:firstLine="420"/>
              <w:rPr>
                <w:rFonts w:hint="default" w:ascii="Times New Roman" w:hAnsi="Times New Roman" w:eastAsia="仿宋" w:cs="Times New Roman"/>
                <w:b/>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火情瞭望监测系统建设项目：</w:t>
            </w:r>
            <w:r>
              <w:rPr>
                <w:rFonts w:hint="default" w:ascii="Times New Roman" w:hAnsi="Times New Roman" w:eastAsia="仿宋" w:cs="Times New Roman"/>
                <w:b w:val="0"/>
                <w:bCs w:val="0"/>
                <w:color w:val="000000" w:themeColor="text1"/>
                <w:szCs w:val="21"/>
                <w14:textFill>
                  <w14:solidFill>
                    <w14:schemeClr w14:val="tx1"/>
                  </w14:solidFill>
                </w14:textFill>
              </w:rPr>
              <w:t>依托省级林草灾害防控建设工程，</w:t>
            </w:r>
            <w:r>
              <w:rPr>
                <w:rFonts w:hint="default" w:ascii="Times New Roman" w:hAnsi="Times New Roman" w:eastAsia="仿宋" w:cs="Times New Roman"/>
                <w:bCs/>
                <w:color w:val="000000" w:themeColor="text1"/>
                <w:szCs w:val="21"/>
                <w14:textFill>
                  <w14:solidFill>
                    <w14:schemeClr w14:val="tx1"/>
                  </w14:solidFill>
                </w14:textFill>
              </w:rPr>
              <w:t>新增林火远程视频监控250套。</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05 林业有害生物防治</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林业有害生物防控项目：</w:t>
            </w:r>
            <w:r>
              <w:rPr>
                <w:rFonts w:hint="default" w:ascii="Times New Roman" w:hAnsi="Times New Roman" w:eastAsia="仿宋" w:cs="Times New Roman"/>
                <w:bCs/>
                <w:color w:val="000000" w:themeColor="text1"/>
                <w:szCs w:val="21"/>
                <w14:textFill>
                  <w14:solidFill>
                    <w14:schemeClr w14:val="tx1"/>
                  </w14:solidFill>
                </w14:textFill>
              </w:rPr>
              <w:t>对贵阳贵安644</w:t>
            </w:r>
            <w:r>
              <w:rPr>
                <w:rFonts w:hint="eastAsia" w:ascii="Times New Roman" w:hAnsi="Times New Roman" w:eastAsia="仿宋" w:cs="Times New Roman"/>
                <w:bCs/>
                <w:color w:val="000000" w:themeColor="text1"/>
                <w:szCs w:val="21"/>
                <w:lang w:val="en-US" w:eastAsia="zh-CN"/>
                <w14:textFill>
                  <w14:solidFill>
                    <w14:schemeClr w14:val="tx1"/>
                  </w14:solidFill>
                </w14:textFill>
              </w:rPr>
              <w:t>.36</w:t>
            </w:r>
            <w:r>
              <w:rPr>
                <w:rFonts w:hint="default" w:ascii="Times New Roman" w:hAnsi="Times New Roman" w:eastAsia="仿宋" w:cs="Times New Roman"/>
                <w:bCs/>
                <w:color w:val="000000" w:themeColor="text1"/>
                <w:szCs w:val="21"/>
                <w14:textFill>
                  <w14:solidFill>
                    <w14:schemeClr w14:val="tx1"/>
                  </w14:solidFill>
                </w14:textFill>
              </w:rPr>
              <w:t>万亩森林开展监测调查，对19</w:t>
            </w:r>
            <w:r>
              <w:rPr>
                <w:rFonts w:hint="eastAsia" w:ascii="Times New Roman" w:hAnsi="Times New Roman" w:eastAsia="仿宋" w:cs="Times New Roman"/>
                <w:bCs/>
                <w:color w:val="000000" w:themeColor="text1"/>
                <w:szCs w:val="21"/>
                <w:lang w:val="en-US" w:eastAsia="zh-CN"/>
                <w14:textFill>
                  <w14:solidFill>
                    <w14:schemeClr w14:val="tx1"/>
                  </w14:solidFill>
                </w14:textFill>
              </w:rPr>
              <w:t>2</w:t>
            </w:r>
            <w:r>
              <w:rPr>
                <w:rFonts w:hint="default" w:ascii="Times New Roman" w:hAnsi="Times New Roman" w:eastAsia="仿宋" w:cs="Times New Roman"/>
                <w:bCs/>
                <w:color w:val="000000" w:themeColor="text1"/>
                <w:szCs w:val="21"/>
                <w14:textFill>
                  <w14:solidFill>
                    <w14:schemeClr w14:val="tx1"/>
                  </w14:solidFill>
                </w14:textFill>
              </w:rPr>
              <w:t>万亩松林实施松材线虫病预防，开展松褐天牛防治、枯死松树清理、打孔注药、外来入侵物种综合治理等工作。</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jc w:val="left"/>
              <w:rPr>
                <w:rFonts w:hint="default" w:ascii="Times New Roman" w:hAnsi="Times New Roman" w:eastAsia="仿宋" w:cs="Times New Roman"/>
                <w:b/>
                <w:color w:val="000000" w:themeColor="text1"/>
                <w:sz w:val="24"/>
                <w:szCs w:val="24"/>
                <w14:textFill>
                  <w14:solidFill>
                    <w14:schemeClr w14:val="tx1"/>
                  </w14:solidFill>
                </w14:textFill>
              </w:rPr>
            </w:pPr>
            <w:r>
              <w:rPr>
                <w:rFonts w:hint="default" w:ascii="Times New Roman" w:hAnsi="Times New Roman" w:eastAsia="仿宋" w:cs="Times New Roman"/>
                <w:b/>
                <w:color w:val="000000" w:themeColor="text1"/>
                <w:sz w:val="24"/>
                <w:szCs w:val="24"/>
                <w14:textFill>
                  <w14:solidFill>
                    <w14:schemeClr w14:val="tx1"/>
                  </w14:solidFill>
                </w14:textFill>
              </w:rPr>
              <w:t>06 林业防灾减灾体系</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l2br w:val="nil"/>
              <w:tr2bl w:val="nil"/>
            </w:tcBorders>
            <w:vAlign w:val="center"/>
          </w:tcPr>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灾害风险防控：</w:t>
            </w:r>
            <w:r>
              <w:rPr>
                <w:rFonts w:hint="default" w:ascii="Times New Roman" w:hAnsi="Times New Roman" w:eastAsia="仿宋" w:cs="Times New Roman"/>
                <w:bCs/>
                <w:color w:val="000000" w:themeColor="text1"/>
                <w:szCs w:val="21"/>
                <w14:textFill>
                  <w14:solidFill>
                    <w14:schemeClr w14:val="tx1"/>
                  </w14:solidFill>
                </w14:textFill>
              </w:rPr>
              <w:t>建立动态风险台账并设置警示标识，推进生态防护工程建设，完善林区道路安全设施，加强野外作业安全装备与避险场所建设。</w:t>
            </w:r>
          </w:p>
          <w:p>
            <w:pPr>
              <w:adjustRightInd w:val="0"/>
              <w:snapToGrid w:val="0"/>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完善监测预警：</w:t>
            </w:r>
            <w:r>
              <w:rPr>
                <w:rFonts w:hint="default" w:ascii="Times New Roman" w:hAnsi="Times New Roman" w:eastAsia="仿宋" w:cs="Times New Roman"/>
                <w:bCs/>
                <w:color w:val="000000" w:themeColor="text1"/>
                <w:szCs w:val="21"/>
                <w14:textFill>
                  <w14:solidFill>
                    <w14:schemeClr w14:val="tx1"/>
                  </w14:solidFill>
                </w14:textFill>
              </w:rPr>
              <w:t>探索构建“天空地”立体监测网络，整合多部门数据实现智能预警，强化灾害监控与处置。</w:t>
            </w:r>
          </w:p>
          <w:p>
            <w:pPr>
              <w:adjustRightInd w:val="0"/>
              <w:snapToGrid w:val="0"/>
              <w:ind w:firstLine="420"/>
              <w:rPr>
                <w:rFonts w:hint="default" w:ascii="Times New Roman" w:hAnsi="Times New Roman" w:eastAsia="仿宋" w:cs="Times New Roman"/>
                <w:b/>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健全应急保障：</w:t>
            </w:r>
            <w:r>
              <w:rPr>
                <w:rFonts w:hint="default" w:ascii="Times New Roman" w:hAnsi="Times New Roman" w:eastAsia="仿宋" w:cs="Times New Roman"/>
                <w:bCs/>
                <w:color w:val="000000" w:themeColor="text1"/>
                <w:szCs w:val="21"/>
                <w14:textFill>
                  <w14:solidFill>
                    <w14:schemeClr w14:val="tx1"/>
                  </w14:solidFill>
                </w14:textFill>
              </w:rPr>
              <w:t>组建应急抢险队伍，加强专业技能培训，配备抽水泵、冲锋舟、发电机、应急照明等抢险物资，完善“技防+人防”快速响应机制。</w:t>
            </w:r>
          </w:p>
        </w:tc>
      </w:tr>
    </w:tbl>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50" w:name="_Toc19113"/>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八</w:t>
      </w:r>
      <w:r>
        <w:rPr>
          <w:rFonts w:ascii="Times New Roman" w:hAnsi="Times New Roman" w:eastAsia="方正小标宋_GBK" w:cs="Times New Roman"/>
          <w:color w:val="000000" w:themeColor="text1"/>
          <w:sz w:val="36"/>
          <w:szCs w:val="36"/>
          <w14:textFill>
            <w14:solidFill>
              <w14:schemeClr w14:val="tx1"/>
            </w14:solidFill>
          </w14:textFill>
        </w:rPr>
        <w:t>章  强化林改创新，激发林业内生动力</w:t>
      </w:r>
      <w:bookmarkEnd w:id="50"/>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改革创新是推动林业高质量发展的根本动力。必须坚持以释放发展活力、激发内生动力为核心，聚焦集体林权、国有林场、林业碳汇三大改革重点，通过制度创新、模式探索、科技赋能，破解发展瓶颈，推动林业治理体系和治理能力现代化，为贵阳贵安林业高质量发展注入持久动能。</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1" w:name="_Toc1582"/>
      <w:r>
        <w:rPr>
          <w:rFonts w:ascii="Times New Roman" w:hAnsi="Times New Roman" w:eastAsia="黑体" w:cs="Times New Roman"/>
          <w:bCs/>
          <w:color w:val="000000" w:themeColor="text1"/>
          <w:lang w:val="en-US"/>
          <w14:textFill>
            <w14:solidFill>
              <w14:schemeClr w14:val="tx1"/>
            </w14:solidFill>
          </w14:textFill>
        </w:rPr>
        <w:t xml:space="preserve">第一节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深化集体林权制度改革</w:t>
      </w:r>
      <w:bookmarkEnd w:id="51"/>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巩固深化集体林权制度改革成果，全面落实集体林地所有权、承包权、经营权“三权分置”，放活经营权、保障收益权。</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一、完善林权管理制度</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加强集体林地承包、流转管理，指导规范承包和流转合同签订，维护合同主体合法权益。依法依规、稳妥有序推进历史遗留问题化解。进一步放活林地经营权，加大对新型经营方式的扶持力度，扩大“公司+农户”“公司+村集体+农户”“联户经营”等经营模式应用范围，引导更多农户流转林地经营权，提高林地经营规模化、集约化水平。</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二、优化采伐管理机制</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推行以森林经营方案为基础的森林可持续经营模式。优化人工商品林主伐管理机制，用好用足林木采伐限额，推行林木采伐审批异地办理、一窗通办、线上自动办理延期等便民服务。持续加大金融支持力度，探索开展多元化林权抵质押贷款业务，拓宽林业经营主体融资渠道。</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2" w:name="_Toc5747"/>
      <w:r>
        <w:rPr>
          <w:rFonts w:ascii="Times New Roman" w:hAnsi="Times New Roman" w:eastAsia="黑体" w:cs="Times New Roman"/>
          <w:bCs/>
          <w:color w:val="000000" w:themeColor="text1"/>
          <w:lang w:val="en-US"/>
          <w14:textFill>
            <w14:solidFill>
              <w14:schemeClr w14:val="tx1"/>
            </w14:solidFill>
          </w14:textFill>
        </w:rPr>
        <w:t xml:space="preserve">第二节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推进国有林场改革</w:t>
      </w:r>
      <w:bookmarkEnd w:id="52"/>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探索建立经营性收入分配激励机制，调动职工工作积极性，增强国有林场发展活力，加快现代化国有林场建设。</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一、激发林场发展活力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鼓励国有林场科学开展造林绿化，依托森林可持续经营试点建设提升森林质量。因地制宜发展林下经济、木本油料、种苗花卉、生态旅游、自然教育、森林康养等绿色产业，强化生态产品供给能力。建立健全联农带农机制，鼓励国有林场与企业、村集体、专业合作社、农户等经营主体建立合作模式。探索“林场+村集体”场村合作发展模式。</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二、完善林场基础设施</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完善国有林场基础设施建设，改善生产生活条件，支持管护用房新建重建、加固改造、功能完善。鼓励国有林场争取各类资金，加强防火应急道路、通讯、智能管护系统等建设。鼓励国有林场与乡村基础设施和公共服务互融互通，不断完善水、电、路等公共服务设施，推进林场和周边村镇融合发展。</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三、明确改革发展目标</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到2030年，国有林场管理体制进一步完善，生态系统得到有效保护修复，资源永续利用机制基本构建，单位面积森林蓄积量提高约5%，初步建成资源质量优良、生态功能稳定、产业发展充分的现代化国有林场体系。</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3" w:name="_Toc21912"/>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加快林业碳汇发展</w:t>
      </w:r>
      <w:bookmarkEnd w:id="53"/>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建立健全林草碳汇计量监测体系，探索碳汇价值实现路径，推动生态优势转化为经济优势。</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一、健全监测计量体系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依据森林资源空间分布，结合森林经营碳汇监测需求，科学布设覆盖不同经营模式与树种组成的森林碳汇固定监测样地。积极引进推广先进碳汇监测技术与设备，建立健全林草碳汇计量监测体系，强化森林生态系统碳储量、碳通量等核心指标常态化监测与深度分析。丰富监测设备数量和类型，持续完善碳汇“一张图”监测体系。</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二、推动碳汇价值转化</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拓展大数据在碳汇计量监测、生态产品价值核算等领域实践，强化计量监测成果转化应用。探索推进森林经营碳汇监测方法体系研发与本地化适配，为碳汇评估、项目开发及交易活动提供科学支撑。以贵州省环境能源交易所为实施主体，加强对符合开发条件的森林资源区域CCER项目开发培育力度。探索开展林业碳汇产品开发创新，拓展碳汇价值实现多元渠道。</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三、开展碳中和试点</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探索开展碳中和试点工作，先行先试开展机关、企业、景区等碳中和示范，逐步构建“政府引导、市场运作、多元参与”的林碳经济发展体系。</w:t>
      </w:r>
    </w:p>
    <w:tbl>
      <w:tblPr>
        <w:tblStyle w:val="13"/>
        <w:tblW w:w="906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6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jc w:val="center"/>
              <w:rPr>
                <w:rFonts w:hint="default" w:ascii="Times New Roman" w:hAnsi="Times New Roman" w:eastAsia="仿宋" w:cs="Times New Roman"/>
                <w:b/>
                <w:color w:val="000000" w:themeColor="text1"/>
                <w:sz w:val="28"/>
                <w:szCs w:val="28"/>
                <w14:textFill>
                  <w14:solidFill>
                    <w14:schemeClr w14:val="tx1"/>
                  </w14:solidFill>
                </w14:textFill>
              </w:rPr>
            </w:pPr>
            <w:r>
              <w:rPr>
                <w:rFonts w:hint="default" w:ascii="Times New Roman" w:hAnsi="Times New Roman" w:eastAsia="仿宋" w:cs="Times New Roman"/>
                <w:b/>
                <w:color w:val="000000" w:themeColor="text1"/>
                <w:sz w:val="28"/>
                <w:szCs w:val="28"/>
                <w14:textFill>
                  <w14:solidFill>
                    <w14:schemeClr w14:val="tx1"/>
                  </w14:solidFill>
                </w14:textFill>
              </w:rPr>
              <w:t>专栏5  林改创新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eastAsia="黑体" w:cs="Times New Roman"/>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01 集体林权制度改革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07"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1" w:firstLineChars="20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“森林+”特色林业产业项目：</w:t>
            </w:r>
            <w:r>
              <w:rPr>
                <w:rFonts w:hint="default" w:ascii="Times New Roman" w:hAnsi="Times New Roman" w:eastAsia="仿宋" w:cs="Times New Roman"/>
                <w:bCs/>
                <w:color w:val="000000" w:themeColor="text1"/>
                <w:szCs w:val="21"/>
                <w14:textFill>
                  <w14:solidFill>
                    <w14:schemeClr w14:val="tx1"/>
                  </w14:solidFill>
                </w14:textFill>
              </w:rPr>
              <w:t>在白云区、乌当区、花溪区、息烽县等重点区县，积极探索国有森林资源资产盘活，开展“森林+”特色林业产业项目。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07"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02 碳汇改革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5"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1" w:firstLineChars="20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森林生态系统固碳增汇示范基地建设项目：</w:t>
            </w:r>
            <w:r>
              <w:rPr>
                <w:rFonts w:hint="default" w:ascii="Times New Roman" w:hAnsi="Times New Roman" w:eastAsia="仿宋" w:cs="Times New Roman"/>
                <w:bCs/>
                <w:color w:val="000000" w:themeColor="text1"/>
                <w:szCs w:val="21"/>
                <w14:textFill>
                  <w14:solidFill>
                    <w14:schemeClr w14:val="tx1"/>
                  </w14:solidFill>
                </w14:textFill>
              </w:rPr>
              <w:t>建设典型纯林树种结构调整与生态脆弱区高碳汇植被恢复示范基地共100亩，配套监测样地不少于10个。</w:t>
            </w:r>
          </w:p>
          <w:p>
            <w:pPr>
              <w:adjustRightInd w:val="0"/>
              <w:snapToGrid w:val="0"/>
              <w:ind w:firstLine="421" w:firstLineChars="200"/>
              <w:rPr>
                <w:rFonts w:hint="default" w:ascii="Times New Roman" w:hAnsi="Times New Roman" w:eastAsia="仿宋" w:cs="Times New Roman"/>
                <w:color w:val="000000" w:themeColor="text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森林经营碳汇固定监测样地调查：</w:t>
            </w:r>
            <w:r>
              <w:rPr>
                <w:rFonts w:hint="default" w:ascii="Times New Roman" w:hAnsi="Times New Roman" w:eastAsia="仿宋" w:cs="Times New Roman"/>
                <w:bCs/>
                <w:color w:val="000000" w:themeColor="text1"/>
                <w:szCs w:val="21"/>
                <w14:textFill>
                  <w14:solidFill>
                    <w14:schemeClr w14:val="tx1"/>
                  </w14:solidFill>
                </w14:textFill>
              </w:rPr>
              <w:t>根据2025年中央财政国土绿化示范项目实施的34种造林经营措施，设置森林经营碳汇固定监测样地102个。</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5"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cs="Times New Roman"/>
                <w:b/>
                <w:bCs/>
                <w:color w:val="000000" w:themeColor="text1"/>
                <w:sz w:val="24"/>
                <w:szCs w:val="24"/>
                <w14:textFill>
                  <w14:solidFill>
                    <w14:schemeClr w14:val="tx1"/>
                  </w14:solidFill>
                </w14:textFill>
              </w:rPr>
            </w:pPr>
            <w:r>
              <w:rPr>
                <w:rFonts w:hint="default" w:ascii="Times New Roman" w:hAnsi="Times New Roman" w:cs="Times New Roman"/>
                <w:b/>
                <w:bCs/>
                <w:color w:val="000000" w:themeColor="text1"/>
                <w:sz w:val="24"/>
                <w:szCs w:val="24"/>
                <w14:textFill>
                  <w14:solidFill>
                    <w14:schemeClr w14:val="tx1"/>
                  </w14:solidFill>
                </w14:textFill>
              </w:rPr>
              <w:t>03 国有林场改革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061"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421" w:firstLineChars="20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现代化国有林场建设项目：</w:t>
            </w:r>
            <w:r>
              <w:rPr>
                <w:rFonts w:hint="default" w:ascii="Times New Roman" w:hAnsi="Times New Roman" w:eastAsia="仿宋" w:cs="Times New Roman"/>
                <w:bCs/>
                <w:color w:val="000000" w:themeColor="text1"/>
                <w:szCs w:val="21"/>
                <w14:textFill>
                  <w14:solidFill>
                    <w14:schemeClr w14:val="tx1"/>
                  </w14:solidFill>
                </w14:textFill>
              </w:rPr>
              <w:t>推进现代化国有林场体系建设，对全市9个国有林场设施设备进行提升改造，新建、改扩建林区道路200公里、水电设施20座。</w:t>
            </w:r>
          </w:p>
        </w:tc>
      </w:tr>
    </w:tbl>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54" w:name="_Toc24313"/>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九</w:t>
      </w:r>
      <w:r>
        <w:rPr>
          <w:rFonts w:ascii="Times New Roman" w:hAnsi="Times New Roman" w:eastAsia="方正小标宋_GBK" w:cs="Times New Roman"/>
          <w:color w:val="000000" w:themeColor="text1"/>
          <w:sz w:val="36"/>
          <w:szCs w:val="36"/>
          <w14:textFill>
            <w14:solidFill>
              <w14:schemeClr w14:val="tx1"/>
            </w14:solidFill>
          </w14:textFill>
        </w:rPr>
        <w:t xml:space="preserve">章 </w:t>
      </w:r>
      <w:r>
        <w:rPr>
          <w:rFonts w:hint="eastAsia" w:ascii="Times New Roman" w:hAnsi="Times New Roman" w:eastAsia="方正小标宋_GBK" w:cs="Times New Roman"/>
          <w:color w:val="000000" w:themeColor="text1"/>
          <w:sz w:val="36"/>
          <w:szCs w:val="36"/>
          <w14:textFill>
            <w14:solidFill>
              <w14:schemeClr w14:val="tx1"/>
            </w14:solidFill>
          </w14:textFill>
        </w:rPr>
        <w:t xml:space="preserve"> </w:t>
      </w:r>
      <w:r>
        <w:rPr>
          <w:rFonts w:ascii="Times New Roman" w:hAnsi="Times New Roman" w:eastAsia="方正小标宋_GBK" w:cs="Times New Roman"/>
          <w:color w:val="000000" w:themeColor="text1"/>
          <w:sz w:val="36"/>
          <w:szCs w:val="36"/>
          <w14:textFill>
            <w14:solidFill>
              <w14:schemeClr w14:val="tx1"/>
            </w14:solidFill>
          </w14:textFill>
        </w:rPr>
        <w:t>强化支撑体系，夯实林业发展根基</w:t>
      </w:r>
      <w:bookmarkEnd w:id="54"/>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以全面推进林草治理现代化为目标，加快推进数智林草建设，构建高效林草资源调查监测体系，着力解决人才资源和科技创新相对薄弱两大突出问题，为林草高质量发展和林业现代化建设提供强力支撑。</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5" w:name="_Toc27228"/>
      <w:r>
        <w:rPr>
          <w:rFonts w:ascii="Times New Roman" w:hAnsi="Times New Roman" w:eastAsia="黑体" w:cs="Times New Roman"/>
          <w:bCs/>
          <w:color w:val="000000" w:themeColor="text1"/>
          <w:lang w:val="en-US"/>
          <w14:textFill>
            <w14:solidFill>
              <w14:schemeClr w14:val="tx1"/>
            </w14:solidFill>
          </w14:textFill>
        </w:rPr>
        <w:t xml:space="preserve">第一节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推进数智林草建设</w:t>
      </w:r>
      <w:bookmarkEnd w:id="55"/>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持续迭代升级“贵阳智慧林业云平台”，推动大数据、物联网、人工智能等新一代信息技术与林草业务深度融合，构建“天空地人”一体化监测体系，提升林草资源监管、灾害防控、生态修复、产业服务的智能化水平。</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一、建设一体化智慧核心</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建设标准化数据资源体系，整合多时空、多尺度的林草监测数据、业务数据、基础地理数据及外部共享数据，构建统一资源池。按照统一标准和分类分级体系，建立内容完整、条目清晰、职责明确、动态更新的数据资源体系，激发数据资源活力，提升数据要素赋能作用。探索林草资源监测、违法预警、火警告警、病虫害诊断、动物识别、碳汇模拟等多元智能化应用场景。</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二、构建“天空地人”感知网络</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利用卫星遥感、无人机等技术构建“天空”监测网，实现对自然保护地、国有林场等重点区域以及森林、草原、湿地、石漠化、森林火灾和林业有害生物的定期监测。部署视频监控、红外感应器等传感设备，推动物联网技术在林业领域的应用，建设以互联网和物联网为基础的林业地面感知采集体系。构建以护林员巡山护林为主的“人网”巡护网，配备智能巡护终端，实现巡护路径跟踪、事件上报、实时通讯的智能化管理，形成“人机协同”的监测闭环。</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三、筑牢基础支撑能力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升级云网基础设施，依托全国一体化算力网络国家（贵州）枢纽节点和政务云，保障算力、存力与数据传输需求。健全网络安全体系，落实等级保护要求，构建集防护、检测、响应、恢复于一体的主动安全防御体系，强化数据全流程防护，打造统一的信息安全底座。</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四、打造多元化智能应用场景</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（一）智慧防火场景。</w:t>
      </w:r>
      <w:r>
        <w:rPr>
          <w:rFonts w:ascii="Times New Roman" w:hAnsi="Times New Roman" w:eastAsia="仿宋_GB2312" w:cs="Times New Roman"/>
          <w:color w:val="000000" w:themeColor="text1"/>
          <w:sz w:val="32"/>
          <w:szCs w:val="32"/>
          <w14:textFill>
            <w14:solidFill>
              <w14:schemeClr w14:val="tx1"/>
            </w14:solidFill>
          </w14:textFill>
        </w:rPr>
        <w:t>以森林防火综合指挥平台为支撑，结合远程视频监控、卫星遥感、无人机巡查等手段，深度融合大数据、人工智能等技术，构建“天空地”一体化智能监测预警体系，打造集“监测预警—火情分析—应急指挥—资源调度”于一体的智慧防火平台，实现林火风险精准预警、火情智能识别、扑救力量科学调度。</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（二）智慧资源管理场景。</w:t>
      </w:r>
      <w:r>
        <w:rPr>
          <w:rFonts w:ascii="Times New Roman" w:hAnsi="Times New Roman" w:eastAsia="仿宋_GB2312" w:cs="Times New Roman"/>
          <w:color w:val="000000" w:themeColor="text1"/>
          <w:sz w:val="32"/>
          <w:szCs w:val="32"/>
          <w14:textFill>
            <w14:solidFill>
              <w14:schemeClr w14:val="tx1"/>
            </w14:solidFill>
          </w14:textFill>
        </w:rPr>
        <w:t>依托“天空地”一体化监测体系，按照统一技术标准和空间基础，建成林草湿资源和保护管理等多源数据集成、二三维实景一体化展示的林草湿荒监测“一张图”，实现林草湿资源“一图总览、一键智配”，为智能化资源管理提供科技支撑。</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（三）智慧野保监测场景。</w:t>
      </w:r>
      <w:r>
        <w:rPr>
          <w:rFonts w:ascii="Times New Roman" w:hAnsi="Times New Roman" w:eastAsia="仿宋_GB2312" w:cs="Times New Roman"/>
          <w:color w:val="000000" w:themeColor="text1"/>
          <w:sz w:val="32"/>
          <w:szCs w:val="32"/>
          <w14:textFill>
            <w14:solidFill>
              <w14:schemeClr w14:val="tx1"/>
            </w14:solidFill>
          </w14:textFill>
        </w:rPr>
        <w:t>在重点区域布设红外相机、视频监控、全天候野生动物叫声自动采集仪，利用动物智能识别算法，建立野生动物智能识别系统，实现野生动物种类、数量、活动规律和栖息地健康状况动态监测评估，为生物多样性保护提供数据支撑。</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（四）智慧碳汇管理场景。</w:t>
      </w:r>
      <w:r>
        <w:rPr>
          <w:rFonts w:ascii="Times New Roman" w:hAnsi="Times New Roman" w:eastAsia="仿宋_GB2312" w:cs="Times New Roman"/>
          <w:color w:val="000000" w:themeColor="text1"/>
          <w:sz w:val="32"/>
          <w:szCs w:val="32"/>
          <w14:textFill>
            <w14:solidFill>
              <w14:schemeClr w14:val="tx1"/>
            </w14:solidFill>
          </w14:textFill>
        </w:rPr>
        <w:t>依托“天空地”一体化监测网络，汇集林业碳汇固碳量、碳汇林地面积、碳票交易等多元数据，构筑一体化综合图景，清晰呈现森林碳汇资源空间分布格局，实现碳汇专题信息全局纵览与即时调取，为生态资源价值转化和智慧监管提供可视化支撑。</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6" w:name="_Toc7634"/>
      <w:r>
        <w:rPr>
          <w:rFonts w:ascii="Times New Roman" w:hAnsi="Times New Roman" w:eastAsia="黑体" w:cs="Times New Roman"/>
          <w:bCs/>
          <w:color w:val="000000" w:themeColor="text1"/>
          <w:lang w:val="en-US"/>
          <w14:textFill>
            <w14:solidFill>
              <w14:schemeClr w14:val="tx1"/>
            </w14:solidFill>
          </w14:textFill>
        </w:rPr>
        <w:t xml:space="preserve">第二节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加强人才队伍建设</w:t>
      </w:r>
      <w:bookmarkEnd w:id="56"/>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坚持人才是第一资源，深入实施“人才强林”工程，构建引才、育才、用才、留才全链条机制，打造结构合理、素质优良的林草人才队伍。</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一、加大人才引进力度</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通过公开招聘、选调、遴选、项目合作等渠道，聚焦林业重点领域与基层需求，实施精准引才。围绕林业重大工程、重点项目与产业发展需求，大力引进一批精通智慧林业、无人机巡林、自然保护地管理、野生动植物保护等方向的青年博士、硕士及专业技术骨干。面向国有林场、林业产业基地、苗木培育基地等基层一线，着力引进一批掌握先进实用技术、善于经营管理的技能型人才。</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二、提升人才队伍能力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构建分层分类、覆盖广泛、贯穿始终的林业人才教育培训体系。依托贵阳市干部培育“百千万”工程，持续选派优秀人才赴发达地区进行多岗位锻炼。着力打造高水平发展平台，力争培育一批在林业关键领域具有影响力的学术带头人和技术领军人才。通过大胆选拔使用业务骨干、系统培养技术人才、积极引入外部专家等方式，构建“需求牵引—技术赋能—外脑支撑”的协同创新机制，打造高水平创新团队。</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三、优化人才队伍结构</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注重老中青相结合，形成梯次配备合理、专业结构优化、充满活力的人才队伍。加大优秀青年人才引进与选拔使用力度，确保林业事业薪火相传、后继有人。优化基层人才配置，提升基层林业技术人才比例。加强基层林业人才队伍建设，聚焦能力提升，通过系统化的“选、育、储”机制，建强基层骨干力量。</w:t>
      </w:r>
    </w:p>
    <w:p>
      <w:pPr>
        <w:pStyle w:val="9"/>
        <w:spacing w:before="156" w:beforeLines="50" w:after="156" w:afterLines="50" w:line="570" w:lineRule="exact"/>
        <w:jc w:val="center"/>
        <w:rPr>
          <w:rFonts w:ascii="Times New Roman" w:hAnsi="Times New Roman" w:eastAsia="黑体" w:cs="Times New Roman"/>
          <w:bCs/>
          <w:color w:val="000000" w:themeColor="text1"/>
          <w:lang w:val="en-US"/>
          <w14:textFill>
            <w14:solidFill>
              <w14:schemeClr w14:val="tx1"/>
            </w14:solidFill>
          </w14:textFill>
        </w:rPr>
      </w:pPr>
      <w:bookmarkStart w:id="57" w:name="_Toc24063"/>
      <w:r>
        <w:rPr>
          <w:rFonts w:ascii="Times New Roman" w:hAnsi="Times New Roman" w:eastAsia="黑体" w:cs="Times New Roman"/>
          <w:bCs/>
          <w:color w:val="000000" w:themeColor="text1"/>
          <w:lang w:val="en-US"/>
          <w14:textFill>
            <w14:solidFill>
              <w14:schemeClr w14:val="tx1"/>
            </w14:solidFill>
          </w14:textFill>
        </w:rPr>
        <w:t xml:space="preserve">第三节 </w:t>
      </w:r>
      <w:r>
        <w:rPr>
          <w:rFonts w:hint="eastAsia" w:ascii="Times New Roman" w:hAnsi="Times New Roman" w:eastAsia="黑体" w:cs="Times New Roman"/>
          <w:bCs/>
          <w:color w:val="000000" w:themeColor="text1"/>
          <w:lang w:val="en-US"/>
          <w14:textFill>
            <w14:solidFill>
              <w14:schemeClr w14:val="tx1"/>
            </w14:solidFill>
          </w14:textFill>
        </w:rPr>
        <w:t xml:space="preserve"> </w:t>
      </w:r>
      <w:r>
        <w:rPr>
          <w:rFonts w:ascii="Times New Roman" w:hAnsi="Times New Roman" w:eastAsia="黑体" w:cs="Times New Roman"/>
          <w:bCs/>
          <w:color w:val="000000" w:themeColor="text1"/>
          <w:lang w:val="en-US"/>
          <w14:textFill>
            <w14:solidFill>
              <w14:schemeClr w14:val="tx1"/>
            </w14:solidFill>
          </w14:textFill>
        </w:rPr>
        <w:t>提升科技创新能力</w:t>
      </w:r>
      <w:bookmarkEnd w:id="57"/>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坚持科技是第一生产力，聚焦林草重点领域和关键环节，加大科技攻关力度，加速成果转化应用，为林草高质量发展提供有力科技支撑。</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一、增强科研创新能力</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围绕生态文明建设、林草产业提质增效、乡村振兴等重大任务，统筹构建布局合理、功能完善、运行高效、支撑有力的林草科技创新体系。重点在种质资源保护利用、林产品精深加工、野生动植物保护与利用、信息技术与智慧林业等关键领域部署科技攻关。深化产学研用融合机制，组织实施一批带动性强、标志性显著的重大林草科研项目。加强关键技术集成与示范推广，形成一批科技成果，全面提升自主创新能力。</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二、加大科技成果推广</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以促进生态改善、产业升级、灾害防控和林农素质提升为导向，以成果转化和标准推广为抓手，依托项目带动，系统推进林草新品种、新技术、新装备、新模式的集成示范与规模化应用。加强科技推广队伍建设，持续开展“林草乡土专家”遴选和“最美林草科技推广员”推介活动，提升基层推广服务能力。推动科技下乡、科技特派员等服务机制常态化。聚焦特色林业产业与林下经济等重点领域，打造一批示范效应显著的林草科技推广基地。</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三、加强科技平台建设</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依托</w:t>
      </w:r>
      <w:r>
        <w:rPr>
          <w:rFonts w:ascii="Times New Roman" w:hAnsi="Times New Roman" w:eastAsia="仿宋_GB2312" w:cs="Times New Roman"/>
          <w:color w:val="000000" w:themeColor="text1"/>
          <w:sz w:val="32"/>
          <w:szCs w:val="32"/>
          <w14:textFill>
            <w14:solidFill>
              <w14:schemeClr w14:val="tx1"/>
            </w14:solidFill>
          </w14:textFill>
        </w:rPr>
        <w:t>贵州贵阳城市生态系统定位观测研究站</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建设和</w:t>
      </w:r>
      <w:r>
        <w:rPr>
          <w:rFonts w:ascii="Times New Roman" w:hAnsi="Times New Roman" w:eastAsia="仿宋_GB2312" w:cs="Times New Roman"/>
          <w:color w:val="000000" w:themeColor="text1"/>
          <w:sz w:val="32"/>
          <w:szCs w:val="32"/>
          <w14:textFill>
            <w14:solidFill>
              <w14:schemeClr w14:val="tx1"/>
            </w14:solidFill>
          </w14:textFill>
        </w:rPr>
        <w:t>长坡岭国有林场国家林木种质资源库</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的持续打造</w:t>
      </w:r>
      <w:r>
        <w:rPr>
          <w:rFonts w:ascii="Times New Roman" w:hAnsi="Times New Roman" w:eastAsia="仿宋_GB2312" w:cs="Times New Roman"/>
          <w:color w:val="000000" w:themeColor="text1"/>
          <w:sz w:val="32"/>
          <w:szCs w:val="32"/>
          <w14:textFill>
            <w14:solidFill>
              <w14:schemeClr w14:val="tx1"/>
            </w14:solidFill>
          </w14:textFill>
        </w:rPr>
        <w:t>，增强基础研究能力。积极争取新建一批林草科技平台落户贵阳贵安，推动创新资源集聚。深化产学研协同，支持组建产业技术创新战略联盟，促进创新链与产业链深度融合。加强与中国生态文明论坛、林业科技周等高端平台的对接，拓展学术交流与科技合作渠道，提升林草科技开放合作水平。</w:t>
      </w:r>
    </w:p>
    <w:p>
      <w:pPr>
        <w:pStyle w:val="2"/>
        <w:rPr>
          <w:rFonts w:ascii="Times New Roman" w:hAnsi="Times New Roman" w:eastAsia="仿宋_GB2312" w:cs="Times New Roman"/>
          <w:color w:val="000000" w:themeColor="text1"/>
          <w:sz w:val="32"/>
          <w:szCs w:val="32"/>
          <w14:textFill>
            <w14:solidFill>
              <w14:schemeClr w14:val="tx1"/>
            </w14:solidFill>
          </w14:textFill>
        </w:rPr>
      </w:pPr>
    </w:p>
    <w:p>
      <w:pPr>
        <w:pStyle w:val="5"/>
        <w:rPr>
          <w:rFonts w:ascii="Times New Roman" w:hAnsi="Times New Roman" w:eastAsia="仿宋_GB2312" w:cs="Times New Roman"/>
          <w:color w:val="000000" w:themeColor="text1"/>
          <w:sz w:val="32"/>
          <w:szCs w:val="32"/>
          <w14:textFill>
            <w14:solidFill>
              <w14:schemeClr w14:val="tx1"/>
            </w14:solidFill>
          </w14:textFill>
        </w:rPr>
      </w:pPr>
    </w:p>
    <w:p>
      <w:pPr>
        <w:pStyle w:val="7"/>
      </w:pPr>
    </w:p>
    <w:p>
      <w:pPr>
        <w:pStyle w:val="7"/>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default" w:ascii="Times New Roman" w:hAnsi="Times New Roman" w:eastAsia="仿宋" w:cs="Times New Roman"/>
                <w:b/>
                <w:color w:val="000000" w:themeColor="text1"/>
                <w:sz w:val="28"/>
                <w:szCs w:val="28"/>
                <w14:textFill>
                  <w14:solidFill>
                    <w14:schemeClr w14:val="tx1"/>
                  </w14:solidFill>
                </w14:textFill>
              </w:rPr>
            </w:pPr>
            <w:r>
              <w:rPr>
                <w:rFonts w:hint="default" w:ascii="Times New Roman" w:hAnsi="Times New Roman" w:eastAsia="仿宋" w:cs="Times New Roman"/>
                <w:b/>
                <w:color w:val="000000" w:themeColor="text1"/>
                <w:sz w:val="28"/>
                <w:szCs w:val="28"/>
                <w14:textFill>
                  <w14:solidFill>
                    <w14:schemeClr w14:val="tx1"/>
                  </w14:solidFill>
                </w14:textFill>
              </w:rPr>
              <w:t>专栏6  支撑体系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adjustRightInd w:val="0"/>
              <w:snapToGrid w:val="0"/>
              <w:ind w:firstLine="420"/>
              <w:rPr>
                <w:rFonts w:hint="default" w:ascii="Times New Roman" w:hAnsi="Times New Roman" w:eastAsia="仿宋" w:cs="Times New Roman"/>
                <w:b/>
                <w:bCs/>
                <w:color w:val="000000" w:themeColor="text1"/>
                <w:sz w:val="24"/>
                <w:szCs w:val="24"/>
                <w14:textFill>
                  <w14:solidFill>
                    <w14:schemeClr w14:val="tx1"/>
                  </w14:solidFill>
                </w14:textFill>
              </w:rPr>
            </w:pPr>
            <w:r>
              <w:rPr>
                <w:rFonts w:hint="default" w:ascii="Times New Roman" w:hAnsi="Times New Roman" w:eastAsia="仿宋" w:cs="Times New Roman"/>
                <w:b/>
                <w:bCs/>
                <w:color w:val="000000" w:themeColor="text1"/>
                <w:sz w:val="24"/>
                <w:szCs w:val="24"/>
                <w14:textFill>
                  <w14:solidFill>
                    <w14:schemeClr w14:val="tx1"/>
                  </w14:solidFill>
                </w14:textFill>
              </w:rPr>
              <w:t>01 数智林草建设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5000" w:type="pct"/>
            <w:tcBorders>
              <w:top w:val="single" w:color="auto" w:sz="4" w:space="0"/>
              <w:left w:val="single" w:color="auto" w:sz="4" w:space="0"/>
              <w:bottom w:val="single" w:color="auto" w:sz="4" w:space="0"/>
              <w:right w:val="single" w:color="auto" w:sz="4" w:space="0"/>
            </w:tcBorders>
            <w:vAlign w:val="center"/>
          </w:tcPr>
          <w:p>
            <w:pPr>
              <w:ind w:firstLine="420"/>
              <w:rPr>
                <w:rFonts w:hint="default" w:ascii="Times New Roman" w:hAnsi="Times New Roman" w:eastAsia="仿宋" w:cs="Times New Roman"/>
                <w:bCs/>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智慧林业云平台迭代升级建设项目：</w:t>
            </w:r>
            <w:r>
              <w:rPr>
                <w:rFonts w:hint="default" w:ascii="Times New Roman" w:hAnsi="Times New Roman" w:eastAsia="仿宋" w:cs="Times New Roman"/>
                <w:bCs/>
                <w:color w:val="000000" w:themeColor="text1"/>
                <w:szCs w:val="21"/>
                <w14:textFill>
                  <w14:solidFill>
                    <w14:schemeClr w14:val="tx1"/>
                  </w14:solidFill>
                </w14:textFill>
              </w:rPr>
              <w:t>系统升级方面，完善云资源租赁、云安全、基础软件服务，建设一图总览、动态监测、违法预警、应用场景等功能模块；系统改造方面，优化软件平台、中间件、数据库等。</w:t>
            </w:r>
          </w:p>
          <w:p>
            <w:pPr>
              <w:ind w:firstLine="420"/>
              <w:rPr>
                <w:rFonts w:hint="default" w:ascii="Times New Roman" w:hAnsi="Times New Roman" w:eastAsia="仿宋" w:cs="Times New Roman"/>
                <w:color w:val="000000" w:themeColor="text1"/>
                <w:szCs w:val="2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“天空地”一体化监测体系项目：</w:t>
            </w:r>
            <w:r>
              <w:rPr>
                <w:rFonts w:hint="default" w:ascii="Times New Roman" w:hAnsi="Times New Roman" w:eastAsia="仿宋" w:cs="Times New Roman"/>
                <w:color w:val="000000" w:themeColor="text1"/>
                <w:szCs w:val="21"/>
                <w14:textFill>
                  <w14:solidFill>
                    <w14:schemeClr w14:val="tx1"/>
                  </w14:solidFill>
                </w14:textFill>
              </w:rPr>
              <w:t>以阿哈湖区域为试点，推动物联网、大数据、人工智能等新一代信息技术与林业深度融合，构建智能化、精准化的林业管理体系。</w:t>
            </w:r>
          </w:p>
          <w:p>
            <w:pPr>
              <w:ind w:firstLine="42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仿宋" w:cs="Times New Roman"/>
                <w:b/>
                <w:bCs/>
                <w:color w:val="000000" w:themeColor="text1"/>
                <w:szCs w:val="21"/>
                <w14:textFill>
                  <w14:solidFill>
                    <w14:schemeClr w14:val="tx1"/>
                  </w14:solidFill>
                </w14:textFill>
              </w:rPr>
              <w:t>智能化创新应用场景建设项目：</w:t>
            </w:r>
            <w:r>
              <w:rPr>
                <w:rFonts w:hint="default" w:ascii="Times New Roman" w:hAnsi="Times New Roman" w:eastAsia="仿宋" w:cs="Times New Roman"/>
                <w:color w:val="000000" w:themeColor="text1"/>
                <w:szCs w:val="21"/>
                <w14:textFill>
                  <w14:solidFill>
                    <w14:schemeClr w14:val="tx1"/>
                  </w14:solidFill>
                </w14:textFill>
              </w:rPr>
              <w:t>开发智慧防火场景、智慧资源管理场景、智慧野保监测场景、智慧碳汇管理场景。</w:t>
            </w:r>
          </w:p>
        </w:tc>
      </w:tr>
    </w:tbl>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spacing w:before="312" w:beforeLines="100" w:after="312" w:afterLines="100" w:line="600" w:lineRule="exact"/>
        <w:jc w:val="center"/>
        <w:outlineLvl w:val="0"/>
        <w:rPr>
          <w:rFonts w:ascii="Times New Roman" w:hAnsi="Times New Roman" w:eastAsia="方正小标宋_GBK" w:cs="Times New Roman"/>
          <w:color w:val="000000" w:themeColor="text1"/>
          <w:sz w:val="36"/>
          <w:szCs w:val="36"/>
          <w14:textFill>
            <w14:solidFill>
              <w14:schemeClr w14:val="tx1"/>
            </w14:solidFill>
          </w14:textFill>
        </w:rPr>
      </w:pPr>
      <w:bookmarkStart w:id="58" w:name="_Toc15225"/>
      <w:bookmarkStart w:id="59" w:name="OLE_LINK1"/>
      <w:r>
        <w:rPr>
          <w:rFonts w:ascii="Times New Roman" w:hAnsi="Times New Roman" w:eastAsia="方正小标宋_GBK" w:cs="Times New Roman"/>
          <w:color w:val="000000" w:themeColor="text1"/>
          <w:sz w:val="36"/>
          <w:szCs w:val="36"/>
          <w14:textFill>
            <w14:solidFill>
              <w14:schemeClr w14:val="tx1"/>
            </w14:solidFill>
          </w14:textFill>
        </w:rPr>
        <w:t>第</w:t>
      </w:r>
      <w:r>
        <w:rPr>
          <w:rFonts w:hint="eastAsia" w:ascii="Times New Roman" w:hAnsi="Times New Roman" w:eastAsia="方正小标宋_GBK" w:cs="Times New Roman"/>
          <w:color w:val="000000" w:themeColor="text1"/>
          <w:sz w:val="36"/>
          <w:szCs w:val="36"/>
          <w:lang w:val="en-US" w:eastAsia="zh-CN"/>
          <w14:textFill>
            <w14:solidFill>
              <w14:schemeClr w14:val="tx1"/>
            </w14:solidFill>
          </w14:textFill>
        </w:rPr>
        <w:t>十</w:t>
      </w:r>
      <w:r>
        <w:rPr>
          <w:rFonts w:ascii="Times New Roman" w:hAnsi="Times New Roman" w:eastAsia="方正小标宋_GBK" w:cs="Times New Roman"/>
          <w:color w:val="000000" w:themeColor="text1"/>
          <w:sz w:val="36"/>
          <w:szCs w:val="36"/>
          <w14:textFill>
            <w14:solidFill>
              <w14:schemeClr w14:val="tx1"/>
            </w14:solidFill>
          </w14:textFill>
        </w:rPr>
        <w:t xml:space="preserve">章 </w:t>
      </w:r>
      <w:r>
        <w:rPr>
          <w:rFonts w:hint="eastAsia" w:ascii="Times New Roman" w:hAnsi="Times New Roman" w:eastAsia="方正小标宋_GBK" w:cs="Times New Roman"/>
          <w:color w:val="000000" w:themeColor="text1"/>
          <w:sz w:val="36"/>
          <w:szCs w:val="36"/>
          <w14:textFill>
            <w14:solidFill>
              <w14:schemeClr w14:val="tx1"/>
            </w14:solidFill>
          </w14:textFill>
        </w:rPr>
        <w:t xml:space="preserve"> </w:t>
      </w:r>
      <w:r>
        <w:rPr>
          <w:rFonts w:ascii="Times New Roman" w:hAnsi="Times New Roman" w:eastAsia="方正小标宋_GBK" w:cs="Times New Roman"/>
          <w:color w:val="000000" w:themeColor="text1"/>
          <w:sz w:val="36"/>
          <w:szCs w:val="36"/>
          <w14:textFill>
            <w14:solidFill>
              <w14:schemeClr w14:val="tx1"/>
            </w14:solidFill>
          </w14:textFill>
        </w:rPr>
        <w:t>健全保障机制，推动规划落地见效</w:t>
      </w:r>
      <w:bookmarkEnd w:id="58"/>
    </w:p>
    <w:bookmarkEnd w:id="59"/>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坚持党对林草工作的全面领导，健全规划实施保障机制，强化组织领导、政策支撑、法治保障、资金投入和社会参与，构建上下联动、部门协同、多方参与的工作格局，确保“十五五”时期贵阳贵安林草事业各项目标任务落地见效。</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一、强化组织领导，压实主体责任</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充分发挥林长制引领作用，将规划实施纳入各级林长履职事项和年度考核范围。成立“十五五”规划实施领导小组，建立党政主要领导亲自抓、分管领导具体抓、林业部门牵头落实、相关部门协同配合的工作机制。探索建立“林长+规划实施”督导机制，将规划重点任务完成情况作为各级林长巡林督导的重要内容。建立规划实施评估机制，开展中期评估和总结评估。建立健全常态化督查考核机制，将约束性指标完成情况纳入各级党委政府绩效考核。</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二、创新投入机制，拓宽资金渠道</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建立以财政投入为主体、社会资本积极参与的多元化投入机制。积极争取中央</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、省级林业改革发展</w:t>
      </w:r>
      <w:r>
        <w:rPr>
          <w:rFonts w:ascii="Times New Roman" w:hAnsi="Times New Roman" w:eastAsia="仿宋_GB2312" w:cs="Times New Roman"/>
          <w:color w:val="000000" w:themeColor="text1"/>
          <w:sz w:val="32"/>
          <w:szCs w:val="32"/>
          <w14:textFill>
            <w14:solidFill>
              <w14:schemeClr w14:val="tx1"/>
            </w14:solidFill>
          </w14:textFill>
        </w:rPr>
        <w:t>资金</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和生态保护恢复资金</w:t>
      </w:r>
      <w:r>
        <w:rPr>
          <w:rFonts w:ascii="Times New Roman" w:hAnsi="Times New Roman" w:eastAsia="仿宋_GB2312" w:cs="Times New Roman"/>
          <w:color w:val="000000" w:themeColor="text1"/>
          <w:sz w:val="32"/>
          <w:szCs w:val="32"/>
          <w14:textFill>
            <w14:solidFill>
              <w14:schemeClr w14:val="tx1"/>
            </w14:solidFill>
          </w14:textFill>
        </w:rPr>
        <w:t>支持，将林业</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生态</w:t>
      </w:r>
      <w:r>
        <w:rPr>
          <w:rFonts w:ascii="Times New Roman" w:hAnsi="Times New Roman" w:eastAsia="仿宋_GB2312" w:cs="Times New Roman"/>
          <w:color w:val="000000" w:themeColor="text1"/>
          <w:sz w:val="32"/>
          <w:szCs w:val="32"/>
          <w14:textFill>
            <w14:solidFill>
              <w14:schemeClr w14:val="tx1"/>
            </w14:solidFill>
          </w14:textFill>
        </w:rPr>
        <w:t>建设</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和管理</w:t>
      </w:r>
      <w:r>
        <w:rPr>
          <w:rFonts w:ascii="Times New Roman" w:hAnsi="Times New Roman" w:eastAsia="仿宋_GB2312" w:cs="Times New Roman"/>
          <w:color w:val="000000" w:themeColor="text1"/>
          <w:sz w:val="32"/>
          <w:szCs w:val="32"/>
          <w14:textFill>
            <w14:solidFill>
              <w14:schemeClr w14:val="tx1"/>
            </w14:solidFill>
          </w14:textFill>
        </w:rPr>
        <w:t>经费纳入市、县两级财政预算</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，建立常态化保障机制</w:t>
      </w:r>
      <w:r>
        <w:rPr>
          <w:rFonts w:ascii="Times New Roman" w:hAnsi="Times New Roman" w:eastAsia="仿宋_GB2312" w:cs="Times New Roman"/>
          <w:color w:val="000000" w:themeColor="text1"/>
          <w:sz w:val="32"/>
          <w:szCs w:val="32"/>
          <w14:textFill>
            <w14:solidFill>
              <w14:schemeClr w14:val="tx1"/>
            </w14:solidFill>
          </w14:textFill>
        </w:rPr>
        <w:t>。推广“贵林贷”等金融产品，探索林权抵押、碳汇质押等融资模式，争取国家开发银行、农业发展银行等政策性金融机构提供中长期优惠贷款。在生态旅游、林下经济、森林康养、碳汇开发等领域，探索合规的PPP、特许经营等模式，吸引社会资本参与建设和运营。健全林业保险体系，扩大政策性森林保险覆盖范围，探索开发特色林产品保险、碳汇保险等创新险种。探索发行地方政府专项债券、绿色债券，引导社会资本设立绿色基金投入林草基础设施建设和产业发展。</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三、坚持依法治林，提升治理效能</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深入贯彻落实《</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中华人民共和国</w:t>
      </w:r>
      <w:r>
        <w:rPr>
          <w:rFonts w:ascii="Times New Roman" w:hAnsi="Times New Roman" w:eastAsia="仿宋_GB2312" w:cs="Times New Roman"/>
          <w:color w:val="000000" w:themeColor="text1"/>
          <w:sz w:val="32"/>
          <w:szCs w:val="32"/>
          <w14:textFill>
            <w14:solidFill>
              <w14:schemeClr w14:val="tx1"/>
            </w14:solidFill>
          </w14:textFill>
        </w:rPr>
        <w:t>森林法》《</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中华人民共和国</w:t>
      </w:r>
      <w:r>
        <w:rPr>
          <w:rFonts w:ascii="Times New Roman" w:hAnsi="Times New Roman" w:eastAsia="仿宋_GB2312" w:cs="Times New Roman"/>
          <w:color w:val="000000" w:themeColor="text1"/>
          <w:sz w:val="32"/>
          <w:szCs w:val="32"/>
          <w14:textFill>
            <w14:solidFill>
              <w14:schemeClr w14:val="tx1"/>
            </w14:solidFill>
          </w14:textFill>
        </w:rPr>
        <w:t>草原法》《</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中华人民共和国</w:t>
      </w:r>
      <w:r>
        <w:rPr>
          <w:rFonts w:ascii="Times New Roman" w:hAnsi="Times New Roman" w:eastAsia="仿宋_GB2312" w:cs="Times New Roman"/>
          <w:color w:val="000000" w:themeColor="text1"/>
          <w:sz w:val="32"/>
          <w:szCs w:val="32"/>
          <w14:textFill>
            <w14:solidFill>
              <w14:schemeClr w14:val="tx1"/>
            </w14:solidFill>
          </w14:textFill>
        </w:rPr>
        <w:t>湿地保护法》等法律法规，健全林业法治体系。加大执法监督力度，持续开展“护绿黔行”等涉林执法专项行动，依法严厉打击各类破坏林草湿资源的违法行为。强化源头管控，严格执行“十五五”采伐限额，依法规范建设项目使用林地和林木采伐审批。加强批后监管，加大对已审批项目的抽查力度，建立违规使用林地草地预警机制。完善行政执法与刑事司法衔接机制，严格执行生态环境损害赔偿和责任追究制度，深化“林长+检察长+庭长+警长”协作机制，</w:t>
      </w:r>
      <w:r>
        <w:rPr>
          <w:rFonts w:ascii="Times New Roman" w:hAnsi="Times New Roman" w:eastAsia="仿宋_GB2312" w:cs="Times New Roman"/>
          <w:color w:val="000000" w:themeColor="text1"/>
          <w:kern w:val="0"/>
          <w:sz w:val="32"/>
          <w:szCs w:val="32"/>
          <w14:textFill>
            <w14:solidFill>
              <w14:schemeClr w14:val="tx1"/>
            </w14:solidFill>
          </w14:textFill>
        </w:rPr>
        <w:t>推动涉林公益诉讼常态化，打造林业执法“贵阳样板”</w:t>
      </w:r>
      <w:r>
        <w:rPr>
          <w:rFonts w:ascii="Times New Roman" w:hAnsi="Times New Roman" w:eastAsia="仿宋_GB2312" w:cs="Times New Roman"/>
          <w:color w:val="000000" w:themeColor="text1"/>
          <w:sz w:val="32"/>
          <w:szCs w:val="32"/>
          <w14:textFill>
            <w14:solidFill>
              <w14:schemeClr w14:val="tx1"/>
            </w14:solidFill>
          </w14:textFill>
        </w:rPr>
        <w:t>。</w:t>
      </w:r>
    </w:p>
    <w:p>
      <w:pPr>
        <w:spacing w:line="570" w:lineRule="exact"/>
        <w:ind w:firstLine="640" w:firstLineChars="200"/>
        <w:outlineLvl w:val="2"/>
        <w:rPr>
          <w:rFonts w:ascii="Times New Roman" w:hAnsi="Times New Roman" w:eastAsia="黑体" w:cs="Times New Roman"/>
          <w:color w:val="000000" w:themeColor="text1"/>
          <w:sz w:val="32"/>
          <w:szCs w:val="32"/>
          <w14:textFill>
            <w14:solidFill>
              <w14:schemeClr w14:val="tx1"/>
            </w14:solidFill>
          </w14:textFill>
        </w:rPr>
      </w:pPr>
      <w:r>
        <w:rPr>
          <w:rFonts w:ascii="Times New Roman" w:hAnsi="Times New Roman" w:eastAsia="黑体" w:cs="Times New Roman"/>
          <w:color w:val="000000" w:themeColor="text1"/>
          <w:sz w:val="32"/>
          <w:szCs w:val="32"/>
          <w14:textFill>
            <w14:solidFill>
              <w14:schemeClr w14:val="tx1"/>
            </w14:solidFill>
          </w14:textFill>
        </w:rPr>
        <w:t>四、加强宣传引导，营造良好氛围</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拓宽</w:t>
      </w:r>
      <w:r>
        <w:rPr>
          <w:rFonts w:ascii="Times New Roman" w:hAnsi="Times New Roman" w:eastAsia="仿宋_GB2312" w:cs="Times New Roman"/>
          <w:color w:val="000000" w:themeColor="text1"/>
          <w:sz w:val="32"/>
          <w:szCs w:val="32"/>
          <w14:textFill>
            <w14:solidFill>
              <w14:schemeClr w14:val="tx1"/>
            </w14:solidFill>
          </w14:textFill>
        </w:rPr>
        <w:t>规划</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编制征求意见范围，</w:t>
      </w:r>
      <w:r>
        <w:rPr>
          <w:rFonts w:ascii="Times New Roman" w:hAnsi="Times New Roman" w:eastAsia="仿宋_GB2312" w:cs="Times New Roman"/>
          <w:color w:val="000000" w:themeColor="text1"/>
          <w:sz w:val="32"/>
          <w:szCs w:val="32"/>
          <w14:textFill>
            <w14:solidFill>
              <w14:schemeClr w14:val="tx1"/>
            </w14:solidFill>
          </w14:textFill>
        </w:rPr>
        <w:t>及时公开</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征求社会公众意见，主动吸纳公众对规划的建议</w:t>
      </w:r>
      <w:r>
        <w:rPr>
          <w:rFonts w:ascii="Times New Roman" w:hAnsi="Times New Roman" w:eastAsia="仿宋_GB2312" w:cs="Times New Roman"/>
          <w:color w:val="000000" w:themeColor="text1"/>
          <w:sz w:val="32"/>
          <w:szCs w:val="32"/>
          <w14:textFill>
            <w14:solidFill>
              <w14:schemeClr w14:val="tx1"/>
            </w14:solidFill>
          </w14:textFill>
        </w:rPr>
        <w:t>。依托阿哈湖湿地宣教中心、长坡岭森林公园森林体验教育中心等科普基地，开展形式多样的林业科普教育和生态建设成果宣传活动。打造“爽林珍品”公共品牌，讲好贵阳林业故事，提升贵阳林业的辨识度和影响力。广泛开展义务植树活动，推广“互联网+义务植树”模式。完善公众参与机制，支持社区居民深度参与林业产业发展，形成“产业兴、社区富、生态优”的良性循环。</w:t>
      </w:r>
    </w:p>
    <w:bookmarkEnd w:id="18"/>
    <w:bookmarkEnd w:id="19"/>
    <w:p>
      <w:pPr>
        <w:spacing w:line="570" w:lineRule="exact"/>
        <w:rPr>
          <w:rFonts w:ascii="Times New Roman" w:hAnsi="Times New Roman" w:eastAsia="仿宋_GB2312" w:cs="Times New Roman"/>
          <w:b/>
          <w:color w:val="000000" w:themeColor="text1"/>
          <w:sz w:val="32"/>
          <w:szCs w:val="32"/>
          <w14:textFill>
            <w14:solidFill>
              <w14:schemeClr w14:val="tx1"/>
            </w14:solidFill>
          </w14:textFill>
        </w:rPr>
      </w:pPr>
      <w:bookmarkStart w:id="60" w:name="OLE_LINK13"/>
      <w:r>
        <w:rPr>
          <w:rFonts w:ascii="Times New Roman" w:hAnsi="Times New Roman" w:eastAsia="仿宋_GB2312" w:cs="Times New Roman"/>
          <w:b/>
          <w:color w:val="000000" w:themeColor="text1"/>
          <w:sz w:val="32"/>
          <w:szCs w:val="32"/>
          <w14:textFill>
            <w14:solidFill>
              <w14:schemeClr w14:val="tx1"/>
            </w14:solidFill>
          </w14:textFill>
        </w:rPr>
        <w:t>名词解释：</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“一核两带三廊四区十产百地”：</w:t>
      </w:r>
      <w:r>
        <w:rPr>
          <w:rFonts w:ascii="Times New Roman" w:hAnsi="Times New Roman" w:eastAsia="仿宋_GB2312" w:cs="Times New Roman"/>
          <w:color w:val="000000" w:themeColor="text1"/>
          <w:sz w:val="32"/>
          <w:szCs w:val="32"/>
          <w14:textFill>
            <w14:solidFill>
              <w14:schemeClr w14:val="tx1"/>
            </w14:solidFill>
          </w14:textFill>
        </w:rPr>
        <w:t>贵阳贵安林草保护发展格局。一核以阿哈湖绿核为核心，打造“城市绿心”和“生态会客厅”；两带以第一、第二环城林带为主体；三廊以南明河、贵阳-贵安、西望山-云顶山三条生态廊道为重点；四区划分东部城市森林休闲游憩区、北部生态屏障区、西部水源涵养区、中部林业产业发展区；十产重点发展林下中药材、木本中药材、林下食用菌、花卉苗木、生态茶、竹产业、林蜂、战略储备林、森林生态旅游、林产品精深加工十大产业；百地辐射打造100个以上林草产业基地。该体系便于读者快速定位发展重点。</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“双重”项目：</w:t>
      </w:r>
      <w:r>
        <w:rPr>
          <w:rFonts w:ascii="Times New Roman" w:hAnsi="Times New Roman" w:eastAsia="仿宋_GB2312" w:cs="Times New Roman"/>
          <w:color w:val="000000" w:themeColor="text1"/>
          <w:sz w:val="32"/>
          <w:szCs w:val="32"/>
          <w14:textFill>
            <w14:solidFill>
              <w14:schemeClr w14:val="tx1"/>
            </w14:solidFill>
          </w14:textFill>
        </w:rPr>
        <w:t>指重要生态系统保护和修复重大工程，是国家“十四五”以来实施的重大生态建设项目。</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“三绿”并举：</w:t>
      </w:r>
      <w:r>
        <w:rPr>
          <w:rFonts w:ascii="Times New Roman" w:hAnsi="Times New Roman" w:eastAsia="仿宋_GB2312" w:cs="Times New Roman"/>
          <w:color w:val="000000" w:themeColor="text1"/>
          <w:sz w:val="32"/>
          <w:szCs w:val="32"/>
          <w14:textFill>
            <w14:solidFill>
              <w14:schemeClr w14:val="tx1"/>
            </w14:solidFill>
          </w14:textFill>
        </w:rPr>
        <w:t>指扩绿、兴绿、护绿。其中：扩绿指增加绿化与生态修复面积；兴绿指发展林下经济、森林康养等绿色产业；护绿指加强森林防火、资源保护与智慧林业建设。</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“四库”联动：</w:t>
      </w:r>
      <w:r>
        <w:rPr>
          <w:rFonts w:ascii="Times New Roman" w:hAnsi="Times New Roman" w:eastAsia="仿宋_GB2312" w:cs="Times New Roman"/>
          <w:color w:val="000000" w:themeColor="text1"/>
          <w:sz w:val="32"/>
          <w:szCs w:val="32"/>
          <w14:textFill>
            <w14:solidFill>
              <w14:schemeClr w14:val="tx1"/>
            </w14:solidFill>
          </w14:textFill>
        </w:rPr>
        <w:t>指森林作为水库、钱库、粮库、碳库的协同联动。其中：水库涵养水源；钱库体现生态价值转化；粮库保障林下粮食与林产品供给；碳库聚焦固碳减排。四者共同构成贵阳生态—经济—社会综合效益系统。</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“五林”工作：</w:t>
      </w:r>
      <w:r>
        <w:rPr>
          <w:rFonts w:ascii="Times New Roman" w:hAnsi="Times New Roman" w:eastAsia="仿宋_GB2312" w:cs="Times New Roman"/>
          <w:color w:val="000000" w:themeColor="text1"/>
          <w:sz w:val="32"/>
          <w:szCs w:val="32"/>
          <w14:textFill>
            <w14:solidFill>
              <w14:schemeClr w14:val="tx1"/>
            </w14:solidFill>
          </w14:textFill>
        </w:rPr>
        <w:t>指贵阳贵安林业改革发展的系统方法论，包括：重林（治理体系）、造林（生态空间）、营林（产业富民）、治林（安全底线）、林改（改革创新）。</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“林长+”机制：</w:t>
      </w:r>
      <w:r>
        <w:rPr>
          <w:rFonts w:ascii="Times New Roman" w:hAnsi="Times New Roman" w:eastAsia="仿宋_GB2312" w:cs="Times New Roman"/>
          <w:color w:val="000000" w:themeColor="text1"/>
          <w:sz w:val="32"/>
          <w:szCs w:val="32"/>
          <w14:textFill>
            <w14:solidFill>
              <w14:schemeClr w14:val="tx1"/>
            </w14:solidFill>
          </w14:textFill>
        </w:rPr>
        <w:t>指以林长制为平台，协同检察、法院、公安等部门的联动工作机制，包括“林长+检察长”“林长+庭长”“林长+警长”等。</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“天空地人”一体化：</w:t>
      </w:r>
      <w:r>
        <w:rPr>
          <w:rFonts w:ascii="Times New Roman" w:hAnsi="Times New Roman" w:eastAsia="仿宋_GB2312" w:cs="Times New Roman"/>
          <w:color w:val="000000" w:themeColor="text1"/>
          <w:sz w:val="32"/>
          <w:szCs w:val="32"/>
          <w14:textFill>
            <w14:solidFill>
              <w14:schemeClr w14:val="tx1"/>
            </w14:solidFill>
          </w14:textFill>
        </w:rPr>
        <w:t>指综合利用卫星遥感（天）、无人机巡查（空）、地面监测站（地）、护林员巡护（人）等监测手段，构建全方位、立体化的林草资源监测体系。</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b/>
          <w:color w:val="000000" w:themeColor="text1"/>
          <w:sz w:val="32"/>
          <w:szCs w:val="32"/>
          <w14:textFill>
            <w14:solidFill>
              <w14:schemeClr w14:val="tx1"/>
            </w14:solidFill>
          </w14:textFill>
        </w:rPr>
        <w:t>CCER：</w:t>
      </w:r>
      <w:r>
        <w:rPr>
          <w:rFonts w:ascii="Times New Roman" w:hAnsi="Times New Roman" w:eastAsia="仿宋_GB2312" w:cs="Times New Roman"/>
          <w:color w:val="000000" w:themeColor="text1"/>
          <w:sz w:val="32"/>
          <w:szCs w:val="32"/>
          <w14:textFill>
            <w14:solidFill>
              <w14:schemeClr w14:val="tx1"/>
            </w14:solidFill>
          </w14:textFill>
        </w:rPr>
        <w:t>国家核证自愿减排量（Chinese Certified Emission Reduction），是指对我国境内可再生能源、林业碳汇等项目的温室气体减排效果进行量化核证，并在国家温室气体自愿减排交易注册登记系统中登记的温室气体减排量。</w:t>
      </w:r>
    </w:p>
    <w:p>
      <w:pPr>
        <w:spacing w:line="570" w:lineRule="exact"/>
        <w:ind w:firstLine="642" w:firstLineChars="200"/>
        <w:rPr>
          <w:rFonts w:ascii="Times New Roman" w:hAnsi="Times New Roman" w:eastAsia="仿宋_GB2312" w:cs="Times New Roman"/>
          <w:color w:val="000000" w:themeColor="text1"/>
          <w:sz w:val="32"/>
          <w:szCs w:val="32"/>
          <w14:textFill>
            <w14:solidFill>
              <w14:schemeClr w14:val="tx1"/>
            </w14:solidFill>
          </w14:textFill>
        </w:rPr>
        <w:sectPr>
          <w:footerReference r:id="rId6" w:type="default"/>
          <w:pgSz w:w="11906" w:h="16838"/>
          <w:pgMar w:top="1440" w:right="1800" w:bottom="1440" w:left="1800" w:header="851" w:footer="992" w:gutter="0"/>
          <w:cols w:space="425" w:num="1"/>
          <w:docGrid w:type="lines" w:linePitch="312" w:charSpace="0"/>
        </w:sectPr>
      </w:pPr>
      <w:r>
        <w:rPr>
          <w:rFonts w:ascii="Times New Roman" w:hAnsi="Times New Roman" w:eastAsia="仿宋_GB2312" w:cs="Times New Roman"/>
          <w:b/>
          <w:color w:val="000000" w:themeColor="text1"/>
          <w:sz w:val="32"/>
          <w:szCs w:val="32"/>
          <w14:textFill>
            <w14:solidFill>
              <w14:schemeClr w14:val="tx1"/>
            </w14:solidFill>
          </w14:textFill>
        </w:rPr>
        <w:t>“森林四库”功能：</w:t>
      </w:r>
      <w:r>
        <w:rPr>
          <w:rFonts w:ascii="Times New Roman" w:hAnsi="Times New Roman" w:eastAsia="仿宋_GB2312" w:cs="Times New Roman"/>
          <w:color w:val="000000" w:themeColor="text1"/>
          <w:sz w:val="32"/>
          <w:szCs w:val="32"/>
          <w14:textFill>
            <w14:solidFill>
              <w14:schemeClr w14:val="tx1"/>
            </w14:solidFill>
          </w14:textFill>
        </w:rPr>
        <w:t>指森林作为水库、钱库、粮库、碳库的多重功能定位。</w:t>
      </w:r>
      <w:bookmarkEnd w:id="60"/>
    </w:p>
    <w:p>
      <w:pPr>
        <w:spacing w:line="570" w:lineRule="exact"/>
        <w:rPr>
          <w:rFonts w:ascii="Times New Roman" w:hAnsi="Times New Roman" w:eastAsia="仿宋_GB2312" w:cs="Times New Roman"/>
          <w:b/>
          <w:color w:val="000000" w:themeColor="text1"/>
          <w:sz w:val="32"/>
          <w:szCs w:val="32"/>
          <w14:textFill>
            <w14:solidFill>
              <w14:schemeClr w14:val="tx1"/>
            </w14:solidFill>
          </w14:textFill>
        </w:rPr>
      </w:pPr>
      <w:r>
        <w:rPr>
          <w:rFonts w:hint="eastAsia" w:ascii="Times New Roman" w:hAnsi="Times New Roman" w:eastAsia="仿宋_GB2312" w:cs="Times New Roman"/>
          <w:b/>
          <w:color w:val="000000" w:themeColor="text1"/>
          <w:sz w:val="32"/>
          <w:szCs w:val="32"/>
          <w14:textFill>
            <w14:solidFill>
              <w14:schemeClr w14:val="tx1"/>
            </w14:solidFill>
          </w14:textFill>
        </w:rPr>
        <w:t>环境影响评价分析：</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依据《规划环境影响评价技术导则总纲》（HJ 130-201</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9</w:t>
      </w:r>
      <w:r>
        <w:rPr>
          <w:rFonts w:hint="eastAsia" w:ascii="Times New Roman" w:hAnsi="Times New Roman" w:eastAsia="仿宋_GB2312" w:cs="Times New Roman"/>
          <w:color w:val="000000" w:themeColor="text1"/>
          <w:sz w:val="32"/>
          <w:szCs w:val="32"/>
          <w14:textFill>
            <w14:solidFill>
              <w14:schemeClr w14:val="tx1"/>
            </w14:solidFill>
          </w14:textFill>
        </w:rPr>
        <w:t>）《环境影响评价技术导则生态</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影响</w:t>
      </w:r>
      <w:r>
        <w:rPr>
          <w:rFonts w:hint="eastAsia" w:ascii="Times New Roman" w:hAnsi="Times New Roman" w:eastAsia="仿宋_GB2312" w:cs="Times New Roman"/>
          <w:color w:val="000000" w:themeColor="text1"/>
          <w:sz w:val="32"/>
          <w:szCs w:val="32"/>
          <w14:textFill>
            <w14:solidFill>
              <w14:schemeClr w14:val="tx1"/>
            </w14:solidFill>
          </w14:textFill>
        </w:rPr>
        <w:t>》（HJ 19-2022），对规划项目分为3种类型：一是以改善和保护环境为目的类型，此类型不需要进行环境影响评价，具体包括林业资源保护、森林经营（不含森林采伐）、基础支撑体制机制建设等；二是很少引起重大不利环境影响类型，具体包括林业资源培育、自然保护地建设等；三是可避免或减缓可能对环境造成不利的环境影响类型，具体包括林业资源开发利用、森林采伐、基础设施建设等。针对各类型活动，分别制定环境影响减缓措施：一是资源培育类环境影响的减缓措施，包括合理选择森林培育地块，选择当地乡土树种、珍贵树种及生态功能显</w:t>
      </w:r>
      <w:bookmarkStart w:id="61" w:name="_GoBack"/>
      <w:bookmarkEnd w:id="61"/>
      <w:r>
        <w:rPr>
          <w:rFonts w:hint="eastAsia" w:ascii="Times New Roman" w:hAnsi="Times New Roman" w:eastAsia="仿宋_GB2312" w:cs="Times New Roman"/>
          <w:color w:val="000000" w:themeColor="text1"/>
          <w:sz w:val="32"/>
          <w:szCs w:val="32"/>
          <w14:textFill>
            <w14:solidFill>
              <w14:schemeClr w14:val="tx1"/>
            </w14:solidFill>
          </w14:textFill>
        </w:rPr>
        <w:t>著的阔叶树种混交栽培，避免出现破坏生态环境的培育行为。二是资源开发利用类环境影响的减缓措施，包括把生态保护与环境建设纳入总体设计，针对不同地段不同区域区分等级制订保护措施，严格施工管理。</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总体而言，规划实施可能对周围的大气、土壤、水环境、生物多样性及生态系统等方面产生一定不利影响，但这些影响可通过预防、减缓的措施达到减小和降低影响。后期将对规划的实施过程进行跟踪评价，确保规划的实施符合相关环境保护规定。</w:t>
      </w: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tabs>
          <w:tab w:val="left" w:pos="1496"/>
        </w:tabs>
        <w:outlineLvl w:val="2"/>
        <w:rPr>
          <w:rFonts w:ascii="Times New Roman" w:hAnsi="Times New Roman" w:eastAsia="黑体" w:cs="Times New Roman"/>
          <w:sz w:val="20"/>
          <w:szCs w:val="20"/>
        </w:rPr>
      </w:pPr>
      <w:r>
        <w:rPr>
          <w:rFonts w:ascii="Times New Roman" w:hAnsi="Times New Roman" w:eastAsia="黑体" w:cs="Times New Roman"/>
          <w:sz w:val="20"/>
          <w:szCs w:val="20"/>
        </w:rPr>
        <w:t xml:space="preserve">附表1 </w:t>
      </w:r>
    </w:p>
    <w:tbl>
      <w:tblPr>
        <w:tblStyle w:val="13"/>
        <w:tblW w:w="14005" w:type="dxa"/>
        <w:jc w:val="center"/>
        <w:tblLayout w:type="fixed"/>
        <w:tblCellMar>
          <w:top w:w="0" w:type="dxa"/>
          <w:left w:w="0" w:type="dxa"/>
          <w:bottom w:w="0" w:type="dxa"/>
          <w:right w:w="0" w:type="dxa"/>
        </w:tblCellMar>
      </w:tblPr>
      <w:tblGrid>
        <w:gridCol w:w="576"/>
        <w:gridCol w:w="923"/>
        <w:gridCol w:w="866"/>
        <w:gridCol w:w="969"/>
        <w:gridCol w:w="793"/>
        <w:gridCol w:w="1063"/>
        <w:gridCol w:w="1063"/>
        <w:gridCol w:w="969"/>
        <w:gridCol w:w="1235"/>
        <w:gridCol w:w="703"/>
        <w:gridCol w:w="969"/>
        <w:gridCol w:w="969"/>
        <w:gridCol w:w="1301"/>
        <w:gridCol w:w="866"/>
        <w:gridCol w:w="740"/>
      </w:tblGrid>
      <w:tr>
        <w:tblPrEx>
          <w:tblCellMar>
            <w:top w:w="0" w:type="dxa"/>
            <w:left w:w="0" w:type="dxa"/>
            <w:bottom w:w="0" w:type="dxa"/>
            <w:right w:w="0" w:type="dxa"/>
          </w:tblCellMar>
        </w:tblPrEx>
        <w:trPr>
          <w:trHeight w:val="582" w:hRule="exact"/>
          <w:tblHeader/>
          <w:jc w:val="center"/>
        </w:trPr>
        <w:tc>
          <w:tcPr>
            <w:tcW w:w="14005" w:type="dxa"/>
            <w:gridSpan w:val="15"/>
            <w:tcBorders>
              <w:top w:val="nil"/>
              <w:left w:val="nil"/>
              <w:bottom w:val="nil"/>
              <w:right w:val="nil"/>
            </w:tcBorders>
            <w:shd w:val="clear" w:color="DDEBF7" w:fill="FFFFFF"/>
            <w:tcMar>
              <w:top w:w="15" w:type="dxa"/>
              <w:left w:w="15" w:type="dxa"/>
              <w:right w:w="15" w:type="dxa"/>
            </w:tcMar>
            <w:vAlign w:val="center"/>
          </w:tcPr>
          <w:p>
            <w:pPr>
              <w:widowControl/>
              <w:ind w:firstLine="562"/>
              <w:jc w:val="center"/>
              <w:textAlignment w:val="center"/>
              <w:rPr>
                <w:rFonts w:ascii="Times New Roman" w:hAnsi="Times New Roman" w:eastAsia="黑体" w:cs="Times New Roman"/>
                <w:b/>
                <w:color w:val="000000"/>
                <w:sz w:val="28"/>
                <w:szCs w:val="28"/>
              </w:rPr>
            </w:pPr>
            <w:r>
              <w:rPr>
                <w:rFonts w:ascii="Times New Roman" w:hAnsi="Times New Roman" w:eastAsia="黑体" w:cs="Times New Roman"/>
                <w:b/>
                <w:color w:val="000000"/>
                <w:kern w:val="0"/>
                <w:sz w:val="28"/>
                <w:szCs w:val="28"/>
                <w:lang w:bidi="ar"/>
              </w:rPr>
              <w:t>贵阳市现状林地面积统计表</w:t>
            </w:r>
          </w:p>
        </w:tc>
      </w:tr>
      <w:tr>
        <w:tblPrEx>
          <w:tblCellMar>
            <w:top w:w="0" w:type="dxa"/>
            <w:left w:w="0" w:type="dxa"/>
            <w:bottom w:w="0" w:type="dxa"/>
            <w:right w:w="0" w:type="dxa"/>
          </w:tblCellMar>
        </w:tblPrEx>
        <w:trPr>
          <w:trHeight w:val="397" w:hRule="exact"/>
          <w:tblHeader/>
          <w:jc w:val="center"/>
        </w:trPr>
        <w:tc>
          <w:tcPr>
            <w:tcW w:w="576" w:type="dxa"/>
            <w:tcBorders>
              <w:top w:val="nil"/>
              <w:left w:val="nil"/>
              <w:bottom w:val="nil"/>
              <w:right w:val="nil"/>
            </w:tcBorders>
            <w:noWrap/>
            <w:tcMar>
              <w:top w:w="15" w:type="dxa"/>
              <w:left w:w="15" w:type="dxa"/>
              <w:right w:w="15" w:type="dxa"/>
            </w:tcMar>
            <w:vAlign w:val="bottom"/>
          </w:tcPr>
          <w:p>
            <w:pPr>
              <w:ind w:firstLine="400"/>
              <w:rPr>
                <w:rFonts w:ascii="Times New Roman" w:hAnsi="Times New Roman" w:eastAsia="宋体" w:cs="Times New Roman"/>
                <w:color w:val="000000"/>
                <w:sz w:val="20"/>
                <w:szCs w:val="20"/>
              </w:rPr>
            </w:pPr>
          </w:p>
        </w:tc>
        <w:tc>
          <w:tcPr>
            <w:tcW w:w="923"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866"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969"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793"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1063"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1063"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969"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1235"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703"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969" w:type="dxa"/>
            <w:tcBorders>
              <w:top w:val="nil"/>
              <w:left w:val="nil"/>
              <w:bottom w:val="nil"/>
              <w:right w:val="nil"/>
            </w:tcBorders>
            <w:shd w:val="clear" w:color="DDEBF7" w:fill="FFFFFF"/>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3876" w:type="dxa"/>
            <w:gridSpan w:val="4"/>
            <w:tcBorders>
              <w:top w:val="nil"/>
              <w:left w:val="nil"/>
              <w:bottom w:val="nil"/>
              <w:right w:val="nil"/>
            </w:tcBorders>
            <w:shd w:val="clear" w:color="DDEBF7" w:fill="FFFFFF"/>
            <w:tcMar>
              <w:top w:w="15" w:type="dxa"/>
              <w:left w:w="15" w:type="dxa"/>
              <w:right w:w="15" w:type="dxa"/>
            </w:tcMar>
            <w:vAlign w:val="center"/>
          </w:tcPr>
          <w:p>
            <w:pPr>
              <w:widowControl/>
              <w:ind w:firstLine="402"/>
              <w:jc w:val="right"/>
              <w:textAlignment w:val="center"/>
              <w:rPr>
                <w:rFonts w:ascii="Times New Roman" w:hAnsi="Times New Roman" w:cs="Times New Roman"/>
                <w:b/>
                <w:color w:val="000000"/>
                <w:sz w:val="20"/>
                <w:szCs w:val="20"/>
              </w:rPr>
            </w:pPr>
            <w:r>
              <w:rPr>
                <w:rFonts w:ascii="Times New Roman" w:hAnsi="Times New Roman" w:cs="Times New Roman"/>
                <w:b/>
                <w:color w:val="000000"/>
                <w:kern w:val="0"/>
                <w:sz w:val="20"/>
                <w:szCs w:val="20"/>
                <w:lang w:bidi="ar"/>
              </w:rPr>
              <w:t>单位：万亩</w:t>
            </w:r>
          </w:p>
        </w:tc>
      </w:tr>
      <w:tr>
        <w:tblPrEx>
          <w:tblCellMar>
            <w:top w:w="0" w:type="dxa"/>
            <w:left w:w="0" w:type="dxa"/>
            <w:bottom w:w="0" w:type="dxa"/>
            <w:right w:w="0" w:type="dxa"/>
          </w:tblCellMar>
        </w:tblPrEx>
        <w:trPr>
          <w:trHeight w:val="397" w:hRule="exact"/>
          <w:tblHeader/>
          <w:jc w:val="center"/>
        </w:trPr>
        <w:tc>
          <w:tcPr>
            <w:tcW w:w="1499"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统计单位</w:t>
            </w:r>
          </w:p>
        </w:tc>
        <w:tc>
          <w:tcPr>
            <w:tcW w:w="10900" w:type="dxa"/>
            <w:gridSpan w:val="11"/>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2"/>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林地</w:t>
            </w:r>
          </w:p>
        </w:tc>
        <w:tc>
          <w:tcPr>
            <w:tcW w:w="86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草地</w:t>
            </w:r>
          </w:p>
        </w:tc>
        <w:tc>
          <w:tcPr>
            <w:tcW w:w="740"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eastAsia="宋体" w:cs="Times New Roman"/>
                <w:b/>
                <w:color w:val="000000"/>
                <w:sz w:val="20"/>
                <w:szCs w:val="20"/>
              </w:rPr>
            </w:pPr>
            <w:r>
              <w:rPr>
                <w:rFonts w:ascii="Times New Roman" w:hAnsi="Times New Roman" w:eastAsia="宋体" w:cs="Times New Roman"/>
                <w:b/>
                <w:color w:val="000000"/>
                <w:kern w:val="0"/>
                <w:sz w:val="20"/>
                <w:szCs w:val="20"/>
                <w:lang w:bidi="ar"/>
              </w:rPr>
              <w:t>湿地</w:t>
            </w:r>
          </w:p>
        </w:tc>
      </w:tr>
      <w:tr>
        <w:tblPrEx>
          <w:tblCellMar>
            <w:top w:w="0" w:type="dxa"/>
            <w:left w:w="0" w:type="dxa"/>
            <w:bottom w:w="0" w:type="dxa"/>
            <w:right w:w="0" w:type="dxa"/>
          </w:tblCellMar>
        </w:tblPrEx>
        <w:trPr>
          <w:trHeight w:val="397" w:hRule="exact"/>
          <w:tblHeader/>
          <w:jc w:val="center"/>
        </w:trPr>
        <w:tc>
          <w:tcPr>
            <w:tcW w:w="1499"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总计</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乔木林地</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竹林地</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国特灌</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一般灌</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疏林地</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未成林造林地</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苗圃地</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采伐迹地</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火烧迹地</w:t>
            </w: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林业直服用地</w:t>
            </w:r>
          </w:p>
        </w:tc>
        <w:tc>
          <w:tcPr>
            <w:tcW w:w="86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2"/>
              <w:jc w:val="center"/>
              <w:rPr>
                <w:rFonts w:ascii="Times New Roman" w:hAnsi="Times New Roman" w:eastAsia="宋体" w:cs="Times New Roman"/>
                <w:b/>
                <w:color w:val="000000"/>
                <w:sz w:val="20"/>
                <w:szCs w:val="20"/>
              </w:rPr>
            </w:pPr>
          </w:p>
        </w:tc>
        <w:tc>
          <w:tcPr>
            <w:tcW w:w="740"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2"/>
              <w:jc w:val="center"/>
              <w:rPr>
                <w:rFonts w:ascii="Times New Roman" w:hAnsi="Times New Roman" w:eastAsia="宋体" w:cs="Times New Roman"/>
                <w:b/>
                <w:color w:val="000000"/>
                <w:sz w:val="20"/>
                <w:szCs w:val="20"/>
              </w:rPr>
            </w:pPr>
          </w:p>
        </w:tc>
      </w:tr>
      <w:tr>
        <w:tblPrEx>
          <w:tblCellMar>
            <w:top w:w="0" w:type="dxa"/>
            <w:left w:w="0" w:type="dxa"/>
            <w:bottom w:w="0" w:type="dxa"/>
            <w:right w:w="0" w:type="dxa"/>
          </w:tblCellMar>
        </w:tblPrEx>
        <w:trPr>
          <w:trHeight w:val="397" w:hRule="exact"/>
          <w:tblHeader/>
          <w:jc w:val="center"/>
        </w:trPr>
        <w:tc>
          <w:tcPr>
            <w:tcW w:w="149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总计</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644.36</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455.49</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1.44</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109.43</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67.80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1.43</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0.63</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2.13</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0.45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0.29</w:t>
            </w: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5.27</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8.46</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29.19</w:t>
            </w:r>
          </w:p>
        </w:tc>
      </w:tr>
      <w:tr>
        <w:tblPrEx>
          <w:tblCellMar>
            <w:top w:w="0" w:type="dxa"/>
            <w:left w:w="0" w:type="dxa"/>
            <w:bottom w:w="0" w:type="dxa"/>
            <w:right w:w="0" w:type="dxa"/>
          </w:tblCellMar>
        </w:tblPrEx>
        <w:trPr>
          <w:trHeight w:val="397" w:hRule="exact"/>
          <w:tblHeader/>
          <w:jc w:val="center"/>
        </w:trPr>
        <w:tc>
          <w:tcPr>
            <w:tcW w:w="576"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贵阳市</w:t>
            </w:r>
          </w:p>
        </w:tc>
        <w:tc>
          <w:tcPr>
            <w:tcW w:w="92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合计</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620.90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444.26</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1.41</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102.85</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63.47</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1.33</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0.45</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1.58</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0.00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0.29</w:t>
            </w: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5.26</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6.68</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26.43</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南明区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11.80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8.11</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1.84</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1.57</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0.17</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0.08</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0.02</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0.43</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0.43</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云岩区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5.04</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4.03</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0.00</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0.52</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0.35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0.09</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0.03</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0.07</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0.19</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花溪区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62.34</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46.30</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0.06</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10.23</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5.08</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0.07</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0.59</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0.98</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1.73</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乌当区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60.23</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51.06</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0.85</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3.54</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4.45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0.03</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0.30</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0.52</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1.14</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白云区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17.99</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13.22</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0.00</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2.21</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2.05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0.49</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0.55</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0.51</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观山湖区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21.80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17.20</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1.10</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3.00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0.05</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0.42</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0.47</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2.27</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开阳县</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172.50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120.14</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0.06</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32.19</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17.85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0.11</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2.14</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1.26</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5.97</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息烽县</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84.60</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72.04</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0.11</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5.00</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7.07</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0.05</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0.33</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0.64</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3.12</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修文县</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85.59</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59.91</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0.04</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13.36</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10.39</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0.01</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0.02</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1.55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0.29</w:t>
            </w: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0.02</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0.80</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2.45</w:t>
            </w:r>
          </w:p>
        </w:tc>
      </w:tr>
      <w:tr>
        <w:tblPrEx>
          <w:tblCellMar>
            <w:top w:w="0" w:type="dxa"/>
            <w:left w:w="0" w:type="dxa"/>
            <w:bottom w:w="0" w:type="dxa"/>
            <w:right w:w="0" w:type="dxa"/>
          </w:tblCellMar>
        </w:tblPrEx>
        <w:trPr>
          <w:trHeight w:val="397" w:hRule="exact"/>
          <w:tblHeader/>
          <w:jc w:val="center"/>
        </w:trPr>
        <w:tc>
          <w:tcPr>
            <w:tcW w:w="576"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2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清镇市</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99.02</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52.24</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0.27</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32.85</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11.66</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0.27</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0"/>
              <w:jc w:val="center"/>
              <w:rPr>
                <w:rFonts w:ascii="Times New Roman" w:hAnsi="Times New Roman" w:cs="Times New Roman"/>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1.73</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0.95</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color w:val="000000"/>
                <w:sz w:val="20"/>
                <w:szCs w:val="20"/>
              </w:rPr>
            </w:pPr>
            <w:r>
              <w:rPr>
                <w:rFonts w:ascii="Times New Roman" w:hAnsi="Times New Roman" w:eastAsia="宋体" w:cs="Times New Roman"/>
                <w:color w:val="000000"/>
                <w:kern w:val="0"/>
                <w:sz w:val="20"/>
                <w:szCs w:val="20"/>
                <w:lang w:bidi="ar"/>
              </w:rPr>
              <w:t>8.63</w:t>
            </w:r>
          </w:p>
        </w:tc>
      </w:tr>
      <w:tr>
        <w:tblPrEx>
          <w:tblCellMar>
            <w:top w:w="0" w:type="dxa"/>
            <w:left w:w="0" w:type="dxa"/>
            <w:bottom w:w="0" w:type="dxa"/>
            <w:right w:w="0" w:type="dxa"/>
          </w:tblCellMar>
        </w:tblPrEx>
        <w:trPr>
          <w:trHeight w:val="397" w:hRule="exact"/>
          <w:tblHeader/>
          <w:jc w:val="center"/>
        </w:trPr>
        <w:tc>
          <w:tcPr>
            <w:tcW w:w="1499" w:type="dxa"/>
            <w:gridSpan w:val="2"/>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widowControl/>
              <w:ind w:firstLine="400"/>
              <w:jc w:val="center"/>
              <w:textAlignment w:val="center"/>
              <w:rPr>
                <w:rFonts w:ascii="Times New Roman" w:hAnsi="Times New Roman" w:cs="Times New Roman"/>
                <w:color w:val="000000"/>
                <w:sz w:val="20"/>
                <w:szCs w:val="20"/>
              </w:rPr>
            </w:pPr>
            <w:r>
              <w:rPr>
                <w:rFonts w:ascii="Times New Roman" w:hAnsi="Times New Roman" w:cs="Times New Roman"/>
                <w:color w:val="000000"/>
                <w:kern w:val="0"/>
                <w:sz w:val="20"/>
                <w:szCs w:val="20"/>
                <w:lang w:bidi="ar"/>
              </w:rPr>
              <w:t>贵安新区</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23.46</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11.23</w:t>
            </w:r>
          </w:p>
        </w:tc>
        <w:tc>
          <w:tcPr>
            <w:tcW w:w="79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2"/>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0.03</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6.58</w:t>
            </w:r>
          </w:p>
        </w:tc>
        <w:tc>
          <w:tcPr>
            <w:tcW w:w="106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4.33</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0.10</w:t>
            </w:r>
          </w:p>
        </w:tc>
        <w:tc>
          <w:tcPr>
            <w:tcW w:w="123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0.18</w:t>
            </w:r>
          </w:p>
        </w:tc>
        <w:tc>
          <w:tcPr>
            <w:tcW w:w="70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0.55</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ind w:firstLine="402"/>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0.44</w:t>
            </w:r>
          </w:p>
        </w:tc>
        <w:tc>
          <w:tcPr>
            <w:tcW w:w="96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ind w:firstLine="402"/>
              <w:jc w:val="center"/>
              <w:rPr>
                <w:rFonts w:ascii="Times New Roman" w:hAnsi="Times New Roman" w:cs="Times New Roman"/>
                <w:b/>
                <w:color w:val="000000"/>
                <w:sz w:val="20"/>
                <w:szCs w:val="20"/>
              </w:rPr>
            </w:pPr>
          </w:p>
        </w:tc>
        <w:tc>
          <w:tcPr>
            <w:tcW w:w="13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0.01</w:t>
            </w:r>
          </w:p>
        </w:tc>
        <w:tc>
          <w:tcPr>
            <w:tcW w:w="86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1.78</w:t>
            </w:r>
          </w:p>
        </w:tc>
        <w:tc>
          <w:tcPr>
            <w:tcW w:w="74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Times New Roman" w:hAnsi="Times New Roman" w:cs="Times New Roman"/>
                <w:b/>
                <w:color w:val="000000"/>
                <w:sz w:val="20"/>
                <w:szCs w:val="20"/>
              </w:rPr>
            </w:pPr>
            <w:r>
              <w:rPr>
                <w:rFonts w:ascii="Times New Roman" w:hAnsi="Times New Roman" w:eastAsia="宋体" w:cs="Times New Roman"/>
                <w:b/>
                <w:color w:val="000000"/>
                <w:kern w:val="0"/>
                <w:sz w:val="20"/>
                <w:szCs w:val="20"/>
                <w:lang w:bidi="ar"/>
              </w:rPr>
              <w:t>2.76</w:t>
            </w:r>
          </w:p>
        </w:tc>
      </w:tr>
    </w:tbl>
    <w:p>
      <w:pPr>
        <w:pStyle w:val="2"/>
        <w:ind w:firstLine="0" w:firstLineChars="0"/>
        <w:rPr>
          <w:rFonts w:ascii="Times New Roman" w:hAnsi="Times New Roman"/>
        </w:rPr>
      </w:pPr>
    </w:p>
    <w:p>
      <w:pPr>
        <w:spacing w:line="570" w:lineRule="exact"/>
        <w:ind w:firstLine="640" w:firstLineChars="200"/>
        <w:rPr>
          <w:rFonts w:ascii="Times New Roman" w:hAnsi="Times New Roman" w:eastAsia="仿宋_GB2312" w:cs="Times New Roman"/>
          <w:color w:val="000000" w:themeColor="text1"/>
          <w:sz w:val="32"/>
          <w:szCs w:val="32"/>
          <w14:textFill>
            <w14:solidFill>
              <w14:schemeClr w14:val="tx1"/>
            </w14:solidFill>
          </w14:textFill>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微软雅黑">
    <w:altName w:val="黑体"/>
    <w:panose1 w:val="020B0503020204020204"/>
    <w:charset w:val="86"/>
    <w:family w:val="swiss"/>
    <w:pitch w:val="default"/>
    <w:sig w:usb0="00000000" w:usb1="00000000" w:usb2="00000016" w:usb3="00000000" w:csb0="0004001F" w:csb1="00000000"/>
  </w:font>
  <w:font w:name="仿宋">
    <w:altName w:val="宋体"/>
    <w:panose1 w:val="02010609060101010101"/>
    <w:charset w:val="86"/>
    <w:family w:val="modern"/>
    <w:pitch w:val="default"/>
    <w:sig w:usb0="00000000" w:usb1="00000000"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anumGothic">
    <w:panose1 w:val="020D0604000000000000"/>
    <w:charset w:val="81"/>
    <w:family w:val="auto"/>
    <w:pitch w:val="default"/>
    <w:sig w:usb0="900002A7" w:usb1="29D7FCFB" w:usb2="00000010" w:usb3="00000000" w:csb0="00080001"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23886"/>
      <w:docPartObj>
        <w:docPartGallery w:val="autotext"/>
      </w:docPartObj>
    </w:sdtPr>
    <w:sdtEndPr>
      <w:rPr>
        <w:sz w:val="21"/>
        <w:szCs w:val="21"/>
      </w:rPr>
    </w:sdtEndPr>
    <w:sdtContent>
      <w:p>
        <w:pPr>
          <w:pStyle w:val="1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12</w:t>
        </w:r>
        <w:r>
          <w:rPr>
            <w:sz w:val="21"/>
            <w:szCs w:val="21"/>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02934058"/>
      <w:docPartObj>
        <w:docPartGallery w:val="autotext"/>
      </w:docPartObj>
    </w:sdtPr>
    <w:sdtEndPr>
      <w:rPr>
        <w:rFonts w:ascii="Times New Roman" w:hAnsi="Times New Roman" w:cs="Times New Roman"/>
        <w:sz w:val="21"/>
        <w:szCs w:val="21"/>
      </w:rPr>
    </w:sdtEndPr>
    <w:sdtContent>
      <w:p>
        <w:pPr>
          <w:pStyle w:val="1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PAGE   \* MERGEFORMAT</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53</w:t>
        </w:r>
        <w:r>
          <w:rPr>
            <w:rFonts w:ascii="Times New Roman" w:hAnsi="Times New Roman" w:cs="Times New Roman"/>
            <w:sz w:val="21"/>
            <w:szCs w:val="21"/>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408"/>
    <w:rsid w:val="00007A70"/>
    <w:rsid w:val="00024394"/>
    <w:rsid w:val="000408A2"/>
    <w:rsid w:val="00050BDE"/>
    <w:rsid w:val="00052ED9"/>
    <w:rsid w:val="0007619B"/>
    <w:rsid w:val="00082165"/>
    <w:rsid w:val="000824A7"/>
    <w:rsid w:val="0008515A"/>
    <w:rsid w:val="00097669"/>
    <w:rsid w:val="000A040B"/>
    <w:rsid w:val="000B2F4A"/>
    <w:rsid w:val="000B7FF6"/>
    <w:rsid w:val="000C2163"/>
    <w:rsid w:val="000C4E95"/>
    <w:rsid w:val="000C524B"/>
    <w:rsid w:val="000C6811"/>
    <w:rsid w:val="000D5126"/>
    <w:rsid w:val="000F6799"/>
    <w:rsid w:val="000F72D2"/>
    <w:rsid w:val="000F7D85"/>
    <w:rsid w:val="001006B7"/>
    <w:rsid w:val="00102FDC"/>
    <w:rsid w:val="00103FCF"/>
    <w:rsid w:val="001072AA"/>
    <w:rsid w:val="00111279"/>
    <w:rsid w:val="00113243"/>
    <w:rsid w:val="001148BB"/>
    <w:rsid w:val="001156F7"/>
    <w:rsid w:val="00115EAB"/>
    <w:rsid w:val="001164DE"/>
    <w:rsid w:val="00121BE2"/>
    <w:rsid w:val="0012797C"/>
    <w:rsid w:val="001336C6"/>
    <w:rsid w:val="001359DC"/>
    <w:rsid w:val="0014403F"/>
    <w:rsid w:val="0014432C"/>
    <w:rsid w:val="00146774"/>
    <w:rsid w:val="001515EF"/>
    <w:rsid w:val="00156171"/>
    <w:rsid w:val="00161450"/>
    <w:rsid w:val="00175E30"/>
    <w:rsid w:val="001A5F35"/>
    <w:rsid w:val="001B0EA9"/>
    <w:rsid w:val="001B1239"/>
    <w:rsid w:val="001B4CB2"/>
    <w:rsid w:val="001B7AD7"/>
    <w:rsid w:val="001C151C"/>
    <w:rsid w:val="001C4CAB"/>
    <w:rsid w:val="001D73CD"/>
    <w:rsid w:val="002139AD"/>
    <w:rsid w:val="00213FCA"/>
    <w:rsid w:val="0023337D"/>
    <w:rsid w:val="00247669"/>
    <w:rsid w:val="00255094"/>
    <w:rsid w:val="0026372C"/>
    <w:rsid w:val="00264998"/>
    <w:rsid w:val="00272453"/>
    <w:rsid w:val="002740F2"/>
    <w:rsid w:val="00284B2B"/>
    <w:rsid w:val="00292F1B"/>
    <w:rsid w:val="0029602F"/>
    <w:rsid w:val="002A56C4"/>
    <w:rsid w:val="002B1902"/>
    <w:rsid w:val="002B5ADC"/>
    <w:rsid w:val="002B7F2C"/>
    <w:rsid w:val="002C1439"/>
    <w:rsid w:val="002D46D3"/>
    <w:rsid w:val="002D5BA8"/>
    <w:rsid w:val="002D671E"/>
    <w:rsid w:val="002E059C"/>
    <w:rsid w:val="002E764C"/>
    <w:rsid w:val="002F08B9"/>
    <w:rsid w:val="002F2477"/>
    <w:rsid w:val="00301E1A"/>
    <w:rsid w:val="00302214"/>
    <w:rsid w:val="00302C22"/>
    <w:rsid w:val="003205DD"/>
    <w:rsid w:val="00320D30"/>
    <w:rsid w:val="0032170E"/>
    <w:rsid w:val="00325C8A"/>
    <w:rsid w:val="00335E0F"/>
    <w:rsid w:val="00353CFE"/>
    <w:rsid w:val="00357D5E"/>
    <w:rsid w:val="00360343"/>
    <w:rsid w:val="00360896"/>
    <w:rsid w:val="00366A7A"/>
    <w:rsid w:val="003761B3"/>
    <w:rsid w:val="0037785A"/>
    <w:rsid w:val="00385AC5"/>
    <w:rsid w:val="003863DB"/>
    <w:rsid w:val="003A0D70"/>
    <w:rsid w:val="003A6899"/>
    <w:rsid w:val="003B7560"/>
    <w:rsid w:val="003B786F"/>
    <w:rsid w:val="003D41DB"/>
    <w:rsid w:val="003D651B"/>
    <w:rsid w:val="003F1655"/>
    <w:rsid w:val="00403090"/>
    <w:rsid w:val="0041224B"/>
    <w:rsid w:val="0041660E"/>
    <w:rsid w:val="004273EF"/>
    <w:rsid w:val="004309B7"/>
    <w:rsid w:val="004377A0"/>
    <w:rsid w:val="0044639F"/>
    <w:rsid w:val="00447F9F"/>
    <w:rsid w:val="00451547"/>
    <w:rsid w:val="004522C6"/>
    <w:rsid w:val="00453EC1"/>
    <w:rsid w:val="00465A3E"/>
    <w:rsid w:val="004739A7"/>
    <w:rsid w:val="00473F44"/>
    <w:rsid w:val="004751E5"/>
    <w:rsid w:val="00480DD5"/>
    <w:rsid w:val="004823CB"/>
    <w:rsid w:val="00484794"/>
    <w:rsid w:val="00485956"/>
    <w:rsid w:val="0048638C"/>
    <w:rsid w:val="00486BFA"/>
    <w:rsid w:val="00490306"/>
    <w:rsid w:val="004944F1"/>
    <w:rsid w:val="0049786F"/>
    <w:rsid w:val="004A025F"/>
    <w:rsid w:val="004A6D95"/>
    <w:rsid w:val="004E6179"/>
    <w:rsid w:val="004F04CD"/>
    <w:rsid w:val="004F3714"/>
    <w:rsid w:val="004F5568"/>
    <w:rsid w:val="004F79AE"/>
    <w:rsid w:val="00502774"/>
    <w:rsid w:val="0050612C"/>
    <w:rsid w:val="00507D39"/>
    <w:rsid w:val="00525D85"/>
    <w:rsid w:val="00545DC1"/>
    <w:rsid w:val="005544CD"/>
    <w:rsid w:val="00556D9C"/>
    <w:rsid w:val="00565856"/>
    <w:rsid w:val="00570F98"/>
    <w:rsid w:val="005723BF"/>
    <w:rsid w:val="0058177C"/>
    <w:rsid w:val="0058275A"/>
    <w:rsid w:val="00590872"/>
    <w:rsid w:val="00597E71"/>
    <w:rsid w:val="005A0372"/>
    <w:rsid w:val="005A5501"/>
    <w:rsid w:val="005A7F6E"/>
    <w:rsid w:val="005B3DDA"/>
    <w:rsid w:val="005B4E65"/>
    <w:rsid w:val="005C0400"/>
    <w:rsid w:val="005C1268"/>
    <w:rsid w:val="005C2857"/>
    <w:rsid w:val="005C6B6D"/>
    <w:rsid w:val="005E4B50"/>
    <w:rsid w:val="005E6152"/>
    <w:rsid w:val="005E6E23"/>
    <w:rsid w:val="005F511C"/>
    <w:rsid w:val="00602164"/>
    <w:rsid w:val="00613C43"/>
    <w:rsid w:val="00615496"/>
    <w:rsid w:val="00626211"/>
    <w:rsid w:val="006342CF"/>
    <w:rsid w:val="00635215"/>
    <w:rsid w:val="00641AC3"/>
    <w:rsid w:val="00643A31"/>
    <w:rsid w:val="0064474C"/>
    <w:rsid w:val="00660CA5"/>
    <w:rsid w:val="00660E74"/>
    <w:rsid w:val="00660EBE"/>
    <w:rsid w:val="00670FB5"/>
    <w:rsid w:val="00674BB5"/>
    <w:rsid w:val="00680BE1"/>
    <w:rsid w:val="00685F4E"/>
    <w:rsid w:val="006911FC"/>
    <w:rsid w:val="006A40BE"/>
    <w:rsid w:val="006B0E2A"/>
    <w:rsid w:val="006B179C"/>
    <w:rsid w:val="006C1771"/>
    <w:rsid w:val="006C2B64"/>
    <w:rsid w:val="006C4B96"/>
    <w:rsid w:val="006C53DE"/>
    <w:rsid w:val="006D0C80"/>
    <w:rsid w:val="006E29C3"/>
    <w:rsid w:val="006E3553"/>
    <w:rsid w:val="006E3F07"/>
    <w:rsid w:val="006E53A7"/>
    <w:rsid w:val="006E7EAB"/>
    <w:rsid w:val="006F106E"/>
    <w:rsid w:val="0071175B"/>
    <w:rsid w:val="00712C44"/>
    <w:rsid w:val="00717916"/>
    <w:rsid w:val="00737E6B"/>
    <w:rsid w:val="007475E1"/>
    <w:rsid w:val="0075125A"/>
    <w:rsid w:val="00751E1D"/>
    <w:rsid w:val="0075737E"/>
    <w:rsid w:val="00764E5A"/>
    <w:rsid w:val="0079497F"/>
    <w:rsid w:val="007961C2"/>
    <w:rsid w:val="00797E7A"/>
    <w:rsid w:val="007A5ED1"/>
    <w:rsid w:val="007A625E"/>
    <w:rsid w:val="007B2335"/>
    <w:rsid w:val="007B2E9B"/>
    <w:rsid w:val="007B3A74"/>
    <w:rsid w:val="007B4670"/>
    <w:rsid w:val="007B5523"/>
    <w:rsid w:val="007C04C5"/>
    <w:rsid w:val="007C3398"/>
    <w:rsid w:val="007D3910"/>
    <w:rsid w:val="007D41BE"/>
    <w:rsid w:val="007E0B83"/>
    <w:rsid w:val="007F6B76"/>
    <w:rsid w:val="00802736"/>
    <w:rsid w:val="008031CF"/>
    <w:rsid w:val="00804DCF"/>
    <w:rsid w:val="0081216C"/>
    <w:rsid w:val="00813E1F"/>
    <w:rsid w:val="00823CAB"/>
    <w:rsid w:val="008517B3"/>
    <w:rsid w:val="00853E44"/>
    <w:rsid w:val="00856B22"/>
    <w:rsid w:val="00862616"/>
    <w:rsid w:val="0086604E"/>
    <w:rsid w:val="00866AA4"/>
    <w:rsid w:val="00870CAF"/>
    <w:rsid w:val="00882B39"/>
    <w:rsid w:val="00883D0F"/>
    <w:rsid w:val="00885EAC"/>
    <w:rsid w:val="00890197"/>
    <w:rsid w:val="008915FA"/>
    <w:rsid w:val="008922C0"/>
    <w:rsid w:val="0089321C"/>
    <w:rsid w:val="008A30E4"/>
    <w:rsid w:val="008A47D0"/>
    <w:rsid w:val="008B1E7E"/>
    <w:rsid w:val="008B2F76"/>
    <w:rsid w:val="008C31AE"/>
    <w:rsid w:val="008C492A"/>
    <w:rsid w:val="008C641A"/>
    <w:rsid w:val="008E482C"/>
    <w:rsid w:val="008F6871"/>
    <w:rsid w:val="008F7CD9"/>
    <w:rsid w:val="009071D1"/>
    <w:rsid w:val="0093432C"/>
    <w:rsid w:val="0094516C"/>
    <w:rsid w:val="009457F0"/>
    <w:rsid w:val="00945F45"/>
    <w:rsid w:val="00954C47"/>
    <w:rsid w:val="009569E2"/>
    <w:rsid w:val="009663AB"/>
    <w:rsid w:val="009668A8"/>
    <w:rsid w:val="009725A4"/>
    <w:rsid w:val="009728D5"/>
    <w:rsid w:val="00981444"/>
    <w:rsid w:val="00982AB9"/>
    <w:rsid w:val="00985496"/>
    <w:rsid w:val="00985566"/>
    <w:rsid w:val="0098716B"/>
    <w:rsid w:val="009905B8"/>
    <w:rsid w:val="00994885"/>
    <w:rsid w:val="009972C5"/>
    <w:rsid w:val="009A4142"/>
    <w:rsid w:val="009A4445"/>
    <w:rsid w:val="009A5567"/>
    <w:rsid w:val="009C4937"/>
    <w:rsid w:val="009C7F40"/>
    <w:rsid w:val="009E012C"/>
    <w:rsid w:val="009E2896"/>
    <w:rsid w:val="009E4437"/>
    <w:rsid w:val="009E4933"/>
    <w:rsid w:val="009E6107"/>
    <w:rsid w:val="009E76BB"/>
    <w:rsid w:val="009F009D"/>
    <w:rsid w:val="009F4544"/>
    <w:rsid w:val="00A0246E"/>
    <w:rsid w:val="00A04408"/>
    <w:rsid w:val="00A0586F"/>
    <w:rsid w:val="00A07DD9"/>
    <w:rsid w:val="00A1026D"/>
    <w:rsid w:val="00A11546"/>
    <w:rsid w:val="00A35835"/>
    <w:rsid w:val="00A36A8B"/>
    <w:rsid w:val="00A37E4E"/>
    <w:rsid w:val="00A42342"/>
    <w:rsid w:val="00A4672A"/>
    <w:rsid w:val="00A532DB"/>
    <w:rsid w:val="00A53507"/>
    <w:rsid w:val="00A62BC4"/>
    <w:rsid w:val="00A72C9C"/>
    <w:rsid w:val="00A75D7A"/>
    <w:rsid w:val="00A805A4"/>
    <w:rsid w:val="00A83452"/>
    <w:rsid w:val="00A85805"/>
    <w:rsid w:val="00A86DB4"/>
    <w:rsid w:val="00A977CA"/>
    <w:rsid w:val="00AA453E"/>
    <w:rsid w:val="00AB076B"/>
    <w:rsid w:val="00AB33E8"/>
    <w:rsid w:val="00AC13BE"/>
    <w:rsid w:val="00AC21D4"/>
    <w:rsid w:val="00AC3494"/>
    <w:rsid w:val="00AC5061"/>
    <w:rsid w:val="00AE4EE1"/>
    <w:rsid w:val="00AF5569"/>
    <w:rsid w:val="00B020BC"/>
    <w:rsid w:val="00B224AD"/>
    <w:rsid w:val="00B25924"/>
    <w:rsid w:val="00B3046B"/>
    <w:rsid w:val="00B32411"/>
    <w:rsid w:val="00B42AF8"/>
    <w:rsid w:val="00B55816"/>
    <w:rsid w:val="00B65782"/>
    <w:rsid w:val="00B73555"/>
    <w:rsid w:val="00B779E8"/>
    <w:rsid w:val="00B77AD3"/>
    <w:rsid w:val="00B808B3"/>
    <w:rsid w:val="00B812F9"/>
    <w:rsid w:val="00B92C87"/>
    <w:rsid w:val="00BA1C74"/>
    <w:rsid w:val="00BA2111"/>
    <w:rsid w:val="00BA3942"/>
    <w:rsid w:val="00BA4483"/>
    <w:rsid w:val="00BA794E"/>
    <w:rsid w:val="00BB22CC"/>
    <w:rsid w:val="00BB37FE"/>
    <w:rsid w:val="00BB7B25"/>
    <w:rsid w:val="00BC0F22"/>
    <w:rsid w:val="00BC1DAD"/>
    <w:rsid w:val="00BC1FFD"/>
    <w:rsid w:val="00BC6439"/>
    <w:rsid w:val="00BD0DA7"/>
    <w:rsid w:val="00BD4F7B"/>
    <w:rsid w:val="00BD7151"/>
    <w:rsid w:val="00BD7514"/>
    <w:rsid w:val="00BE3116"/>
    <w:rsid w:val="00BE789F"/>
    <w:rsid w:val="00C06AB4"/>
    <w:rsid w:val="00C2670F"/>
    <w:rsid w:val="00C30782"/>
    <w:rsid w:val="00C348F1"/>
    <w:rsid w:val="00C35E3D"/>
    <w:rsid w:val="00C41060"/>
    <w:rsid w:val="00C41CAF"/>
    <w:rsid w:val="00C4408A"/>
    <w:rsid w:val="00C45543"/>
    <w:rsid w:val="00C55AC9"/>
    <w:rsid w:val="00C567E6"/>
    <w:rsid w:val="00C6257F"/>
    <w:rsid w:val="00C64900"/>
    <w:rsid w:val="00C659B9"/>
    <w:rsid w:val="00C72132"/>
    <w:rsid w:val="00C925F8"/>
    <w:rsid w:val="00C93533"/>
    <w:rsid w:val="00C941D9"/>
    <w:rsid w:val="00C9498F"/>
    <w:rsid w:val="00CA0475"/>
    <w:rsid w:val="00CA2533"/>
    <w:rsid w:val="00CB3713"/>
    <w:rsid w:val="00CC1242"/>
    <w:rsid w:val="00CC49B9"/>
    <w:rsid w:val="00CD69BD"/>
    <w:rsid w:val="00CD783F"/>
    <w:rsid w:val="00CE0C15"/>
    <w:rsid w:val="00CE15C5"/>
    <w:rsid w:val="00CE56D5"/>
    <w:rsid w:val="00CF0EBA"/>
    <w:rsid w:val="00CF3742"/>
    <w:rsid w:val="00D15236"/>
    <w:rsid w:val="00D17016"/>
    <w:rsid w:val="00D22408"/>
    <w:rsid w:val="00D269EE"/>
    <w:rsid w:val="00D3354E"/>
    <w:rsid w:val="00D33BCE"/>
    <w:rsid w:val="00D35913"/>
    <w:rsid w:val="00D427DE"/>
    <w:rsid w:val="00D608B4"/>
    <w:rsid w:val="00D6525F"/>
    <w:rsid w:val="00D72F05"/>
    <w:rsid w:val="00D815D0"/>
    <w:rsid w:val="00D85613"/>
    <w:rsid w:val="00D92036"/>
    <w:rsid w:val="00D93326"/>
    <w:rsid w:val="00D935DB"/>
    <w:rsid w:val="00D96E3A"/>
    <w:rsid w:val="00D97797"/>
    <w:rsid w:val="00DA5FEA"/>
    <w:rsid w:val="00DA711C"/>
    <w:rsid w:val="00DB7DF0"/>
    <w:rsid w:val="00DB7FED"/>
    <w:rsid w:val="00DC7435"/>
    <w:rsid w:val="00DD6F9C"/>
    <w:rsid w:val="00DE0080"/>
    <w:rsid w:val="00DE0C15"/>
    <w:rsid w:val="00DE184C"/>
    <w:rsid w:val="00DE3B51"/>
    <w:rsid w:val="00DE69F9"/>
    <w:rsid w:val="00E0420C"/>
    <w:rsid w:val="00E10593"/>
    <w:rsid w:val="00E132EA"/>
    <w:rsid w:val="00E16ED9"/>
    <w:rsid w:val="00E17579"/>
    <w:rsid w:val="00E3294C"/>
    <w:rsid w:val="00E4334C"/>
    <w:rsid w:val="00E43A59"/>
    <w:rsid w:val="00E445AA"/>
    <w:rsid w:val="00E4701C"/>
    <w:rsid w:val="00E542EA"/>
    <w:rsid w:val="00E61DF8"/>
    <w:rsid w:val="00E64513"/>
    <w:rsid w:val="00E653FF"/>
    <w:rsid w:val="00E7280C"/>
    <w:rsid w:val="00E767DE"/>
    <w:rsid w:val="00E83316"/>
    <w:rsid w:val="00E83B02"/>
    <w:rsid w:val="00E83FB9"/>
    <w:rsid w:val="00E87EF2"/>
    <w:rsid w:val="00E91749"/>
    <w:rsid w:val="00E92D1F"/>
    <w:rsid w:val="00E9457F"/>
    <w:rsid w:val="00E96278"/>
    <w:rsid w:val="00EA16D3"/>
    <w:rsid w:val="00EC05F7"/>
    <w:rsid w:val="00EC16E6"/>
    <w:rsid w:val="00EC1B0C"/>
    <w:rsid w:val="00EC5B98"/>
    <w:rsid w:val="00EC7135"/>
    <w:rsid w:val="00EE6ACD"/>
    <w:rsid w:val="00EF1BB6"/>
    <w:rsid w:val="00EF1D2D"/>
    <w:rsid w:val="00EF2BAC"/>
    <w:rsid w:val="00EF6D05"/>
    <w:rsid w:val="00F01A9F"/>
    <w:rsid w:val="00F02691"/>
    <w:rsid w:val="00F14510"/>
    <w:rsid w:val="00F15652"/>
    <w:rsid w:val="00F27B22"/>
    <w:rsid w:val="00F34902"/>
    <w:rsid w:val="00F35D2B"/>
    <w:rsid w:val="00F45097"/>
    <w:rsid w:val="00F54BDF"/>
    <w:rsid w:val="00F57E39"/>
    <w:rsid w:val="00F61713"/>
    <w:rsid w:val="00F661CD"/>
    <w:rsid w:val="00F70958"/>
    <w:rsid w:val="00F713D9"/>
    <w:rsid w:val="00F74A0B"/>
    <w:rsid w:val="00F80281"/>
    <w:rsid w:val="00F82459"/>
    <w:rsid w:val="00F91D6B"/>
    <w:rsid w:val="00F958C9"/>
    <w:rsid w:val="00F96DEE"/>
    <w:rsid w:val="00FA3618"/>
    <w:rsid w:val="00FA757D"/>
    <w:rsid w:val="00FB0352"/>
    <w:rsid w:val="00FC765B"/>
    <w:rsid w:val="00FD1C5B"/>
    <w:rsid w:val="00FD41BB"/>
    <w:rsid w:val="00FD41EF"/>
    <w:rsid w:val="00FD70AB"/>
    <w:rsid w:val="00FE3B3A"/>
    <w:rsid w:val="00FE4607"/>
    <w:rsid w:val="00FE5ABE"/>
    <w:rsid w:val="00FF06BD"/>
    <w:rsid w:val="00FF1BBA"/>
    <w:rsid w:val="0185255B"/>
    <w:rsid w:val="050C1523"/>
    <w:rsid w:val="07350087"/>
    <w:rsid w:val="085813B6"/>
    <w:rsid w:val="0BD535D2"/>
    <w:rsid w:val="0C021E71"/>
    <w:rsid w:val="0C655C90"/>
    <w:rsid w:val="11097AAC"/>
    <w:rsid w:val="11A872A8"/>
    <w:rsid w:val="12115492"/>
    <w:rsid w:val="12491BA5"/>
    <w:rsid w:val="14FB20E7"/>
    <w:rsid w:val="189952D7"/>
    <w:rsid w:val="1C8B0628"/>
    <w:rsid w:val="26FB0785"/>
    <w:rsid w:val="27C85663"/>
    <w:rsid w:val="2D3041D1"/>
    <w:rsid w:val="328E670F"/>
    <w:rsid w:val="33EC2138"/>
    <w:rsid w:val="38526F5E"/>
    <w:rsid w:val="39B74FBF"/>
    <w:rsid w:val="3F115584"/>
    <w:rsid w:val="3FF31685"/>
    <w:rsid w:val="422C6A66"/>
    <w:rsid w:val="427D61B0"/>
    <w:rsid w:val="439416B6"/>
    <w:rsid w:val="445B08AD"/>
    <w:rsid w:val="463B545E"/>
    <w:rsid w:val="4646138E"/>
    <w:rsid w:val="4D320A95"/>
    <w:rsid w:val="4FDC2847"/>
    <w:rsid w:val="501464C8"/>
    <w:rsid w:val="520053A5"/>
    <w:rsid w:val="524203C3"/>
    <w:rsid w:val="56AD12F0"/>
    <w:rsid w:val="5969080C"/>
    <w:rsid w:val="599B5D55"/>
    <w:rsid w:val="5EC21376"/>
    <w:rsid w:val="5F277D9F"/>
    <w:rsid w:val="612F1464"/>
    <w:rsid w:val="66D81469"/>
    <w:rsid w:val="6D6C196F"/>
    <w:rsid w:val="6E7C56ED"/>
    <w:rsid w:val="700270BF"/>
    <w:rsid w:val="71D22570"/>
    <w:rsid w:val="73F36AC2"/>
    <w:rsid w:val="77E871E4"/>
    <w:rsid w:val="7A547942"/>
    <w:rsid w:val="7FEEE2BB"/>
    <w:rsid w:val="E9FFB2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8">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9">
    <w:name w:val="heading 2"/>
    <w:basedOn w:val="1"/>
    <w:next w:val="1"/>
    <w:link w:val="18"/>
    <w:qFormat/>
    <w:uiPriority w:val="9"/>
    <w:pPr>
      <w:jc w:val="left"/>
      <w:outlineLvl w:val="1"/>
    </w:pPr>
    <w:rPr>
      <w:sz w:val="32"/>
      <w:szCs w:val="32"/>
      <w:lang w:val="zh-CN"/>
    </w:rPr>
  </w:style>
  <w:style w:type="paragraph" w:styleId="6">
    <w:name w:val="heading 3"/>
    <w:basedOn w:val="1"/>
    <w:next w:val="7"/>
    <w:link w:val="24"/>
    <w:semiHidden/>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正文-公1"/>
    <w:basedOn w:val="3"/>
    <w:next w:val="4"/>
    <w:qFormat/>
    <w:uiPriority w:val="0"/>
    <w:pPr>
      <w:ind w:firstLine="200" w:firstLineChars="200"/>
    </w:pPr>
    <w:rPr>
      <w:rFonts w:ascii="Calibri" w:hAnsi="Calibri" w:eastAsia="微软雅黑" w:cs="Times New Roman"/>
      <w:szCs w:val="20"/>
    </w:r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
    <w:qFormat/>
    <w:uiPriority w:val="0"/>
    <w:pPr>
      <w:widowControl w:val="0"/>
      <w:jc w:val="both"/>
    </w:pPr>
    <w:rPr>
      <w:rFonts w:ascii="Calibri" w:hAnsi="Calibri" w:eastAsia="微软雅黑" w:cs="Times New Roman"/>
      <w:kern w:val="2"/>
      <w:sz w:val="21"/>
      <w:lang w:val="en-US" w:eastAsia="zh-CN" w:bidi="ar-SA"/>
    </w:rPr>
  </w:style>
  <w:style w:type="paragraph" w:styleId="4">
    <w:name w:val="header"/>
    <w:basedOn w:val="1"/>
    <w:next w:val="5"/>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Body Text"/>
    <w:basedOn w:val="1"/>
    <w:next w:val="6"/>
    <w:qFormat/>
    <w:uiPriority w:val="0"/>
    <w:rPr>
      <w:rFonts w:ascii="Calibri" w:hAnsi="Calibri" w:cs="Calibri"/>
    </w:rPr>
  </w:style>
  <w:style w:type="paragraph" w:customStyle="1" w:styleId="7">
    <w:name w:val="Z正文"/>
    <w:basedOn w:val="1"/>
    <w:qFormat/>
    <w:uiPriority w:val="4"/>
    <w:pPr>
      <w:ind w:firstLine="560"/>
    </w:pPr>
    <w:rPr>
      <w:rFonts w:eastAsia="宋体" w:cs="Times New Roman"/>
      <w:sz w:val="28"/>
      <w:szCs w:val="28"/>
      <w:shd w:val="clear" w:color="auto" w:fill="FFFFFF"/>
    </w:rPr>
  </w:style>
  <w:style w:type="paragraph" w:styleId="10">
    <w:name w:val="footer"/>
    <w:basedOn w:val="1"/>
    <w:link w:val="21"/>
    <w:unhideWhenUsed/>
    <w:qFormat/>
    <w:uiPriority w:val="99"/>
    <w:pPr>
      <w:tabs>
        <w:tab w:val="center" w:pos="4153"/>
        <w:tab w:val="right" w:pos="8306"/>
      </w:tabs>
      <w:snapToGrid w:val="0"/>
      <w:jc w:val="left"/>
    </w:pPr>
    <w:rPr>
      <w:sz w:val="18"/>
      <w:szCs w:val="18"/>
    </w:rPr>
  </w:style>
  <w:style w:type="paragraph" w:styleId="11">
    <w:name w:val="toc 1"/>
    <w:basedOn w:val="1"/>
    <w:next w:val="1"/>
    <w:unhideWhenUsed/>
    <w:qFormat/>
    <w:uiPriority w:val="39"/>
    <w:pPr>
      <w:tabs>
        <w:tab w:val="right" w:leader="dot" w:pos="8296"/>
      </w:tabs>
      <w:spacing w:line="360" w:lineRule="auto"/>
    </w:pPr>
    <w:rPr>
      <w:rFonts w:ascii="Times New Roman" w:hAnsi="Times New Roman" w:eastAsia="仿宋" w:cs="Times New Roman"/>
      <w:b/>
      <w:sz w:val="28"/>
      <w:szCs w:val="28"/>
    </w:rPr>
  </w:style>
  <w:style w:type="paragraph" w:styleId="12">
    <w:name w:val="toc 2"/>
    <w:basedOn w:val="1"/>
    <w:next w:val="1"/>
    <w:unhideWhenUsed/>
    <w:qFormat/>
    <w:uiPriority w:val="39"/>
    <w:pPr>
      <w:ind w:left="420" w:leftChars="200"/>
    </w:p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标题 2 Char"/>
    <w:basedOn w:val="15"/>
    <w:link w:val="9"/>
    <w:qFormat/>
    <w:uiPriority w:val="9"/>
    <w:rPr>
      <w:sz w:val="32"/>
      <w:szCs w:val="32"/>
      <w:lang w:val="zh-CN"/>
    </w:rPr>
  </w:style>
  <w:style w:type="paragraph" w:styleId="19">
    <w:name w:val="List Paragraph"/>
    <w:basedOn w:val="1"/>
    <w:qFormat/>
    <w:uiPriority w:val="34"/>
    <w:pPr>
      <w:ind w:firstLine="420" w:firstLineChars="200"/>
    </w:pPr>
  </w:style>
  <w:style w:type="character" w:customStyle="1" w:styleId="20">
    <w:name w:val="页眉 Char"/>
    <w:basedOn w:val="15"/>
    <w:link w:val="4"/>
    <w:qFormat/>
    <w:uiPriority w:val="99"/>
    <w:rPr>
      <w:sz w:val="18"/>
      <w:szCs w:val="18"/>
    </w:rPr>
  </w:style>
  <w:style w:type="character" w:customStyle="1" w:styleId="21">
    <w:name w:val="页脚 Char"/>
    <w:basedOn w:val="15"/>
    <w:link w:val="10"/>
    <w:qFormat/>
    <w:uiPriority w:val="99"/>
    <w:rPr>
      <w:sz w:val="18"/>
      <w:szCs w:val="18"/>
    </w:rPr>
  </w:style>
  <w:style w:type="character" w:customStyle="1" w:styleId="22">
    <w:name w:val="font21"/>
    <w:basedOn w:val="15"/>
    <w:qFormat/>
    <w:uiPriority w:val="0"/>
    <w:rPr>
      <w:rFonts w:hint="eastAsia" w:ascii="仿宋_GB2312" w:eastAsia="仿宋_GB2312" w:cs="仿宋_GB2312"/>
      <w:color w:val="000000"/>
      <w:sz w:val="21"/>
      <w:szCs w:val="21"/>
      <w:u w:val="none"/>
    </w:rPr>
  </w:style>
  <w:style w:type="paragraph" w:customStyle="1" w:styleId="23">
    <w:name w:val="Body Text First Indent 21"/>
    <w:basedOn w:val="1"/>
    <w:qFormat/>
    <w:uiPriority w:val="0"/>
    <w:pPr>
      <w:spacing w:line="360" w:lineRule="auto"/>
      <w:ind w:left="200" w:leftChars="200" w:firstLine="420" w:firstLineChars="200"/>
      <w:jc w:val="left"/>
    </w:pPr>
    <w:rPr>
      <w:rFonts w:ascii="仿宋_GB2312" w:hAnsi="Times New Roman" w:eastAsia="仿宋_GB2312" w:cs="仿宋_GB2312"/>
      <w:sz w:val="32"/>
      <w:szCs w:val="24"/>
    </w:rPr>
  </w:style>
  <w:style w:type="character" w:customStyle="1" w:styleId="24">
    <w:name w:val="标题 3 Char"/>
    <w:basedOn w:val="15"/>
    <w:link w:val="6"/>
    <w:semiHidden/>
    <w:qFormat/>
    <w:uiPriority w:val="9"/>
    <w:rPr>
      <w:b/>
      <w:bCs/>
      <w:sz w:val="32"/>
      <w:szCs w:val="32"/>
    </w:rPr>
  </w:style>
  <w:style w:type="paragraph" w:customStyle="1" w:styleId="25">
    <w:name w:val="ds-markdown-paragraph"/>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27024</Words>
  <Characters>28159</Characters>
  <Lines>226</Lines>
  <Paragraphs>63</Paragraphs>
  <TotalTime>97</TotalTime>
  <ScaleCrop>false</ScaleCrop>
  <LinksUpToDate>false</LinksUpToDate>
  <CharactersWithSpaces>28547</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2026-05-04T06:11:00Z</dcterms:created>
  <dc:creator>Administrator</dc:creator>
  <cp:lastModifiedBy>sophie-jie</cp:lastModifiedBy>
  <dcterms:modified xsi:type="dcterms:W3CDTF">2026-05-18T11:56:01Z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eyJoZGlkIjoiMjA0OTM3NmViYTUwM2FmNTZjNDEyZjVkY2ZhNWUzYWUiLCJ1c2VySWQiOiIzODM3NDQ5MTMifQ==</vt:lpwstr>
  </property>
  <property fmtid="{D5CDD505-2E9C-101B-9397-08002B2CF9AE}" pid="3" name="KSOProductBuildVer">
    <vt:lpwstr>2052-11.8.2.10624</vt:lpwstr>
  </property>
  <property fmtid="{D5CDD505-2E9C-101B-9397-08002B2CF9AE}" pid="4" name="ICV">
    <vt:lpwstr>34A0A9BAFD1D4DA1BF0E2AE1F97864EF_13</vt:lpwstr>
  </property>
</Properties>
</file>