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B9B04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jc w:val="center"/>
        <w:textAlignment w:val="center"/>
        <w:rPr>
          <w:rFonts w:hint="eastAsia" w:ascii="方正小标宋简体" w:hAnsi="方正小标宋简体" w:eastAsia="方正小标宋简体" w:cs="方正小标宋简体"/>
          <w:i w:val="0"/>
          <w:iCs w:val="0"/>
          <w:caps w:val="0"/>
          <w:color w:val="333333"/>
          <w:spacing w:val="0"/>
          <w:sz w:val="44"/>
          <w:szCs w:val="44"/>
          <w:highlight w:val="none"/>
          <w:shd w:val="clear" w:color="auto" w:fill="FFFFFF"/>
        </w:rPr>
      </w:pPr>
      <w:r>
        <w:rPr>
          <w:rFonts w:hint="eastAsia" w:ascii="方正小标宋简体" w:hAnsi="Calibri" w:eastAsia="方正小标宋简体" w:cs="Times New Roman"/>
          <w:kern w:val="2"/>
          <w:sz w:val="44"/>
          <w:szCs w:val="44"/>
          <w:lang w:val="en-US" w:eastAsia="zh-CN" w:bidi="ar-SA"/>
        </w:rPr>
        <w:t>贵阳经济技术开发区</w:t>
      </w:r>
      <w:r>
        <w:rPr>
          <w:rFonts w:hint="eastAsia" w:ascii="方正小标宋简体" w:eastAsia="方正小标宋简体" w:cs="Times New Roman"/>
          <w:kern w:val="2"/>
          <w:sz w:val="44"/>
          <w:szCs w:val="44"/>
          <w:lang w:val="en-US" w:eastAsia="zh-CN" w:bidi="ar-SA"/>
        </w:rPr>
        <w:t>招商引资项目履约及产业扶持资金监督管理办法</w:t>
      </w:r>
    </w:p>
    <w:p w14:paraId="76A8108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jc w:val="center"/>
        <w:textAlignment w:val="center"/>
        <w:rPr>
          <w:rFonts w:hint="eastAsia" w:ascii="仿宋_GB2312" w:hAnsi="仿宋_GB2312" w:eastAsia="仿宋_GB2312" w:cs="仿宋_GB2312"/>
          <w:i w:val="0"/>
          <w:iCs w:val="0"/>
          <w:caps w:val="0"/>
          <w:color w:val="333333"/>
          <w:spacing w:val="0"/>
          <w:sz w:val="32"/>
          <w:szCs w:val="32"/>
          <w:highlight w:val="none"/>
          <w:shd w:val="clear" w:color="auto" w:fill="FFFFFF"/>
          <w:lang w:eastAsia="zh-CN"/>
        </w:rPr>
      </w:pPr>
    </w:p>
    <w:p w14:paraId="18EC5F4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jc w:val="center"/>
        <w:textAlignment w:val="center"/>
        <w:rPr>
          <w:rFonts w:hint="eastAsia" w:ascii="仿宋_GB2312" w:hAnsi="仿宋_GB2312" w:eastAsia="仿宋_GB2312" w:cs="仿宋_GB2312"/>
          <w:b w:val="0"/>
          <w:bCs w:val="0"/>
          <w:i w:val="0"/>
          <w:iCs w:val="0"/>
          <w:caps w:val="0"/>
          <w:color w:val="333333"/>
          <w:spacing w:val="0"/>
          <w:sz w:val="32"/>
          <w:szCs w:val="32"/>
          <w:highlight w:val="none"/>
          <w:shd w:val="clear" w:color="auto" w:fill="FFFFFF"/>
          <w:lang w:val="en-US" w:eastAsia="zh-CN"/>
        </w:rPr>
      </w:pPr>
      <w:r>
        <w:rPr>
          <w:rFonts w:hint="eastAsia" w:ascii="黑体" w:hAnsi="黑体" w:eastAsia="黑体" w:cs="黑体"/>
          <w:i w:val="0"/>
          <w:iCs w:val="0"/>
          <w:caps w:val="0"/>
          <w:color w:val="333333"/>
          <w:spacing w:val="0"/>
          <w:sz w:val="32"/>
          <w:szCs w:val="32"/>
          <w:highlight w:val="none"/>
          <w:shd w:val="clear" w:color="auto" w:fill="FFFFFF"/>
        </w:rPr>
        <w:t>第一章</w:t>
      </w:r>
      <w:r>
        <w:rPr>
          <w:rFonts w:hint="eastAsia" w:ascii="黑体" w:hAnsi="黑体" w:eastAsia="黑体" w:cs="黑体"/>
          <w:i w:val="0"/>
          <w:iCs w:val="0"/>
          <w:caps w:val="0"/>
          <w:color w:val="333333"/>
          <w:spacing w:val="0"/>
          <w:sz w:val="32"/>
          <w:szCs w:val="32"/>
          <w:highlight w:val="none"/>
          <w:shd w:val="clear" w:color="auto" w:fill="FFFFFF"/>
          <w:lang w:val="en-US" w:eastAsia="zh-CN"/>
        </w:rPr>
        <w:t xml:space="preserve">  </w:t>
      </w:r>
      <w:r>
        <w:rPr>
          <w:rFonts w:hint="eastAsia" w:ascii="黑体" w:hAnsi="黑体" w:eastAsia="黑体" w:cs="黑体"/>
          <w:i w:val="0"/>
          <w:iCs w:val="0"/>
          <w:caps w:val="0"/>
          <w:color w:val="333333"/>
          <w:spacing w:val="0"/>
          <w:sz w:val="32"/>
          <w:szCs w:val="32"/>
          <w:highlight w:val="none"/>
          <w:shd w:val="clear" w:color="auto" w:fill="FFFFFF"/>
        </w:rPr>
        <w:t>总</w:t>
      </w:r>
      <w:r>
        <w:rPr>
          <w:rFonts w:hint="eastAsia" w:ascii="黑体" w:hAnsi="黑体" w:eastAsia="黑体" w:cs="黑体"/>
          <w:i w:val="0"/>
          <w:iCs w:val="0"/>
          <w:caps w:val="0"/>
          <w:color w:val="333333"/>
          <w:spacing w:val="0"/>
          <w:sz w:val="32"/>
          <w:szCs w:val="32"/>
          <w:highlight w:val="none"/>
          <w:shd w:val="clear" w:color="auto" w:fill="FFFFFF"/>
          <w:lang w:val="en-US" w:eastAsia="zh-CN"/>
        </w:rPr>
        <w:t xml:space="preserve">    </w:t>
      </w:r>
      <w:r>
        <w:rPr>
          <w:rFonts w:hint="eastAsia" w:ascii="黑体" w:hAnsi="黑体" w:eastAsia="黑体" w:cs="黑体"/>
          <w:i w:val="0"/>
          <w:iCs w:val="0"/>
          <w:caps w:val="0"/>
          <w:color w:val="333333"/>
          <w:spacing w:val="0"/>
          <w:sz w:val="32"/>
          <w:szCs w:val="32"/>
          <w:highlight w:val="none"/>
          <w:shd w:val="clear" w:color="auto" w:fill="FFFFFF"/>
        </w:rPr>
        <w:t>则</w:t>
      </w:r>
    </w:p>
    <w:p w14:paraId="2E682981">
      <w:pPr>
        <w:keepNext w:val="0"/>
        <w:keepLines w:val="0"/>
        <w:pageBreakBefore w:val="0"/>
        <w:widowControl w:val="0"/>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bCs/>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 xml:space="preserve">第一条  </w:t>
      </w:r>
      <w:r>
        <w:rPr>
          <w:rFonts w:hint="eastAsia" w:ascii="仿宋_GB2312" w:hAnsi="仿宋_GB2312" w:eastAsia="仿宋_GB2312" w:cs="仿宋_GB2312"/>
          <w:sz w:val="32"/>
          <w:szCs w:val="32"/>
          <w:highlight w:val="none"/>
        </w:rPr>
        <w:t>为进一步</w:t>
      </w:r>
      <w:r>
        <w:rPr>
          <w:rFonts w:hint="eastAsia" w:ascii="仿宋_GB2312" w:hAnsi="仿宋_GB2312" w:eastAsia="仿宋_GB2312" w:cs="仿宋_GB2312"/>
          <w:sz w:val="32"/>
          <w:szCs w:val="32"/>
          <w:highlight w:val="none"/>
          <w:lang w:eastAsia="zh-CN"/>
        </w:rPr>
        <w:t>强化经开区</w:t>
      </w:r>
      <w:r>
        <w:rPr>
          <w:rFonts w:hint="eastAsia" w:ascii="仿宋_GB2312" w:hAnsi="仿宋_GB2312" w:eastAsia="仿宋_GB2312" w:cs="仿宋_GB2312"/>
          <w:sz w:val="32"/>
          <w:szCs w:val="32"/>
          <w:highlight w:val="none"/>
        </w:rPr>
        <w:t>招商</w:t>
      </w:r>
      <w:r>
        <w:rPr>
          <w:rFonts w:hint="eastAsia" w:ascii="仿宋_GB2312" w:hAnsi="仿宋_GB2312" w:eastAsia="仿宋_GB2312" w:cs="仿宋_GB2312"/>
          <w:sz w:val="32"/>
          <w:szCs w:val="32"/>
          <w:highlight w:val="none"/>
          <w:lang w:eastAsia="zh-CN"/>
        </w:rPr>
        <w:t>引资项目履约监管，</w:t>
      </w:r>
      <w:r>
        <w:rPr>
          <w:rFonts w:hint="eastAsia" w:ascii="仿宋_GB2312" w:hAnsi="仿宋_GB2312" w:eastAsia="仿宋_GB2312" w:cs="仿宋_GB2312"/>
          <w:sz w:val="32"/>
          <w:szCs w:val="32"/>
          <w:highlight w:val="none"/>
        </w:rPr>
        <w:t>规范产业扶持</w:t>
      </w:r>
      <w:r>
        <w:rPr>
          <w:rFonts w:hint="eastAsia" w:ascii="仿宋_GB2312" w:hAnsi="仿宋_GB2312" w:eastAsia="仿宋_GB2312" w:cs="仿宋_GB2312"/>
          <w:sz w:val="32"/>
          <w:szCs w:val="32"/>
          <w:highlight w:val="none"/>
          <w:lang w:val="en-US" w:eastAsia="zh-CN"/>
        </w:rPr>
        <w:t>资金</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val="en-US" w:eastAsia="zh-CN"/>
        </w:rPr>
        <w:t>管理</w:t>
      </w:r>
      <w:r>
        <w:rPr>
          <w:rFonts w:hint="eastAsia" w:ascii="仿宋_GB2312" w:hAnsi="仿宋_GB2312" w:eastAsia="仿宋_GB2312" w:cs="仿宋_GB2312"/>
          <w:sz w:val="32"/>
          <w:szCs w:val="32"/>
          <w:highlight w:val="none"/>
          <w:lang w:eastAsia="zh-CN"/>
        </w:rPr>
        <w:t>和</w:t>
      </w:r>
      <w:r>
        <w:rPr>
          <w:rFonts w:hint="eastAsia" w:ascii="仿宋_GB2312" w:hAnsi="仿宋_GB2312" w:eastAsia="仿宋_GB2312" w:cs="仿宋_GB2312"/>
          <w:sz w:val="32"/>
          <w:szCs w:val="32"/>
          <w:highlight w:val="none"/>
          <w:lang w:val="en-US" w:eastAsia="zh-CN"/>
        </w:rPr>
        <w:t>使用</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u w:val="none"/>
          <w:lang w:eastAsia="zh-CN"/>
        </w:rPr>
        <w:t>保障</w:t>
      </w:r>
      <w:r>
        <w:rPr>
          <w:rFonts w:hint="eastAsia" w:ascii="仿宋_GB2312" w:hAnsi="仿宋_GB2312" w:eastAsia="仿宋_GB2312" w:cs="仿宋_GB2312"/>
          <w:sz w:val="32"/>
          <w:szCs w:val="32"/>
          <w:highlight w:val="none"/>
        </w:rPr>
        <w:t>招商引资项目</w:t>
      </w:r>
      <w:r>
        <w:rPr>
          <w:rFonts w:hint="eastAsia" w:ascii="仿宋_GB2312" w:hAnsi="仿宋_GB2312" w:eastAsia="仿宋_GB2312" w:cs="仿宋_GB2312"/>
          <w:sz w:val="32"/>
          <w:szCs w:val="32"/>
          <w:highlight w:val="none"/>
          <w:lang w:eastAsia="zh-CN"/>
        </w:rPr>
        <w:t>投资合同</w:t>
      </w:r>
      <w:r>
        <w:rPr>
          <w:rFonts w:hint="eastAsia" w:ascii="仿宋_GB2312" w:hAnsi="仿宋_GB2312" w:eastAsia="仿宋_GB2312" w:cs="仿宋_GB2312"/>
          <w:sz w:val="32"/>
          <w:szCs w:val="32"/>
          <w:highlight w:val="none"/>
        </w:rPr>
        <w:t>履约双方的权利和义务，结合</w:t>
      </w:r>
      <w:r>
        <w:rPr>
          <w:rFonts w:hint="eastAsia" w:ascii="仿宋_GB2312" w:hAnsi="仿宋_GB2312" w:eastAsia="仿宋_GB2312" w:cs="仿宋_GB2312"/>
          <w:sz w:val="32"/>
          <w:szCs w:val="32"/>
          <w:highlight w:val="none"/>
          <w:lang w:eastAsia="zh-CN"/>
        </w:rPr>
        <w:t>经开区</w:t>
      </w:r>
      <w:r>
        <w:rPr>
          <w:rFonts w:hint="eastAsia" w:ascii="仿宋_GB2312" w:hAnsi="仿宋_GB2312" w:eastAsia="仿宋_GB2312" w:cs="仿宋_GB2312"/>
          <w:sz w:val="32"/>
          <w:szCs w:val="32"/>
          <w:highlight w:val="none"/>
        </w:rPr>
        <w:t>实际，以及财政预算管理有关规定，制定本办法。</w:t>
      </w:r>
    </w:p>
    <w:p w14:paraId="7A89B6E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60" w:lineRule="exact"/>
        <w:ind w:right="120" w:firstLine="643" w:firstLineChars="200"/>
        <w:jc w:val="left"/>
        <w:textAlignment w:val="auto"/>
        <w:rPr>
          <w:rFonts w:hint="eastAsia" w:ascii="仿宋_GB2312" w:hAnsi="仿宋_GB2312" w:eastAsia="仿宋_GB2312" w:cs="仿宋_GB2312"/>
          <w:spacing w:val="0"/>
          <w:kern w:val="2"/>
          <w:sz w:val="32"/>
          <w:szCs w:val="32"/>
          <w:highlight w:val="none"/>
          <w:lang w:val="en-US" w:eastAsia="zh-CN" w:bidi="ar-SA"/>
        </w:rPr>
      </w:pPr>
      <w:r>
        <w:rPr>
          <w:rFonts w:hint="eastAsia" w:ascii="仿宋_GB2312" w:hAnsi="仿宋_GB2312" w:eastAsia="仿宋_GB2312" w:cs="仿宋_GB2312"/>
          <w:b/>
          <w:bCs/>
          <w:spacing w:val="0"/>
          <w:kern w:val="2"/>
          <w:sz w:val="32"/>
          <w:szCs w:val="32"/>
          <w:lang w:val="en-US" w:eastAsia="zh-CN" w:bidi="ar-SA"/>
        </w:rPr>
        <w:t>第二条</w:t>
      </w:r>
      <w:r>
        <w:rPr>
          <w:rFonts w:hint="eastAsia" w:ascii="仿宋_GB2312" w:hAnsi="仿宋_GB2312" w:eastAsia="仿宋_GB2312" w:cs="仿宋_GB2312"/>
          <w:spacing w:val="0"/>
          <w:kern w:val="2"/>
          <w:sz w:val="32"/>
          <w:szCs w:val="32"/>
          <w:lang w:val="en-US" w:eastAsia="zh-CN" w:bidi="ar-SA"/>
        </w:rPr>
        <w:t xml:space="preserve"> </w:t>
      </w:r>
      <w:r>
        <w:rPr>
          <w:rFonts w:hint="eastAsia" w:ascii="仿宋_GB2312" w:hAnsi="仿宋_GB2312" w:eastAsia="仿宋_GB2312" w:cs="仿宋_GB2312"/>
          <w:b w:val="0"/>
          <w:bCs w:val="0"/>
          <w:kern w:val="2"/>
          <w:sz w:val="32"/>
          <w:szCs w:val="32"/>
          <w:highlight w:val="none"/>
          <w:lang w:val="en-US" w:eastAsia="zh-CN" w:bidi="ar-SA"/>
        </w:rPr>
        <w:t xml:space="preserve"> </w:t>
      </w:r>
      <w:r>
        <w:rPr>
          <w:rFonts w:hint="eastAsia" w:ascii="仿宋_GB2312" w:hAnsi="仿宋_GB2312" w:eastAsia="仿宋_GB2312" w:cs="仿宋_GB2312"/>
          <w:i w:val="0"/>
          <w:iCs w:val="0"/>
          <w:caps w:val="0"/>
          <w:spacing w:val="0"/>
          <w:kern w:val="2"/>
          <w:sz w:val="32"/>
          <w:szCs w:val="32"/>
          <w:highlight w:val="none"/>
          <w:shd w:val="clear" w:color="auto" w:fill="auto"/>
          <w:lang w:bidi="ar-SA"/>
        </w:rPr>
        <w:t>本办法适用</w:t>
      </w:r>
      <w:r>
        <w:rPr>
          <w:rFonts w:hint="eastAsia" w:ascii="仿宋_GB2312" w:hAnsi="仿宋_GB2312" w:eastAsia="仿宋_GB2312" w:cs="仿宋_GB2312"/>
          <w:i w:val="0"/>
          <w:iCs w:val="0"/>
          <w:caps w:val="0"/>
          <w:spacing w:val="0"/>
          <w:kern w:val="2"/>
          <w:sz w:val="32"/>
          <w:szCs w:val="32"/>
          <w:highlight w:val="none"/>
          <w:shd w:val="clear" w:color="auto" w:fill="auto"/>
          <w:lang w:val="en-US" w:eastAsia="zh-CN" w:bidi="ar-SA"/>
        </w:rPr>
        <w:t>于符合</w:t>
      </w:r>
      <w:r>
        <w:rPr>
          <w:rFonts w:hint="eastAsia" w:ascii="仿宋_GB2312" w:hAnsi="仿宋_GB2312" w:eastAsia="仿宋_GB2312" w:cs="仿宋_GB2312"/>
          <w:i w:val="0"/>
          <w:iCs w:val="0"/>
          <w:caps w:val="0"/>
          <w:spacing w:val="0"/>
          <w:kern w:val="2"/>
          <w:sz w:val="32"/>
          <w:szCs w:val="32"/>
          <w:highlight w:val="none"/>
          <w:shd w:val="clear" w:color="auto" w:fill="auto"/>
          <w:lang w:eastAsia="zh-CN" w:bidi="ar-SA"/>
        </w:rPr>
        <w:t>《</w:t>
      </w:r>
      <w:r>
        <w:rPr>
          <w:rFonts w:hint="eastAsia" w:ascii="仿宋_GB2312" w:hAnsi="仿宋_GB2312" w:eastAsia="仿宋_GB2312" w:cs="仿宋_GB2312"/>
          <w:i w:val="0"/>
          <w:iCs w:val="0"/>
          <w:caps w:val="0"/>
          <w:spacing w:val="0"/>
          <w:kern w:val="2"/>
          <w:sz w:val="32"/>
          <w:szCs w:val="32"/>
          <w:highlight w:val="none"/>
          <w:shd w:val="clear" w:color="auto" w:fill="auto"/>
          <w:lang w:val="en-US" w:eastAsia="zh-CN" w:bidi="ar-SA"/>
        </w:rPr>
        <w:t>贵州省规范招商引资行为促进招商引资高质量发展实施办法</w:t>
      </w:r>
      <w:r>
        <w:rPr>
          <w:rFonts w:hint="eastAsia" w:ascii="仿宋_GB2312" w:hAnsi="仿宋_GB2312" w:eastAsia="仿宋_GB2312" w:cs="仿宋_GB2312"/>
          <w:i w:val="0"/>
          <w:iCs w:val="0"/>
          <w:caps w:val="0"/>
          <w:spacing w:val="0"/>
          <w:kern w:val="2"/>
          <w:sz w:val="32"/>
          <w:szCs w:val="32"/>
          <w:highlight w:val="none"/>
          <w:shd w:val="clear" w:color="auto" w:fill="auto"/>
          <w:lang w:eastAsia="zh-CN" w:bidi="ar-SA"/>
        </w:rPr>
        <w:t>》</w:t>
      </w:r>
      <w:r>
        <w:rPr>
          <w:rFonts w:hint="eastAsia" w:ascii="仿宋_GB2312" w:hAnsi="仿宋_GB2312" w:eastAsia="仿宋_GB2312" w:cs="仿宋_GB2312"/>
          <w:i w:val="0"/>
          <w:iCs w:val="0"/>
          <w:caps w:val="0"/>
          <w:spacing w:val="0"/>
          <w:kern w:val="2"/>
          <w:sz w:val="32"/>
          <w:szCs w:val="32"/>
          <w:highlight w:val="none"/>
          <w:shd w:val="clear" w:color="auto" w:fill="auto"/>
          <w:lang w:val="en-US" w:eastAsia="zh-CN" w:bidi="ar-SA"/>
        </w:rPr>
        <w:t>规定的依法依规、有合同协议的存量招商引资项目，在“</w:t>
      </w:r>
      <w:r>
        <w:rPr>
          <w:rFonts w:hint="eastAsia" w:ascii="仿宋_GB2312" w:hAnsi="仿宋_GB2312" w:eastAsia="仿宋_GB2312" w:cs="仿宋_GB2312"/>
          <w:i w:val="0"/>
          <w:iCs w:val="0"/>
          <w:caps w:val="0"/>
          <w:spacing w:val="0"/>
          <w:kern w:val="2"/>
          <w:sz w:val="32"/>
          <w:szCs w:val="32"/>
          <w:highlight w:val="none"/>
          <w:shd w:val="clear" w:color="auto" w:fill="auto"/>
          <w:lang w:eastAsia="zh-CN" w:bidi="ar-SA"/>
        </w:rPr>
        <w:t>过</w:t>
      </w:r>
      <w:r>
        <w:rPr>
          <w:rFonts w:hint="eastAsia" w:ascii="仿宋_GB2312" w:hAnsi="仿宋_GB2312" w:eastAsia="仿宋_GB2312" w:cs="仿宋_GB2312"/>
          <w:i w:val="0"/>
          <w:iCs w:val="0"/>
          <w:caps w:val="0"/>
          <w:spacing w:val="0"/>
          <w:kern w:val="2"/>
          <w:sz w:val="32"/>
          <w:szCs w:val="32"/>
          <w:highlight w:val="none"/>
          <w:shd w:val="clear" w:color="auto" w:fill="auto"/>
          <w:lang w:val="en-US" w:eastAsia="zh-CN" w:bidi="ar-SA"/>
        </w:rPr>
        <w:t>渡</w:t>
      </w:r>
      <w:r>
        <w:rPr>
          <w:rFonts w:hint="eastAsia" w:ascii="仿宋_GB2312" w:hAnsi="仿宋_GB2312" w:eastAsia="仿宋_GB2312" w:cs="仿宋_GB2312"/>
          <w:i w:val="0"/>
          <w:iCs w:val="0"/>
          <w:caps w:val="0"/>
          <w:spacing w:val="0"/>
          <w:kern w:val="2"/>
          <w:sz w:val="32"/>
          <w:szCs w:val="32"/>
          <w:highlight w:val="none"/>
          <w:shd w:val="clear" w:color="auto" w:fill="auto"/>
          <w:lang w:eastAsia="zh-CN" w:bidi="ar-SA"/>
        </w:rPr>
        <w:t>期”内</w:t>
      </w:r>
      <w:r>
        <w:rPr>
          <w:rFonts w:hint="eastAsia" w:ascii="仿宋_GB2312" w:hAnsi="仿宋_GB2312" w:eastAsia="仿宋_GB2312" w:cs="仿宋_GB2312"/>
          <w:i w:val="0"/>
          <w:iCs w:val="0"/>
          <w:caps w:val="0"/>
          <w:spacing w:val="0"/>
          <w:kern w:val="2"/>
          <w:sz w:val="32"/>
          <w:szCs w:val="32"/>
          <w:highlight w:val="none"/>
          <w:shd w:val="clear" w:color="auto" w:fill="auto"/>
          <w:lang w:bidi="ar-SA"/>
        </w:rPr>
        <w:t>产业扶持资金</w:t>
      </w:r>
      <w:r>
        <w:rPr>
          <w:rFonts w:hint="eastAsia" w:ascii="仿宋_GB2312" w:hAnsi="仿宋_GB2312" w:eastAsia="仿宋_GB2312" w:cs="仿宋_GB2312"/>
          <w:i w:val="0"/>
          <w:iCs w:val="0"/>
          <w:caps w:val="0"/>
          <w:spacing w:val="0"/>
          <w:kern w:val="2"/>
          <w:sz w:val="32"/>
          <w:szCs w:val="32"/>
          <w:highlight w:val="none"/>
          <w:shd w:val="clear" w:color="auto" w:fill="auto"/>
          <w:lang w:val="en-US" w:eastAsia="zh-CN" w:bidi="ar-SA"/>
        </w:rPr>
        <w:t>的</w:t>
      </w:r>
      <w:r>
        <w:rPr>
          <w:rFonts w:hint="eastAsia" w:ascii="仿宋_GB2312" w:hAnsi="仿宋_GB2312" w:eastAsia="仿宋_GB2312" w:cs="仿宋_GB2312"/>
          <w:i w:val="0"/>
          <w:iCs w:val="0"/>
          <w:caps w:val="0"/>
          <w:spacing w:val="0"/>
          <w:kern w:val="2"/>
          <w:sz w:val="32"/>
          <w:szCs w:val="32"/>
          <w:highlight w:val="none"/>
          <w:shd w:val="clear" w:color="auto" w:fill="auto"/>
          <w:lang w:bidi="ar-SA"/>
        </w:rPr>
        <w:t>兑现</w:t>
      </w:r>
      <w:r>
        <w:rPr>
          <w:rFonts w:hint="eastAsia" w:ascii="仿宋_GB2312" w:hAnsi="仿宋_GB2312" w:eastAsia="仿宋_GB2312" w:cs="仿宋_GB2312"/>
          <w:i w:val="0"/>
          <w:iCs w:val="0"/>
          <w:caps w:val="0"/>
          <w:spacing w:val="0"/>
          <w:kern w:val="2"/>
          <w:sz w:val="32"/>
          <w:szCs w:val="32"/>
          <w:highlight w:val="none"/>
          <w:shd w:val="clear" w:color="auto" w:fill="auto"/>
          <w:lang w:val="en-US" w:eastAsia="zh-CN" w:bidi="ar-SA"/>
        </w:rPr>
        <w:t>和</w:t>
      </w:r>
      <w:r>
        <w:rPr>
          <w:rFonts w:hint="eastAsia" w:ascii="仿宋_GB2312" w:hAnsi="仿宋_GB2312" w:eastAsia="仿宋_GB2312" w:cs="仿宋_GB2312"/>
          <w:i w:val="0"/>
          <w:iCs w:val="0"/>
          <w:caps w:val="0"/>
          <w:spacing w:val="0"/>
          <w:kern w:val="2"/>
          <w:sz w:val="32"/>
          <w:szCs w:val="32"/>
          <w:highlight w:val="none"/>
          <w:shd w:val="clear" w:color="auto" w:fill="auto"/>
          <w:lang w:bidi="ar-SA"/>
        </w:rPr>
        <w:t>管理</w:t>
      </w:r>
      <w:r>
        <w:rPr>
          <w:rFonts w:hint="eastAsia" w:ascii="仿宋_GB2312" w:hAnsi="仿宋_GB2312" w:eastAsia="仿宋_GB2312" w:cs="仿宋_GB2312"/>
          <w:i w:val="0"/>
          <w:iCs w:val="0"/>
          <w:caps w:val="0"/>
          <w:spacing w:val="0"/>
          <w:kern w:val="2"/>
          <w:sz w:val="32"/>
          <w:szCs w:val="32"/>
          <w:highlight w:val="none"/>
          <w:shd w:val="clear" w:color="auto" w:fill="auto"/>
          <w:lang w:eastAsia="zh-CN" w:bidi="ar-SA"/>
        </w:rPr>
        <w:t>。</w:t>
      </w:r>
      <w:r>
        <w:rPr>
          <w:rFonts w:hint="eastAsia" w:ascii="仿宋_GB2312" w:hAnsi="仿宋_GB2312" w:eastAsia="仿宋_GB2312" w:cs="仿宋_GB2312"/>
          <w:i w:val="0"/>
          <w:iCs w:val="0"/>
          <w:caps w:val="0"/>
          <w:spacing w:val="0"/>
          <w:kern w:val="2"/>
          <w:sz w:val="32"/>
          <w:szCs w:val="32"/>
          <w:highlight w:val="none"/>
          <w:shd w:val="clear" w:color="auto" w:fill="auto"/>
          <w:lang w:bidi="ar-SA"/>
        </w:rPr>
        <w:t>若</w:t>
      </w:r>
      <w:r>
        <w:rPr>
          <w:rFonts w:hint="eastAsia" w:ascii="仿宋_GB2312" w:hAnsi="仿宋_GB2312" w:eastAsia="仿宋_GB2312" w:cs="仿宋_GB2312"/>
          <w:i w:val="0"/>
          <w:iCs w:val="0"/>
          <w:caps w:val="0"/>
          <w:spacing w:val="0"/>
          <w:kern w:val="2"/>
          <w:sz w:val="32"/>
          <w:szCs w:val="32"/>
          <w:highlight w:val="none"/>
          <w:shd w:val="clear" w:color="auto" w:fill="auto"/>
          <w:lang w:eastAsia="zh-CN" w:bidi="ar-SA"/>
        </w:rPr>
        <w:t>法律法规</w:t>
      </w:r>
      <w:r>
        <w:rPr>
          <w:rFonts w:hint="eastAsia" w:ascii="仿宋_GB2312" w:hAnsi="仿宋_GB2312" w:eastAsia="仿宋_GB2312" w:cs="仿宋_GB2312"/>
          <w:i w:val="0"/>
          <w:iCs w:val="0"/>
          <w:caps w:val="0"/>
          <w:spacing w:val="0"/>
          <w:kern w:val="2"/>
          <w:sz w:val="32"/>
          <w:szCs w:val="32"/>
          <w:highlight w:val="none"/>
          <w:shd w:val="clear" w:color="auto" w:fill="auto"/>
          <w:lang w:bidi="ar-SA"/>
        </w:rPr>
        <w:t>、规章对产业扶持资金拨付另有规定</w:t>
      </w:r>
      <w:r>
        <w:rPr>
          <w:rFonts w:hint="eastAsia" w:ascii="仿宋_GB2312" w:hAnsi="仿宋_GB2312" w:eastAsia="仿宋_GB2312" w:cs="仿宋_GB2312"/>
          <w:i w:val="0"/>
          <w:iCs w:val="0"/>
          <w:caps w:val="0"/>
          <w:spacing w:val="0"/>
          <w:kern w:val="2"/>
          <w:sz w:val="32"/>
          <w:szCs w:val="32"/>
          <w:highlight w:val="none"/>
          <w:shd w:val="clear" w:color="auto" w:fill="auto"/>
          <w:lang w:eastAsia="zh-CN" w:bidi="ar-SA"/>
        </w:rPr>
        <w:t>的</w:t>
      </w:r>
      <w:r>
        <w:rPr>
          <w:rFonts w:hint="eastAsia" w:ascii="仿宋_GB2312" w:hAnsi="仿宋_GB2312" w:eastAsia="仿宋_GB2312" w:cs="仿宋_GB2312"/>
          <w:i w:val="0"/>
          <w:iCs w:val="0"/>
          <w:caps w:val="0"/>
          <w:spacing w:val="0"/>
          <w:kern w:val="2"/>
          <w:sz w:val="32"/>
          <w:szCs w:val="32"/>
          <w:highlight w:val="none"/>
          <w:shd w:val="clear" w:color="auto" w:fill="auto"/>
          <w:lang w:bidi="ar-SA"/>
        </w:rPr>
        <w:t>，从其规定。</w:t>
      </w:r>
      <w:bookmarkStart w:id="0" w:name="_GoBack"/>
      <w:bookmarkEnd w:id="0"/>
    </w:p>
    <w:p w14:paraId="30B2C95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 xml:space="preserve">第三条  </w:t>
      </w:r>
      <w:r>
        <w:rPr>
          <w:rFonts w:hint="eastAsia" w:ascii="仿宋_GB2312" w:hAnsi="仿宋_GB2312" w:eastAsia="仿宋_GB2312" w:cs="仿宋_GB2312"/>
          <w:kern w:val="2"/>
          <w:sz w:val="32"/>
          <w:szCs w:val="32"/>
          <w:highlight w:val="none"/>
          <w:lang w:val="en-US" w:eastAsia="zh-CN" w:bidi="ar-SA"/>
        </w:rPr>
        <w:t>为落实本办法，成立区招商引资项目履约及产业扶持资金监管工作专班，由管委会分管财政工作和招商引资工作的副主任担任双组长，下设协议履约监管小组、资金监管小组、资金追缴小组。</w:t>
      </w:r>
    </w:p>
    <w:p w14:paraId="33DD9F2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 xml:space="preserve">第四条  </w:t>
      </w:r>
      <w:r>
        <w:rPr>
          <w:rFonts w:hint="eastAsia" w:ascii="仿宋_GB2312" w:hAnsi="仿宋_GB2312" w:eastAsia="仿宋_GB2312" w:cs="仿宋_GB2312"/>
          <w:kern w:val="2"/>
          <w:sz w:val="32"/>
          <w:szCs w:val="32"/>
          <w:highlight w:val="none"/>
          <w:lang w:val="en-US" w:eastAsia="zh-CN" w:bidi="ar-SA"/>
        </w:rPr>
        <w:t>贵阳经济技术开发区招商引资产业扶持资金（以下简称产业扶持资金），是指《公平竞争审查条例》出台以前，经开区依法依规与项目投资方签订的《投资合同》或《补充协议》中约定用于支持项目投资方在经开区建设产业项目的各类扶持资金</w:t>
      </w:r>
      <w:r>
        <w:rPr>
          <w:rFonts w:hint="eastAsia" w:ascii="仿宋_GB2312" w:hAnsi="仿宋_GB2312" w:eastAsia="仿宋_GB2312" w:cs="仿宋_GB2312"/>
          <w:i w:val="0"/>
          <w:iCs w:val="0"/>
          <w:caps w:val="0"/>
          <w:color w:val="333333"/>
          <w:spacing w:val="0"/>
          <w:sz w:val="32"/>
          <w:szCs w:val="32"/>
          <w:highlight w:val="none"/>
          <w:shd w:val="clear" w:color="auto" w:fill="FFFFFF"/>
        </w:rPr>
        <w:t>。</w:t>
      </w:r>
    </w:p>
    <w:p w14:paraId="539F5131">
      <w:pPr>
        <w:pStyle w:val="8"/>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pacing w:before="0" w:beforeAutospacing="0" w:after="0" w:afterAutospacing="0" w:line="560" w:lineRule="exact"/>
        <w:ind w:left="0" w:leftChars="0" w:right="0" w:rightChars="0" w:firstLine="643" w:firstLineChars="200"/>
        <w:jc w:val="both"/>
        <w:textAlignment w:val="center"/>
        <w:rPr>
          <w:rFonts w:hint="eastAsia" w:ascii="仿宋_GB2312" w:hAnsi="仿宋_GB2312" w:eastAsia="仿宋_GB2312" w:cs="仿宋_GB2312"/>
          <w:kern w:val="2"/>
          <w:sz w:val="32"/>
          <w:szCs w:val="32"/>
          <w:highlight w:val="none"/>
          <w:u w:val="none"/>
          <w:lang w:val="en-US" w:eastAsia="zh-CN" w:bidi="ar-SA"/>
        </w:rPr>
      </w:pPr>
      <w:r>
        <w:rPr>
          <w:rFonts w:hint="eastAsia" w:ascii="仿宋_GB2312" w:hAnsi="仿宋_GB2312" w:eastAsia="仿宋_GB2312" w:cs="仿宋_GB2312"/>
          <w:b/>
          <w:bCs/>
          <w:kern w:val="2"/>
          <w:sz w:val="32"/>
          <w:szCs w:val="32"/>
          <w:highlight w:val="none"/>
          <w:lang w:val="en-US" w:eastAsia="zh-CN" w:bidi="ar-SA"/>
        </w:rPr>
        <w:t xml:space="preserve">第五条  </w:t>
      </w:r>
      <w:r>
        <w:rPr>
          <w:rFonts w:hint="eastAsia" w:ascii="仿宋_GB2312" w:hAnsi="仿宋_GB2312" w:eastAsia="仿宋_GB2312" w:cs="仿宋_GB2312"/>
          <w:i w:val="0"/>
          <w:iCs w:val="0"/>
          <w:caps w:val="0"/>
          <w:spacing w:val="0"/>
          <w:kern w:val="2"/>
          <w:sz w:val="32"/>
          <w:szCs w:val="32"/>
          <w:highlight w:val="none"/>
          <w:shd w:val="clear" w:color="auto" w:fill="auto"/>
          <w:lang w:val="en-US" w:eastAsia="zh-CN" w:bidi="ar-SA"/>
        </w:rPr>
        <w:t>财政金融局负责产业扶持资金预算管理和资金拨付，会同兑现资金行业主管部门、项目招引部门对产业扶持资金使用情况进行监督管理。兑现资金行业主管部门负责对本行业专项资金在兑现《投资合同》或《补充协议》过程中，是否符合本行业资金管理办法进行管理。项目招引部门负责产业扶持资金兑现，并在财政金融局牵头下对招商引资项目资金使用情况开展跟踪监督</w:t>
      </w:r>
      <w:r>
        <w:rPr>
          <w:rFonts w:hint="eastAsia" w:ascii="仿宋_GB2312" w:hAnsi="仿宋_GB2312" w:eastAsia="仿宋_GB2312" w:cs="仿宋_GB2312"/>
          <w:kern w:val="2"/>
          <w:sz w:val="32"/>
          <w:szCs w:val="32"/>
          <w:highlight w:val="none"/>
          <w:u w:val="none"/>
          <w:lang w:val="en-US" w:eastAsia="zh-CN" w:bidi="ar-SA"/>
        </w:rPr>
        <w:t>。</w:t>
      </w:r>
    </w:p>
    <w:p w14:paraId="047F8C3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0"/>
        <w:jc w:val="both"/>
        <w:textAlignment w:val="center"/>
        <w:rPr>
          <w:rFonts w:hint="eastAsia" w:ascii="黑体" w:hAnsi="黑体" w:eastAsia="黑体" w:cs="黑体"/>
          <w:b w:val="0"/>
          <w:bCs w:val="0"/>
          <w:i w:val="0"/>
          <w:iCs w:val="0"/>
          <w:caps w:val="0"/>
          <w:color w:val="333333"/>
          <w:spacing w:val="0"/>
          <w:sz w:val="32"/>
          <w:szCs w:val="32"/>
          <w:highlight w:val="none"/>
          <w:shd w:val="clear" w:color="auto" w:fill="FFFFFF"/>
        </w:rPr>
      </w:pPr>
    </w:p>
    <w:p w14:paraId="646747F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jc w:val="center"/>
        <w:textAlignment w:val="center"/>
        <w:rPr>
          <w:rFonts w:hint="eastAsia" w:ascii="黑体" w:hAnsi="黑体" w:eastAsia="黑体" w:cs="黑体"/>
          <w:b w:val="0"/>
          <w:bCs w:val="0"/>
          <w:i w:val="0"/>
          <w:iCs w:val="0"/>
          <w:caps w:val="0"/>
          <w:color w:val="333333"/>
          <w:spacing w:val="0"/>
          <w:sz w:val="32"/>
          <w:szCs w:val="32"/>
          <w:highlight w:val="none"/>
        </w:rPr>
      </w:pPr>
      <w:r>
        <w:rPr>
          <w:rFonts w:hint="eastAsia" w:ascii="黑体" w:hAnsi="黑体" w:eastAsia="黑体" w:cs="黑体"/>
          <w:b w:val="0"/>
          <w:bCs w:val="0"/>
          <w:i w:val="0"/>
          <w:iCs w:val="0"/>
          <w:caps w:val="0"/>
          <w:color w:val="333333"/>
          <w:spacing w:val="0"/>
          <w:sz w:val="32"/>
          <w:szCs w:val="32"/>
          <w:highlight w:val="none"/>
          <w:shd w:val="clear" w:color="auto" w:fill="FFFFFF"/>
        </w:rPr>
        <w:t>第二章</w:t>
      </w:r>
      <w:r>
        <w:rPr>
          <w:rFonts w:hint="eastAsia" w:ascii="黑体" w:hAnsi="黑体" w:eastAsia="黑体" w:cs="黑体"/>
          <w:b w:val="0"/>
          <w:bCs w:val="0"/>
          <w:i w:val="0"/>
          <w:iCs w:val="0"/>
          <w:caps w:val="0"/>
          <w:color w:val="333333"/>
          <w:spacing w:val="0"/>
          <w:sz w:val="32"/>
          <w:szCs w:val="32"/>
          <w:highlight w:val="none"/>
          <w:shd w:val="clear" w:color="auto" w:fill="FFFFFF"/>
          <w:lang w:val="en-US" w:eastAsia="zh-CN"/>
        </w:rPr>
        <w:t xml:space="preserve">  产业扶持</w:t>
      </w:r>
      <w:r>
        <w:rPr>
          <w:rFonts w:hint="eastAsia" w:ascii="黑体" w:hAnsi="黑体" w:eastAsia="黑体" w:cs="黑体"/>
          <w:b w:val="0"/>
          <w:bCs w:val="0"/>
          <w:i w:val="0"/>
          <w:iCs w:val="0"/>
          <w:caps w:val="0"/>
          <w:color w:val="333333"/>
          <w:spacing w:val="0"/>
          <w:sz w:val="32"/>
          <w:szCs w:val="32"/>
          <w:highlight w:val="none"/>
          <w:shd w:val="clear" w:color="auto" w:fill="FFFFFF"/>
        </w:rPr>
        <w:t>资金申请、审核及拨付</w:t>
      </w:r>
    </w:p>
    <w:p w14:paraId="25BF1B7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第六条  资金申报。</w:t>
      </w:r>
      <w:r>
        <w:rPr>
          <w:rFonts w:hint="eastAsia" w:ascii="仿宋_GB2312" w:hAnsi="仿宋_GB2312" w:eastAsia="仿宋_GB2312" w:cs="仿宋_GB2312"/>
          <w:kern w:val="2"/>
          <w:sz w:val="32"/>
          <w:szCs w:val="32"/>
          <w:highlight w:val="none"/>
          <w:lang w:val="en-US" w:eastAsia="zh-CN" w:bidi="ar-SA"/>
        </w:rPr>
        <w:t>企业达到《投资合同》或《补充协议》约定条件后，准备相关书面材料向项目招引部门提出兑现产业扶持资金申请。</w:t>
      </w:r>
    </w:p>
    <w:p w14:paraId="02370B0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center"/>
        <w:rPr>
          <w:rFonts w:hint="eastAsia" w:ascii="仿宋_GB2312" w:hAnsi="仿宋_GB2312" w:eastAsia="仿宋_GB2312" w:cs="仿宋_GB2312"/>
          <w:kern w:val="2"/>
          <w:sz w:val="32"/>
          <w:szCs w:val="32"/>
          <w:highlight w:val="yellow"/>
          <w:lang w:val="en-US" w:eastAsia="zh-CN" w:bidi="ar-SA"/>
        </w:rPr>
      </w:pPr>
      <w:r>
        <w:rPr>
          <w:rFonts w:hint="eastAsia" w:ascii="仿宋_GB2312" w:hAnsi="仿宋_GB2312" w:eastAsia="仿宋_GB2312" w:cs="仿宋_GB2312"/>
          <w:b/>
          <w:bCs/>
          <w:kern w:val="2"/>
          <w:sz w:val="32"/>
          <w:szCs w:val="32"/>
          <w:highlight w:val="none"/>
          <w:lang w:val="en-US" w:eastAsia="zh-CN" w:bidi="ar-SA"/>
        </w:rPr>
        <w:t>第七条  初审与复审。</w:t>
      </w:r>
      <w:r>
        <w:rPr>
          <w:rFonts w:hint="eastAsia" w:ascii="仿宋_GB2312" w:hAnsi="仿宋_GB2312" w:eastAsia="仿宋_GB2312" w:cs="仿宋_GB2312"/>
          <w:kern w:val="2"/>
          <w:sz w:val="32"/>
          <w:szCs w:val="32"/>
          <w:highlight w:val="none"/>
          <w:lang w:val="en-US" w:eastAsia="zh-CN" w:bidi="ar-SA"/>
        </w:rPr>
        <w:t>实行项目招引部门与项目包保部门进行双签初审，再由协议履约监管小组办公室组织各责任单位开展集体复审，内容如下：</w:t>
      </w:r>
    </w:p>
    <w:p w14:paraId="5C7B1A0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（一）资格审查：项目主体是否符合申报条件、范围、要求；</w:t>
      </w:r>
    </w:p>
    <w:p w14:paraId="6225D90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（二）材料审查：申报材料是否完善，相关手续是否齐全；</w:t>
      </w:r>
    </w:p>
    <w:p w14:paraId="5224F63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（三）内容审查：企业提供的材料是否真实，资金申报是否</w:t>
      </w:r>
    </w:p>
    <w:p w14:paraId="2EDED1B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jc w:val="both"/>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达到《投资合同》或《补充协议》约定。</w:t>
      </w:r>
    </w:p>
    <w:p w14:paraId="554068B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center"/>
        <w:rPr>
          <w:rFonts w:hint="eastAsia" w:ascii="仿宋_GB2312" w:hAnsi="仿宋_GB2312" w:eastAsia="仿宋_GB2312" w:cs="仿宋_GB2312"/>
          <w:b/>
          <w:bCs/>
          <w:i w:val="0"/>
          <w:iCs w:val="0"/>
          <w:caps w:val="0"/>
          <w:color w:val="333333"/>
          <w:spacing w:val="0"/>
          <w:sz w:val="32"/>
          <w:szCs w:val="32"/>
          <w:highlight w:val="yellow"/>
          <w:shd w:val="clear" w:color="auto" w:fill="FFFFFF"/>
        </w:rPr>
      </w:pPr>
      <w:r>
        <w:rPr>
          <w:rFonts w:hint="eastAsia" w:ascii="仿宋_GB2312" w:hAnsi="仿宋_GB2312" w:eastAsia="仿宋_GB2312" w:cs="仿宋_GB2312"/>
          <w:kern w:val="2"/>
          <w:sz w:val="32"/>
          <w:szCs w:val="32"/>
          <w:highlight w:val="none"/>
          <w:lang w:val="en-US" w:eastAsia="zh-CN" w:bidi="ar-SA"/>
        </w:rPr>
        <w:t>无项目包保部门的由项目招引部门负责。</w:t>
      </w:r>
    </w:p>
    <w:p w14:paraId="68DB12B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第八条  会议审议。</w:t>
      </w:r>
      <w:r>
        <w:rPr>
          <w:rFonts w:hint="eastAsia" w:ascii="仿宋_GB2312" w:hAnsi="仿宋_GB2312" w:eastAsia="仿宋_GB2312" w:cs="仿宋_GB2312"/>
          <w:kern w:val="2"/>
          <w:sz w:val="32"/>
          <w:szCs w:val="32"/>
          <w:lang w:val="en-US" w:eastAsia="zh-CN" w:bidi="ar-SA"/>
        </w:rPr>
        <w:t>申报产业扶持资金事项通过初审、复审后，由项目招引部门内部审议通过后</w:t>
      </w:r>
      <w:r>
        <w:rPr>
          <w:rFonts w:hint="eastAsia" w:ascii="仿宋_GB2312" w:hAnsi="仿宋_GB2312" w:eastAsia="仿宋_GB2312" w:cs="仿宋_GB2312"/>
          <w:kern w:val="2"/>
          <w:sz w:val="32"/>
          <w:szCs w:val="32"/>
          <w:highlight w:val="none"/>
          <w:lang w:val="en-US" w:eastAsia="zh-CN" w:bidi="ar-SA"/>
        </w:rPr>
        <w:t>，</w:t>
      </w:r>
      <w:r>
        <w:rPr>
          <w:rFonts w:hint="eastAsia" w:ascii="仿宋_GB2312" w:hAnsi="仿宋_GB2312" w:eastAsia="仿宋_GB2312" w:cs="仿宋_GB2312"/>
          <w:kern w:val="2"/>
          <w:sz w:val="32"/>
          <w:szCs w:val="32"/>
          <w:lang w:val="en-US" w:eastAsia="zh-CN" w:bidi="ar-SA"/>
        </w:rPr>
        <w:t>按程序报管委会分管</w:t>
      </w:r>
      <w:r>
        <w:rPr>
          <w:rFonts w:hint="eastAsia" w:ascii="仿宋_GB2312" w:hAnsi="仿宋_GB2312" w:eastAsia="仿宋_GB2312" w:cs="仿宋_GB2312"/>
          <w:kern w:val="2"/>
          <w:sz w:val="32"/>
          <w:szCs w:val="32"/>
          <w:highlight w:val="none"/>
          <w:lang w:val="en-US" w:eastAsia="zh-CN" w:bidi="ar-SA"/>
        </w:rPr>
        <w:t>招商引资的副主任专题会研究，研究同意后报主任办公会审议。单笔拨付产业扶持资金达1000万元以上或单个项目累计拨付产业扶持资金达5000万元以上，需报党工委会议集体审议。</w:t>
      </w:r>
    </w:p>
    <w:p w14:paraId="73EA803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第九条  资金拨付。</w:t>
      </w:r>
      <w:r>
        <w:rPr>
          <w:rFonts w:hint="eastAsia" w:ascii="仿宋_GB2312" w:hAnsi="仿宋_GB2312" w:eastAsia="仿宋_GB2312" w:cs="仿宋_GB2312"/>
          <w:kern w:val="2"/>
          <w:sz w:val="32"/>
          <w:szCs w:val="32"/>
          <w:lang w:val="en-US" w:eastAsia="zh-CN" w:bidi="ar-SA"/>
        </w:rPr>
        <w:t>项目招引部门向财政金融局提供经审议通过的资金兑付资料，区财政金融局按照程序将产业扶持资金拨付至项目招引部门，再由项目招引部门按程序兑现给申请企业</w:t>
      </w:r>
      <w:r>
        <w:rPr>
          <w:rFonts w:hint="eastAsia" w:ascii="仿宋_GB2312" w:hAnsi="仿宋_GB2312" w:eastAsia="仿宋_GB2312" w:cs="仿宋_GB2312"/>
          <w:b w:val="0"/>
          <w:bCs w:val="0"/>
          <w:kern w:val="2"/>
          <w:sz w:val="32"/>
          <w:szCs w:val="32"/>
          <w:highlight w:val="none"/>
          <w:lang w:val="en-US" w:eastAsia="zh-CN" w:bidi="ar-SA"/>
        </w:rPr>
        <w:t>。</w:t>
      </w:r>
    </w:p>
    <w:p w14:paraId="525CD0C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center"/>
        <w:rPr>
          <w:rFonts w:hint="default" w:ascii="仿宋_GB2312" w:hAnsi="仿宋_GB2312" w:eastAsia="仿宋_GB2312" w:cs="仿宋_GB2312"/>
          <w:kern w:val="2"/>
          <w:sz w:val="32"/>
          <w:szCs w:val="32"/>
          <w:highlight w:val="none"/>
          <w:lang w:val="en-US" w:eastAsia="zh-CN" w:bidi="ar-SA"/>
        </w:rPr>
      </w:pPr>
    </w:p>
    <w:p w14:paraId="2569736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jc w:val="center"/>
        <w:textAlignment w:val="center"/>
        <w:rPr>
          <w:rFonts w:hint="default" w:ascii="黑体" w:hAnsi="黑体" w:eastAsia="黑体" w:cs="黑体"/>
          <w:b w:val="0"/>
          <w:bCs w:val="0"/>
          <w:i w:val="0"/>
          <w:iCs w:val="0"/>
          <w:caps w:val="0"/>
          <w:color w:val="333333"/>
          <w:spacing w:val="0"/>
          <w:sz w:val="32"/>
          <w:szCs w:val="32"/>
          <w:highlight w:val="none"/>
          <w:shd w:val="clear" w:color="auto" w:fill="FFFFFF"/>
          <w:lang w:val="en-US"/>
        </w:rPr>
      </w:pPr>
      <w:r>
        <w:rPr>
          <w:rFonts w:hint="eastAsia" w:ascii="黑体" w:hAnsi="黑体" w:eastAsia="黑体" w:cs="黑体"/>
          <w:b w:val="0"/>
          <w:bCs w:val="0"/>
          <w:i w:val="0"/>
          <w:iCs w:val="0"/>
          <w:caps w:val="0"/>
          <w:color w:val="333333"/>
          <w:spacing w:val="0"/>
          <w:sz w:val="32"/>
          <w:szCs w:val="32"/>
          <w:highlight w:val="none"/>
          <w:shd w:val="clear" w:color="auto" w:fill="FFFFFF"/>
        </w:rPr>
        <w:t>第</w:t>
      </w:r>
      <w:r>
        <w:rPr>
          <w:rFonts w:hint="eastAsia" w:ascii="黑体" w:hAnsi="黑体" w:eastAsia="黑体" w:cs="黑体"/>
          <w:b w:val="0"/>
          <w:bCs w:val="0"/>
          <w:i w:val="0"/>
          <w:iCs w:val="0"/>
          <w:caps w:val="0"/>
          <w:color w:val="333333"/>
          <w:spacing w:val="0"/>
          <w:sz w:val="32"/>
          <w:szCs w:val="32"/>
          <w:highlight w:val="none"/>
          <w:shd w:val="clear" w:color="auto" w:fill="FFFFFF"/>
          <w:lang w:eastAsia="zh-CN"/>
        </w:rPr>
        <w:t>三</w:t>
      </w:r>
      <w:r>
        <w:rPr>
          <w:rFonts w:hint="eastAsia" w:ascii="黑体" w:hAnsi="黑体" w:eastAsia="黑体" w:cs="黑体"/>
          <w:b w:val="0"/>
          <w:bCs w:val="0"/>
          <w:i w:val="0"/>
          <w:iCs w:val="0"/>
          <w:caps w:val="0"/>
          <w:color w:val="333333"/>
          <w:spacing w:val="0"/>
          <w:sz w:val="32"/>
          <w:szCs w:val="32"/>
          <w:highlight w:val="none"/>
          <w:shd w:val="clear" w:color="auto" w:fill="FFFFFF"/>
        </w:rPr>
        <w:t>章</w:t>
      </w:r>
      <w:r>
        <w:rPr>
          <w:rFonts w:hint="eastAsia" w:ascii="黑体" w:hAnsi="黑体" w:eastAsia="黑体" w:cs="黑体"/>
          <w:b w:val="0"/>
          <w:bCs w:val="0"/>
          <w:i w:val="0"/>
          <w:iCs w:val="0"/>
          <w:caps w:val="0"/>
          <w:color w:val="333333"/>
          <w:spacing w:val="0"/>
          <w:sz w:val="32"/>
          <w:szCs w:val="32"/>
          <w:highlight w:val="none"/>
          <w:shd w:val="clear" w:color="auto" w:fill="FFFFFF"/>
          <w:lang w:eastAsia="zh-CN"/>
        </w:rPr>
        <w:t xml:space="preserve">  </w:t>
      </w:r>
      <w:r>
        <w:rPr>
          <w:rFonts w:hint="eastAsia" w:ascii="黑体" w:hAnsi="黑体" w:eastAsia="黑体" w:cs="黑体"/>
          <w:b w:val="0"/>
          <w:bCs w:val="0"/>
          <w:i w:val="0"/>
          <w:iCs w:val="0"/>
          <w:caps w:val="0"/>
          <w:color w:val="333333"/>
          <w:spacing w:val="0"/>
          <w:sz w:val="32"/>
          <w:szCs w:val="32"/>
          <w:highlight w:val="none"/>
          <w:shd w:val="clear" w:color="auto" w:fill="FFFFFF"/>
          <w:lang w:val="en-US" w:eastAsia="zh-CN"/>
        </w:rPr>
        <w:t>监督管理</w:t>
      </w:r>
    </w:p>
    <w:p w14:paraId="053DE94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center"/>
        <w:rPr>
          <w:rFonts w:hint="eastAsia" w:ascii="仿宋_GB2312" w:hAnsi="仿宋_GB2312" w:eastAsia="仿宋_GB2312" w:cs="仿宋_GB2312"/>
          <w:i w:val="0"/>
          <w:iCs w:val="0"/>
          <w:caps w:val="0"/>
          <w:color w:val="333333"/>
          <w:spacing w:val="0"/>
          <w:sz w:val="32"/>
          <w:szCs w:val="32"/>
          <w:highlight w:val="none"/>
          <w:lang w:val="en-US" w:eastAsia="zh-CN"/>
        </w:rPr>
      </w:pPr>
      <w:r>
        <w:rPr>
          <w:rFonts w:hint="eastAsia" w:ascii="仿宋_GB2312" w:hAnsi="仿宋_GB2312" w:eastAsia="仿宋_GB2312" w:cs="仿宋_GB2312"/>
          <w:b/>
          <w:bCs/>
          <w:kern w:val="2"/>
          <w:sz w:val="32"/>
          <w:szCs w:val="32"/>
          <w:highlight w:val="none"/>
          <w:lang w:val="en-US" w:eastAsia="zh-CN" w:bidi="ar-SA"/>
        </w:rPr>
        <w:t xml:space="preserve">第十条  </w:t>
      </w:r>
      <w:r>
        <w:rPr>
          <w:rFonts w:hint="eastAsia" w:ascii="仿宋_GB2312" w:hAnsi="仿宋_GB2312" w:eastAsia="仿宋_GB2312" w:cs="仿宋_GB2312"/>
          <w:kern w:val="2"/>
          <w:sz w:val="32"/>
          <w:szCs w:val="32"/>
          <w:highlight w:val="none"/>
          <w:lang w:val="en-US" w:eastAsia="zh-CN" w:bidi="ar-SA"/>
        </w:rPr>
        <w:t>履约监管小组、资金监管小组根据各自职责范围组织对招商引资产业扶持项目建设推进情况、履约情况及产业扶持资金使用情况开展监督检查，抓好督促整改，有效防范管理风险，及时发现和纠正存在问题。</w:t>
      </w:r>
    </w:p>
    <w:p w14:paraId="5A6B77B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（一）跟踪包保。</w:t>
      </w:r>
      <w:r>
        <w:rPr>
          <w:rFonts w:hint="eastAsia" w:ascii="仿宋_GB2312" w:hAnsi="仿宋_GB2312" w:eastAsia="仿宋_GB2312" w:cs="仿宋_GB2312"/>
          <w:kern w:val="2"/>
          <w:sz w:val="32"/>
          <w:szCs w:val="32"/>
          <w:highlight w:val="none"/>
          <w:lang w:val="en-US" w:eastAsia="zh-CN" w:bidi="ar-SA"/>
        </w:rPr>
        <w:t>项目包保部门负责做好项目全流程跟踪服务，定期通过电话访谈、座谈交流、实地查看等方式掌握项目推进情况，对项目方未按协议约定推进项目建设、建设进度与扶持资金拨付进度存在明显不符的，及时上报协议履约监管小组。无项目包保部门的由项目招引部门负责。</w:t>
      </w:r>
    </w:p>
    <w:p w14:paraId="609EC61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（二）履约监管。</w:t>
      </w:r>
      <w:r>
        <w:rPr>
          <w:rFonts w:hint="eastAsia" w:ascii="仿宋_GB2312" w:hAnsi="仿宋_GB2312" w:eastAsia="仿宋_GB2312" w:cs="仿宋_GB2312"/>
          <w:kern w:val="2"/>
          <w:sz w:val="32"/>
          <w:szCs w:val="32"/>
          <w:highlight w:val="none"/>
          <w:lang w:val="en-US" w:eastAsia="zh-CN" w:bidi="ar-SA"/>
        </w:rPr>
        <w:t>履约监管小组根据项目包保部门跟踪反馈情况，负责对招商引资项目履约情况进行调查核实（必要时可聘请第三方机构），并对问题项目及时开展约谈，督导企业进行限期整改。同时，将核实情况报资金监管小组。对因企业原因导致项目变更或中止，且后续建设确无法按原协议实施的，由履约监管小组按照双方投资合同约定及相关法律法规处置已拨付的产业扶持资金。</w:t>
      </w:r>
    </w:p>
    <w:p w14:paraId="795FD3C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（三）资金监管。</w:t>
      </w:r>
      <w:r>
        <w:rPr>
          <w:rFonts w:hint="eastAsia" w:ascii="仿宋_GB2312" w:hAnsi="仿宋_GB2312" w:eastAsia="仿宋_GB2312" w:cs="仿宋_GB2312"/>
          <w:kern w:val="2"/>
          <w:sz w:val="32"/>
          <w:szCs w:val="32"/>
          <w:highlight w:val="none"/>
          <w:lang w:bidi="ar-SA"/>
        </w:rPr>
        <w:t>项目招引部门负责对资金使用和项目实施进行监督。资金监管小组根据</w:t>
      </w:r>
      <w:r>
        <w:rPr>
          <w:rFonts w:hint="eastAsia" w:ascii="仿宋_GB2312" w:hAnsi="仿宋_GB2312" w:eastAsia="仿宋_GB2312" w:cs="仿宋_GB2312"/>
          <w:kern w:val="2"/>
          <w:sz w:val="32"/>
          <w:szCs w:val="32"/>
          <w:highlight w:val="none"/>
          <w:lang w:val="en-US" w:eastAsia="zh-CN" w:bidi="ar-SA"/>
        </w:rPr>
        <w:t>履约监管小组</w:t>
      </w:r>
      <w:r>
        <w:rPr>
          <w:rFonts w:hint="eastAsia" w:ascii="仿宋_GB2312" w:hAnsi="仿宋_GB2312" w:eastAsia="仿宋_GB2312" w:cs="仿宋_GB2312"/>
          <w:kern w:val="2"/>
          <w:sz w:val="32"/>
          <w:szCs w:val="32"/>
          <w:highlight w:val="none"/>
          <w:lang w:bidi="ar-SA"/>
        </w:rPr>
        <w:t>反馈情况，组织相关部门对</w:t>
      </w:r>
      <w:r>
        <w:rPr>
          <w:rFonts w:hint="eastAsia" w:ascii="仿宋_GB2312" w:hAnsi="仿宋_GB2312" w:eastAsia="仿宋_GB2312" w:cs="仿宋_GB2312"/>
          <w:kern w:val="2"/>
          <w:sz w:val="32"/>
          <w:szCs w:val="32"/>
          <w:highlight w:val="none"/>
          <w:lang w:eastAsia="zh-CN" w:bidi="ar-SA"/>
        </w:rPr>
        <w:t>产业扶持资金使用</w:t>
      </w:r>
      <w:r>
        <w:rPr>
          <w:rFonts w:hint="eastAsia" w:ascii="仿宋_GB2312" w:hAnsi="仿宋_GB2312" w:eastAsia="仿宋_GB2312" w:cs="仿宋_GB2312"/>
          <w:kern w:val="2"/>
          <w:sz w:val="32"/>
          <w:szCs w:val="32"/>
          <w:highlight w:val="none"/>
          <w:lang w:bidi="ar-SA"/>
        </w:rPr>
        <w:t>进行调查核实，</w:t>
      </w:r>
      <w:r>
        <w:rPr>
          <w:rFonts w:hint="eastAsia" w:ascii="仿宋_GB2312" w:hAnsi="仿宋_GB2312" w:eastAsia="仿宋_GB2312" w:cs="仿宋_GB2312"/>
          <w:kern w:val="2"/>
          <w:sz w:val="32"/>
          <w:szCs w:val="32"/>
          <w:highlight w:val="none"/>
          <w:lang w:eastAsia="zh-CN" w:bidi="ar-SA"/>
        </w:rPr>
        <w:t>并按需求适时聘请第三方开展</w:t>
      </w:r>
      <w:r>
        <w:rPr>
          <w:rFonts w:hint="eastAsia" w:ascii="仿宋_GB2312" w:hAnsi="仿宋_GB2312" w:eastAsia="仿宋_GB2312" w:cs="仿宋_GB2312"/>
          <w:kern w:val="2"/>
          <w:sz w:val="32"/>
          <w:szCs w:val="32"/>
          <w:highlight w:val="none"/>
          <w:lang w:bidi="ar-SA"/>
        </w:rPr>
        <w:t>审计监督</w:t>
      </w:r>
      <w:r>
        <w:rPr>
          <w:rFonts w:hint="eastAsia" w:ascii="仿宋_GB2312" w:hAnsi="仿宋_GB2312" w:eastAsia="仿宋_GB2312" w:cs="仿宋_GB2312"/>
          <w:kern w:val="2"/>
          <w:sz w:val="32"/>
          <w:szCs w:val="32"/>
          <w:highlight w:val="none"/>
          <w:lang w:eastAsia="zh-CN" w:bidi="ar-SA"/>
        </w:rPr>
        <w:t>。</w:t>
      </w:r>
      <w:r>
        <w:rPr>
          <w:rFonts w:hint="eastAsia" w:ascii="仿宋_GB2312" w:hAnsi="仿宋_GB2312" w:eastAsia="仿宋_GB2312" w:cs="仿宋_GB2312"/>
          <w:kern w:val="2"/>
          <w:sz w:val="32"/>
          <w:szCs w:val="32"/>
          <w:highlight w:val="none"/>
          <w:lang w:bidi="ar-SA"/>
        </w:rPr>
        <w:t>对招商引资</w:t>
      </w:r>
      <w:r>
        <w:rPr>
          <w:rFonts w:hint="eastAsia" w:ascii="仿宋_GB2312" w:hAnsi="仿宋_GB2312" w:eastAsia="仿宋_GB2312" w:cs="仿宋_GB2312"/>
          <w:kern w:val="2"/>
          <w:sz w:val="32"/>
          <w:szCs w:val="32"/>
          <w:highlight w:val="none"/>
          <w:lang w:eastAsia="zh-CN" w:bidi="ar-SA"/>
        </w:rPr>
        <w:t>产业</w:t>
      </w:r>
      <w:r>
        <w:rPr>
          <w:rFonts w:hint="eastAsia" w:ascii="仿宋_GB2312" w:hAnsi="仿宋_GB2312" w:eastAsia="仿宋_GB2312" w:cs="仿宋_GB2312"/>
          <w:kern w:val="2"/>
          <w:sz w:val="32"/>
          <w:szCs w:val="32"/>
          <w:highlight w:val="none"/>
          <w:lang w:bidi="ar-SA"/>
        </w:rPr>
        <w:t>扶持资金使用存在问题的，相关部门暂停产业扶持资金兑现</w:t>
      </w:r>
      <w:r>
        <w:rPr>
          <w:rFonts w:hint="eastAsia" w:ascii="仿宋_GB2312" w:hAnsi="仿宋_GB2312" w:eastAsia="仿宋_GB2312" w:cs="仿宋_GB2312"/>
          <w:kern w:val="2"/>
          <w:sz w:val="32"/>
          <w:szCs w:val="32"/>
          <w:highlight w:val="none"/>
          <w:lang w:eastAsia="zh-CN" w:bidi="ar-SA"/>
        </w:rPr>
        <w:t>，</w:t>
      </w:r>
      <w:r>
        <w:rPr>
          <w:rFonts w:hint="eastAsia" w:ascii="仿宋_GB2312" w:hAnsi="仿宋_GB2312" w:eastAsia="仿宋_GB2312" w:cs="仿宋_GB2312"/>
          <w:kern w:val="2"/>
          <w:sz w:val="32"/>
          <w:szCs w:val="32"/>
          <w:highlight w:val="none"/>
          <w:lang w:bidi="ar-SA"/>
        </w:rPr>
        <w:t>由项目招引部门督导企业进行限期整改。</w:t>
      </w:r>
    </w:p>
    <w:p w14:paraId="3EBB894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center"/>
        <w:rPr>
          <w:rFonts w:hint="default"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（四）资金追缴。</w:t>
      </w:r>
      <w:r>
        <w:rPr>
          <w:rFonts w:hint="eastAsia" w:ascii="仿宋_GB2312" w:hAnsi="仿宋_GB2312" w:eastAsia="仿宋_GB2312" w:cs="仿宋_GB2312"/>
          <w:kern w:val="2"/>
          <w:sz w:val="32"/>
          <w:szCs w:val="32"/>
          <w:highlight w:val="none"/>
          <w:lang w:val="en-US" w:eastAsia="zh-CN" w:bidi="ar-SA"/>
        </w:rPr>
        <w:t>履约监管小组、资金监管小组负责将未按期完成整改或拒不整改的项目上报区项目履约及产业扶持资金监管工作专班研究，并按程序移交资金追缴小组依法开展产业扶持资金追缴。</w:t>
      </w:r>
    </w:p>
    <w:p w14:paraId="30F8A14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420"/>
        <w:jc w:val="center"/>
        <w:textAlignment w:val="center"/>
        <w:rPr>
          <w:rFonts w:hint="eastAsia" w:ascii="黑体" w:hAnsi="黑体" w:eastAsia="黑体" w:cs="黑体"/>
          <w:i w:val="0"/>
          <w:iCs w:val="0"/>
          <w:caps w:val="0"/>
          <w:color w:val="333333"/>
          <w:spacing w:val="0"/>
          <w:sz w:val="32"/>
          <w:szCs w:val="32"/>
          <w:highlight w:val="none"/>
          <w:shd w:val="clear" w:color="auto" w:fill="FFFFFF"/>
        </w:rPr>
      </w:pPr>
    </w:p>
    <w:p w14:paraId="2A84909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jc w:val="center"/>
        <w:textAlignment w:val="center"/>
        <w:rPr>
          <w:rFonts w:hint="eastAsia" w:ascii="黑体" w:hAnsi="黑体" w:eastAsia="黑体" w:cs="黑体"/>
          <w:i w:val="0"/>
          <w:iCs w:val="0"/>
          <w:caps w:val="0"/>
          <w:color w:val="333333"/>
          <w:spacing w:val="0"/>
          <w:sz w:val="32"/>
          <w:szCs w:val="32"/>
          <w:highlight w:val="none"/>
        </w:rPr>
      </w:pPr>
      <w:r>
        <w:rPr>
          <w:rFonts w:hint="eastAsia" w:ascii="黑体" w:hAnsi="黑体" w:eastAsia="黑体" w:cs="黑体"/>
          <w:i w:val="0"/>
          <w:iCs w:val="0"/>
          <w:caps w:val="0"/>
          <w:color w:val="333333"/>
          <w:spacing w:val="0"/>
          <w:sz w:val="32"/>
          <w:szCs w:val="32"/>
          <w:highlight w:val="none"/>
          <w:shd w:val="clear" w:color="auto" w:fill="FFFFFF"/>
        </w:rPr>
        <w:t>第</w:t>
      </w:r>
      <w:r>
        <w:rPr>
          <w:rFonts w:hint="eastAsia" w:ascii="黑体" w:hAnsi="黑体" w:eastAsia="黑体" w:cs="黑体"/>
          <w:i w:val="0"/>
          <w:iCs w:val="0"/>
          <w:caps w:val="0"/>
          <w:color w:val="333333"/>
          <w:spacing w:val="0"/>
          <w:sz w:val="32"/>
          <w:szCs w:val="32"/>
          <w:highlight w:val="none"/>
          <w:shd w:val="clear" w:color="auto" w:fill="FFFFFF"/>
          <w:lang w:eastAsia="zh-CN"/>
        </w:rPr>
        <w:t>四</w:t>
      </w:r>
      <w:r>
        <w:rPr>
          <w:rFonts w:hint="eastAsia" w:ascii="黑体" w:hAnsi="黑体" w:eastAsia="黑体" w:cs="黑体"/>
          <w:i w:val="0"/>
          <w:iCs w:val="0"/>
          <w:caps w:val="0"/>
          <w:color w:val="333333"/>
          <w:spacing w:val="0"/>
          <w:sz w:val="32"/>
          <w:szCs w:val="32"/>
          <w:highlight w:val="none"/>
          <w:shd w:val="clear" w:color="auto" w:fill="FFFFFF"/>
        </w:rPr>
        <w:t>章</w:t>
      </w:r>
      <w:r>
        <w:rPr>
          <w:rFonts w:hint="eastAsia" w:ascii="黑体" w:hAnsi="黑体" w:eastAsia="黑体" w:cs="黑体"/>
          <w:i w:val="0"/>
          <w:iCs w:val="0"/>
          <w:caps w:val="0"/>
          <w:color w:val="333333"/>
          <w:spacing w:val="0"/>
          <w:sz w:val="32"/>
          <w:szCs w:val="32"/>
          <w:highlight w:val="none"/>
          <w:shd w:val="clear" w:color="auto" w:fill="FFFFFF"/>
          <w:lang w:eastAsia="zh-CN"/>
        </w:rPr>
        <w:t xml:space="preserve">  联合验收</w:t>
      </w:r>
    </w:p>
    <w:p w14:paraId="6527779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center"/>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bCs/>
          <w:i w:val="0"/>
          <w:iCs w:val="0"/>
          <w:caps w:val="0"/>
          <w:color w:val="333333"/>
          <w:spacing w:val="0"/>
          <w:sz w:val="32"/>
          <w:szCs w:val="32"/>
          <w:highlight w:val="none"/>
          <w:shd w:val="clear" w:color="auto" w:fill="FFFFFF"/>
        </w:rPr>
        <w:t>第</w:t>
      </w:r>
      <w:r>
        <w:rPr>
          <w:rFonts w:hint="eastAsia" w:ascii="仿宋_GB2312" w:hAnsi="仿宋_GB2312" w:eastAsia="仿宋_GB2312" w:cs="仿宋_GB2312"/>
          <w:b/>
          <w:bCs/>
          <w:i w:val="0"/>
          <w:iCs w:val="0"/>
          <w:caps w:val="0"/>
          <w:color w:val="333333"/>
          <w:spacing w:val="0"/>
          <w:sz w:val="32"/>
          <w:szCs w:val="32"/>
          <w:highlight w:val="none"/>
          <w:shd w:val="clear" w:color="auto" w:fill="FFFFFF"/>
          <w:lang w:eastAsia="zh-CN"/>
        </w:rPr>
        <w:t>十一</w:t>
      </w:r>
      <w:r>
        <w:rPr>
          <w:rFonts w:hint="eastAsia" w:ascii="仿宋_GB2312" w:hAnsi="仿宋_GB2312" w:eastAsia="仿宋_GB2312" w:cs="仿宋_GB2312"/>
          <w:b/>
          <w:bCs/>
          <w:i w:val="0"/>
          <w:iCs w:val="0"/>
          <w:caps w:val="0"/>
          <w:color w:val="333333"/>
          <w:spacing w:val="0"/>
          <w:sz w:val="32"/>
          <w:szCs w:val="32"/>
          <w:highlight w:val="none"/>
          <w:shd w:val="clear" w:color="auto" w:fill="FFFFFF"/>
        </w:rPr>
        <w:t>条</w:t>
      </w:r>
      <w:r>
        <w:rPr>
          <w:rFonts w:hint="eastAsia" w:ascii="仿宋_GB2312" w:hAnsi="仿宋_GB2312" w:eastAsia="仿宋_GB2312" w:cs="仿宋_GB2312"/>
          <w:b/>
          <w:bCs/>
          <w:i w:val="0"/>
          <w:iCs w:val="0"/>
          <w:caps w:val="0"/>
          <w:color w:val="333333"/>
          <w:spacing w:val="0"/>
          <w:sz w:val="32"/>
          <w:szCs w:val="32"/>
          <w:highlight w:val="none"/>
          <w:shd w:val="clear" w:color="auto" w:fill="FFFFFF"/>
          <w:lang w:eastAsia="zh-CN"/>
        </w:rPr>
        <w:t xml:space="preserve">  使用</w:t>
      </w:r>
      <w:r>
        <w:rPr>
          <w:rFonts w:hint="eastAsia" w:ascii="仿宋_GB2312" w:hAnsi="仿宋_GB2312" w:eastAsia="仿宋_GB2312" w:cs="仿宋_GB2312"/>
          <w:b/>
          <w:bCs/>
          <w:i w:val="0"/>
          <w:iCs w:val="0"/>
          <w:caps w:val="0"/>
          <w:color w:val="333333"/>
          <w:spacing w:val="0"/>
          <w:sz w:val="32"/>
          <w:szCs w:val="32"/>
          <w:highlight w:val="none"/>
          <w:shd w:val="clear" w:color="auto" w:fill="FFFFFF"/>
        </w:rPr>
        <w:t>验收。</w:t>
      </w:r>
      <w:r>
        <w:rPr>
          <w:rFonts w:hint="eastAsia" w:ascii="仿宋_GB2312" w:hAnsi="仿宋_GB2312" w:eastAsia="仿宋_GB2312" w:cs="仿宋_GB2312"/>
          <w:kern w:val="2"/>
          <w:sz w:val="32"/>
          <w:szCs w:val="32"/>
          <w:highlight w:val="none"/>
          <w:lang w:val="en-US" w:eastAsia="zh-CN" w:bidi="ar-SA"/>
        </w:rPr>
        <w:t>产业扶持资金使用企业在《投资合同》或《补充协议》约定的产业扶持资金全部兑现后3个月内向区招引部门提出验收申请。协议履约监管小组、资金监管小组组织相关部门对协议履约、产业扶持资金使用情况进行联合验收。验收合格的项目，由项目包保部门继续做好项目包保服务；验收不合格的项目，由协议履约监管小组会同资金监管小组督促企业限期整改，对整改不力或拒不整改的，聘请第三方专业机构开展综合评估，并由资金追缴小组通过“一企一策”、法律诉讼等途径依法依规追回产业扶持资金。项目履约及产业扶持资金监管工作专班根据工作情况适时召开会议，听取协议履约监管小组、资金监管小组、资金追缴小组工作情况汇报，并向管委会作书面报告。</w:t>
      </w:r>
    </w:p>
    <w:p w14:paraId="7E726A6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0" w:firstLineChars="0"/>
        <w:jc w:val="center"/>
        <w:textAlignment w:val="center"/>
        <w:rPr>
          <w:rFonts w:hint="eastAsia" w:ascii="黑体" w:hAnsi="黑体" w:eastAsia="黑体" w:cs="黑体"/>
          <w:i w:val="0"/>
          <w:iCs w:val="0"/>
          <w:caps w:val="0"/>
          <w:color w:val="333333"/>
          <w:spacing w:val="0"/>
          <w:sz w:val="32"/>
          <w:szCs w:val="32"/>
          <w:highlight w:val="none"/>
          <w:shd w:val="clear" w:color="auto" w:fill="FFFFFF"/>
        </w:rPr>
      </w:pPr>
    </w:p>
    <w:p w14:paraId="2CF1448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0" w:firstLineChars="0"/>
        <w:jc w:val="center"/>
        <w:textAlignment w:val="center"/>
        <w:rPr>
          <w:rFonts w:hint="eastAsia" w:ascii="黑体" w:hAnsi="黑体" w:eastAsia="黑体" w:cs="黑体"/>
          <w:i w:val="0"/>
          <w:iCs w:val="0"/>
          <w:caps w:val="0"/>
          <w:color w:val="333333"/>
          <w:spacing w:val="0"/>
          <w:sz w:val="32"/>
          <w:szCs w:val="32"/>
          <w:highlight w:val="none"/>
          <w:shd w:val="clear" w:color="auto" w:fill="FFFFFF"/>
        </w:rPr>
      </w:pPr>
      <w:r>
        <w:rPr>
          <w:rFonts w:hint="eastAsia" w:ascii="黑体" w:hAnsi="黑体" w:eastAsia="黑体" w:cs="黑体"/>
          <w:i w:val="0"/>
          <w:iCs w:val="0"/>
          <w:caps w:val="0"/>
          <w:color w:val="333333"/>
          <w:spacing w:val="0"/>
          <w:sz w:val="32"/>
          <w:szCs w:val="32"/>
          <w:highlight w:val="none"/>
          <w:shd w:val="clear" w:color="auto" w:fill="FFFFFF"/>
        </w:rPr>
        <w:t>第</w:t>
      </w:r>
      <w:r>
        <w:rPr>
          <w:rFonts w:hint="eastAsia" w:ascii="黑体" w:hAnsi="黑体" w:eastAsia="黑体" w:cs="黑体"/>
          <w:i w:val="0"/>
          <w:iCs w:val="0"/>
          <w:caps w:val="0"/>
          <w:color w:val="333333"/>
          <w:spacing w:val="0"/>
          <w:sz w:val="32"/>
          <w:szCs w:val="32"/>
          <w:highlight w:val="none"/>
          <w:shd w:val="clear" w:color="auto" w:fill="FFFFFF"/>
          <w:lang w:eastAsia="zh-CN"/>
        </w:rPr>
        <w:t>五</w:t>
      </w:r>
      <w:r>
        <w:rPr>
          <w:rFonts w:hint="eastAsia" w:ascii="黑体" w:hAnsi="黑体" w:eastAsia="黑体" w:cs="黑体"/>
          <w:i w:val="0"/>
          <w:iCs w:val="0"/>
          <w:caps w:val="0"/>
          <w:color w:val="333333"/>
          <w:spacing w:val="0"/>
          <w:sz w:val="32"/>
          <w:szCs w:val="32"/>
          <w:highlight w:val="none"/>
          <w:shd w:val="clear" w:color="auto" w:fill="FFFFFF"/>
        </w:rPr>
        <w:t>章</w:t>
      </w:r>
      <w:r>
        <w:rPr>
          <w:rFonts w:hint="eastAsia" w:ascii="黑体" w:hAnsi="黑体" w:eastAsia="黑体" w:cs="黑体"/>
          <w:i w:val="0"/>
          <w:iCs w:val="0"/>
          <w:caps w:val="0"/>
          <w:color w:val="333333"/>
          <w:spacing w:val="0"/>
          <w:sz w:val="32"/>
          <w:szCs w:val="32"/>
          <w:highlight w:val="none"/>
          <w:shd w:val="clear" w:color="auto" w:fill="FFFFFF"/>
          <w:lang w:val="en-US" w:eastAsia="zh-CN"/>
        </w:rPr>
        <w:t xml:space="preserve">  </w:t>
      </w:r>
      <w:r>
        <w:rPr>
          <w:rFonts w:hint="eastAsia" w:ascii="黑体" w:hAnsi="黑体" w:eastAsia="黑体" w:cs="黑体"/>
          <w:i w:val="0"/>
          <w:iCs w:val="0"/>
          <w:caps w:val="0"/>
          <w:color w:val="333333"/>
          <w:spacing w:val="0"/>
          <w:sz w:val="32"/>
          <w:szCs w:val="32"/>
          <w:highlight w:val="none"/>
          <w:shd w:val="clear" w:color="auto" w:fill="FFFFFF"/>
        </w:rPr>
        <w:t>风险预警</w:t>
      </w:r>
    </w:p>
    <w:p w14:paraId="38A3639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center"/>
        <w:rPr>
          <w:rFonts w:hint="eastAsia" w:ascii="仿宋_GB2312" w:hAnsi="仿宋_GB2312" w:eastAsia="仿宋_GB2312" w:cs="仿宋_GB2312"/>
          <w:i w:val="0"/>
          <w:iCs w:val="0"/>
          <w:caps w:val="0"/>
          <w:spacing w:val="0"/>
          <w:kern w:val="2"/>
          <w:sz w:val="32"/>
          <w:szCs w:val="32"/>
          <w:highlight w:val="none"/>
          <w:shd w:val="clear" w:color="auto" w:fill="auto"/>
          <w:lang w:val="en-US" w:eastAsia="zh-CN" w:bidi="ar-SA"/>
        </w:rPr>
      </w:pPr>
      <w:r>
        <w:rPr>
          <w:rFonts w:hint="eastAsia" w:ascii="仿宋_GB2312" w:hAnsi="仿宋_GB2312" w:eastAsia="仿宋_GB2312" w:cs="仿宋_GB2312"/>
          <w:b/>
          <w:bCs/>
          <w:i w:val="0"/>
          <w:iCs w:val="0"/>
          <w:caps w:val="0"/>
          <w:color w:val="333333"/>
          <w:spacing w:val="0"/>
          <w:kern w:val="2"/>
          <w:sz w:val="32"/>
          <w:szCs w:val="32"/>
          <w:highlight w:val="none"/>
          <w:shd w:val="clear" w:color="auto" w:fill="auto"/>
          <w:lang w:val="en-US" w:eastAsia="zh-CN" w:bidi="ar-SA"/>
        </w:rPr>
        <w:t>第</w:t>
      </w:r>
      <w:r>
        <w:rPr>
          <w:rFonts w:hint="eastAsia" w:ascii="仿宋_GB2312" w:hAnsi="仿宋_GB2312" w:eastAsia="仿宋_GB2312" w:cs="仿宋_GB2312"/>
          <w:b/>
          <w:bCs/>
          <w:i w:val="0"/>
          <w:iCs w:val="0"/>
          <w:caps w:val="0"/>
          <w:spacing w:val="0"/>
          <w:kern w:val="2"/>
          <w:sz w:val="32"/>
          <w:szCs w:val="32"/>
          <w:highlight w:val="none"/>
          <w:shd w:val="clear" w:color="auto" w:fill="auto"/>
          <w:lang w:val="en-US" w:eastAsia="zh-CN" w:bidi="ar-SA"/>
        </w:rPr>
        <w:t>十二</w:t>
      </w:r>
      <w:r>
        <w:rPr>
          <w:rFonts w:hint="eastAsia" w:ascii="仿宋_GB2312" w:hAnsi="仿宋_GB2312" w:eastAsia="仿宋_GB2312" w:cs="仿宋_GB2312"/>
          <w:b/>
          <w:bCs/>
          <w:i w:val="0"/>
          <w:iCs w:val="0"/>
          <w:caps w:val="0"/>
          <w:color w:val="333333"/>
          <w:spacing w:val="0"/>
          <w:kern w:val="2"/>
          <w:sz w:val="32"/>
          <w:szCs w:val="32"/>
          <w:highlight w:val="none"/>
          <w:shd w:val="clear" w:color="auto" w:fill="auto"/>
          <w:lang w:val="en-US" w:eastAsia="zh-CN" w:bidi="ar-SA"/>
        </w:rPr>
        <w:t xml:space="preserve">条 </w:t>
      </w:r>
      <w:r>
        <w:rPr>
          <w:rFonts w:hint="eastAsia" w:ascii="仿宋_GB2312" w:hAnsi="仿宋_GB2312" w:eastAsia="仿宋_GB2312" w:cs="仿宋_GB2312"/>
          <w:b/>
          <w:bCs/>
          <w:i w:val="0"/>
          <w:iCs w:val="0"/>
          <w:caps w:val="0"/>
          <w:spacing w:val="0"/>
          <w:kern w:val="2"/>
          <w:sz w:val="32"/>
          <w:szCs w:val="32"/>
          <w:highlight w:val="none"/>
          <w:shd w:val="clear" w:color="auto" w:fill="auto"/>
          <w:lang w:val="en-US" w:eastAsia="zh-CN" w:bidi="ar-SA"/>
        </w:rPr>
        <w:t xml:space="preserve"> 风险预警机制。</w:t>
      </w:r>
      <w:r>
        <w:rPr>
          <w:rFonts w:hint="eastAsia" w:ascii="仿宋_GB2312" w:hAnsi="仿宋_GB2312" w:eastAsia="仿宋_GB2312" w:cs="仿宋_GB2312"/>
          <w:b w:val="0"/>
          <w:bCs w:val="0"/>
          <w:i w:val="0"/>
          <w:iCs w:val="0"/>
          <w:caps w:val="0"/>
          <w:spacing w:val="0"/>
          <w:kern w:val="2"/>
          <w:sz w:val="32"/>
          <w:szCs w:val="32"/>
          <w:highlight w:val="none"/>
          <w:shd w:val="clear" w:color="auto" w:fill="auto"/>
          <w:lang w:val="en-US" w:eastAsia="zh-CN" w:bidi="ar-SA"/>
        </w:rPr>
        <w:t>项目招引单位负责做好项目建设进度、运营情况、资金使用等方面的监测分析，</w:t>
      </w:r>
      <w:r>
        <w:rPr>
          <w:rFonts w:hint="eastAsia" w:ascii="仿宋_GB2312" w:hAnsi="仿宋_GB2312" w:eastAsia="仿宋_GB2312" w:cs="仿宋_GB2312"/>
          <w:i w:val="0"/>
          <w:iCs w:val="0"/>
          <w:caps w:val="0"/>
          <w:spacing w:val="0"/>
          <w:kern w:val="2"/>
          <w:sz w:val="32"/>
          <w:szCs w:val="32"/>
          <w:highlight w:val="none"/>
          <w:shd w:val="clear" w:color="auto" w:fill="auto"/>
          <w:lang w:val="en-US" w:eastAsia="zh-CN" w:bidi="ar-SA"/>
        </w:rPr>
        <w:t>及时发现潜在风险。根据风险程度，将风险分为一般风险、较大风险和重大风险三个等级，分别采取相应的预警措施。</w:t>
      </w:r>
    </w:p>
    <w:p w14:paraId="7979801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center"/>
        <w:rPr>
          <w:rFonts w:hint="eastAsia" w:ascii="仿宋_GB2312" w:hAnsi="仿宋_GB2312" w:eastAsia="仿宋_GB2312" w:cs="仿宋_GB2312"/>
          <w:i w:val="0"/>
          <w:iCs w:val="0"/>
          <w:caps w:val="0"/>
          <w:spacing w:val="0"/>
          <w:kern w:val="2"/>
          <w:sz w:val="32"/>
          <w:szCs w:val="32"/>
          <w:highlight w:val="none"/>
          <w:shd w:val="clear" w:color="auto" w:fill="auto"/>
          <w:lang w:val="en-US" w:eastAsia="zh-CN" w:bidi="ar-SA"/>
        </w:rPr>
      </w:pPr>
      <w:r>
        <w:rPr>
          <w:rFonts w:hint="eastAsia" w:ascii="仿宋_GB2312" w:hAnsi="仿宋_GB2312" w:eastAsia="仿宋_GB2312" w:cs="仿宋_GB2312"/>
          <w:b/>
          <w:bCs/>
          <w:i w:val="0"/>
          <w:iCs w:val="0"/>
          <w:caps w:val="0"/>
          <w:spacing w:val="0"/>
          <w:kern w:val="2"/>
          <w:sz w:val="32"/>
          <w:szCs w:val="32"/>
          <w:highlight w:val="none"/>
          <w:shd w:val="clear" w:color="auto" w:fill="auto"/>
          <w:lang w:val="en-US" w:eastAsia="zh-CN" w:bidi="ar-SA"/>
        </w:rPr>
        <w:t>第十三条  风险处置措施。</w:t>
      </w:r>
      <w:r>
        <w:rPr>
          <w:rFonts w:hint="eastAsia" w:ascii="仿宋_GB2312" w:hAnsi="仿宋_GB2312" w:eastAsia="仿宋_GB2312" w:cs="仿宋_GB2312"/>
          <w:i w:val="0"/>
          <w:iCs w:val="0"/>
          <w:caps w:val="0"/>
          <w:spacing w:val="0"/>
          <w:kern w:val="2"/>
          <w:sz w:val="32"/>
          <w:szCs w:val="32"/>
          <w:highlight w:val="none"/>
          <w:shd w:val="clear" w:color="auto" w:fill="auto"/>
          <w:lang w:val="en-US" w:eastAsia="zh-CN" w:bidi="ar-SA"/>
        </w:rPr>
        <w:t>对于一般风险、较大风险项目，由招商部门和相关部门督促投资方采取措施进行整改，消除风险隐患。对于较大风险项目，</w:t>
      </w:r>
      <w:r>
        <w:rPr>
          <w:rFonts w:hint="eastAsia" w:ascii="仿宋_GB2312" w:hAnsi="仿宋_GB2312" w:eastAsia="仿宋_GB2312" w:cs="仿宋_GB2312"/>
          <w:kern w:val="2"/>
          <w:sz w:val="32"/>
          <w:szCs w:val="32"/>
          <w:highlight w:val="none"/>
          <w:lang w:val="en-US" w:eastAsia="zh-CN" w:bidi="ar-SA"/>
        </w:rPr>
        <w:t>项目履约及产业扶持资金监管工作专班</w:t>
      </w:r>
      <w:r>
        <w:rPr>
          <w:rFonts w:hint="eastAsia" w:ascii="仿宋_GB2312" w:hAnsi="仿宋_GB2312" w:eastAsia="仿宋_GB2312" w:cs="仿宋_GB2312"/>
          <w:i w:val="0"/>
          <w:iCs w:val="0"/>
          <w:caps w:val="0"/>
          <w:spacing w:val="0"/>
          <w:kern w:val="2"/>
          <w:sz w:val="32"/>
          <w:szCs w:val="32"/>
          <w:highlight w:val="none"/>
          <w:shd w:val="clear" w:color="auto" w:fill="auto"/>
          <w:lang w:val="en-US" w:eastAsia="zh-CN" w:bidi="ar-SA"/>
        </w:rPr>
        <w:t>组织召开专题会议，研究制定风险处置方案，明确责任部门和整改期限，跟踪整改落实情况。对于重大风险项目，启动应急预案，依法依规采取有效措施，最大限度降低风险损失。</w:t>
      </w:r>
    </w:p>
    <w:p w14:paraId="0021561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420"/>
        <w:jc w:val="both"/>
        <w:textAlignment w:val="center"/>
        <w:rPr>
          <w:rFonts w:hint="eastAsia" w:ascii="仿宋_GB2312" w:hAnsi="仿宋_GB2312" w:eastAsia="仿宋_GB2312" w:cs="仿宋_GB2312"/>
          <w:i w:val="0"/>
          <w:iCs w:val="0"/>
          <w:caps w:val="0"/>
          <w:color w:val="333333"/>
          <w:spacing w:val="0"/>
          <w:sz w:val="32"/>
          <w:szCs w:val="32"/>
          <w:highlight w:val="none"/>
        </w:rPr>
      </w:pPr>
    </w:p>
    <w:p w14:paraId="3140077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jc w:val="center"/>
        <w:textAlignment w:val="center"/>
        <w:rPr>
          <w:rFonts w:hint="eastAsia" w:ascii="黑体" w:hAnsi="黑体" w:eastAsia="黑体" w:cs="黑体"/>
          <w:i w:val="0"/>
          <w:iCs w:val="0"/>
          <w:caps w:val="0"/>
          <w:color w:val="333333"/>
          <w:spacing w:val="0"/>
          <w:sz w:val="32"/>
          <w:szCs w:val="32"/>
          <w:highlight w:val="none"/>
          <w:shd w:val="clear" w:color="auto" w:fill="FFFFFF"/>
        </w:rPr>
      </w:pPr>
      <w:r>
        <w:rPr>
          <w:rFonts w:hint="eastAsia" w:ascii="黑体" w:hAnsi="黑体" w:eastAsia="黑体" w:cs="黑体"/>
          <w:i w:val="0"/>
          <w:iCs w:val="0"/>
          <w:caps w:val="0"/>
          <w:color w:val="333333"/>
          <w:spacing w:val="0"/>
          <w:sz w:val="32"/>
          <w:szCs w:val="32"/>
          <w:highlight w:val="none"/>
          <w:shd w:val="clear" w:color="auto" w:fill="FFFFFF"/>
        </w:rPr>
        <w:t>第</w:t>
      </w:r>
      <w:r>
        <w:rPr>
          <w:rFonts w:hint="eastAsia" w:ascii="黑体" w:hAnsi="黑体" w:eastAsia="黑体" w:cs="黑体"/>
          <w:i w:val="0"/>
          <w:iCs w:val="0"/>
          <w:caps w:val="0"/>
          <w:color w:val="333333"/>
          <w:spacing w:val="0"/>
          <w:sz w:val="32"/>
          <w:szCs w:val="32"/>
          <w:highlight w:val="none"/>
          <w:shd w:val="clear" w:color="auto" w:fill="FFFFFF"/>
          <w:lang w:eastAsia="zh-CN"/>
        </w:rPr>
        <w:t>六</w:t>
      </w:r>
      <w:r>
        <w:rPr>
          <w:rFonts w:hint="eastAsia" w:ascii="黑体" w:hAnsi="黑体" w:eastAsia="黑体" w:cs="黑体"/>
          <w:i w:val="0"/>
          <w:iCs w:val="0"/>
          <w:caps w:val="0"/>
          <w:color w:val="333333"/>
          <w:spacing w:val="0"/>
          <w:sz w:val="32"/>
          <w:szCs w:val="32"/>
          <w:highlight w:val="none"/>
          <w:shd w:val="clear" w:color="auto" w:fill="FFFFFF"/>
        </w:rPr>
        <w:t>章</w:t>
      </w:r>
      <w:r>
        <w:rPr>
          <w:rFonts w:hint="eastAsia" w:ascii="黑体" w:hAnsi="黑体" w:eastAsia="黑体" w:cs="黑体"/>
          <w:i w:val="0"/>
          <w:iCs w:val="0"/>
          <w:caps w:val="0"/>
          <w:color w:val="333333"/>
          <w:spacing w:val="0"/>
          <w:sz w:val="32"/>
          <w:szCs w:val="32"/>
          <w:highlight w:val="none"/>
          <w:shd w:val="clear" w:color="auto" w:fill="FFFFFF"/>
          <w:lang w:eastAsia="zh-CN"/>
        </w:rPr>
        <w:t xml:space="preserve">  </w:t>
      </w:r>
      <w:r>
        <w:rPr>
          <w:rFonts w:hint="eastAsia" w:ascii="黑体" w:hAnsi="黑体" w:eastAsia="黑体" w:cs="黑体"/>
          <w:i w:val="0"/>
          <w:iCs w:val="0"/>
          <w:caps w:val="0"/>
          <w:color w:val="333333"/>
          <w:spacing w:val="0"/>
          <w:sz w:val="32"/>
          <w:szCs w:val="32"/>
          <w:highlight w:val="none"/>
          <w:shd w:val="clear" w:color="auto" w:fill="FFFFFF"/>
        </w:rPr>
        <w:t>附</w:t>
      </w:r>
      <w:r>
        <w:rPr>
          <w:rFonts w:hint="eastAsia" w:ascii="黑体" w:hAnsi="黑体" w:eastAsia="黑体" w:cs="黑体"/>
          <w:i w:val="0"/>
          <w:iCs w:val="0"/>
          <w:caps w:val="0"/>
          <w:color w:val="333333"/>
          <w:spacing w:val="0"/>
          <w:sz w:val="32"/>
          <w:szCs w:val="32"/>
          <w:highlight w:val="none"/>
          <w:shd w:val="clear" w:color="auto" w:fill="FFFFFF"/>
          <w:lang w:val="en-US" w:eastAsia="zh-CN"/>
        </w:rPr>
        <w:t xml:space="preserve">    </w:t>
      </w:r>
      <w:r>
        <w:rPr>
          <w:rFonts w:hint="eastAsia" w:ascii="黑体" w:hAnsi="黑体" w:eastAsia="黑体" w:cs="黑体"/>
          <w:i w:val="0"/>
          <w:iCs w:val="0"/>
          <w:caps w:val="0"/>
          <w:color w:val="333333"/>
          <w:spacing w:val="0"/>
          <w:sz w:val="32"/>
          <w:szCs w:val="32"/>
          <w:highlight w:val="none"/>
          <w:shd w:val="clear" w:color="auto" w:fill="FFFFFF"/>
        </w:rPr>
        <w:t>则</w:t>
      </w:r>
    </w:p>
    <w:p w14:paraId="40299094">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bCs/>
          <w:i w:val="0"/>
          <w:iCs w:val="0"/>
          <w:caps w:val="0"/>
          <w:color w:val="333333"/>
          <w:spacing w:val="0"/>
          <w:sz w:val="32"/>
          <w:szCs w:val="32"/>
          <w:highlight w:val="none"/>
          <w:shd w:val="clear" w:color="auto" w:fill="FFFFFF"/>
        </w:rPr>
        <w:t>第</w:t>
      </w:r>
      <w:r>
        <w:rPr>
          <w:rFonts w:hint="eastAsia" w:ascii="仿宋_GB2312" w:hAnsi="仿宋_GB2312" w:eastAsia="仿宋_GB2312" w:cs="仿宋_GB2312"/>
          <w:b/>
          <w:bCs/>
          <w:i w:val="0"/>
          <w:iCs w:val="0"/>
          <w:caps w:val="0"/>
          <w:color w:val="333333"/>
          <w:spacing w:val="0"/>
          <w:sz w:val="32"/>
          <w:szCs w:val="32"/>
          <w:highlight w:val="none"/>
          <w:shd w:val="clear" w:color="auto" w:fill="FFFFFF"/>
          <w:lang w:eastAsia="zh-CN"/>
        </w:rPr>
        <w:t>十四</w:t>
      </w:r>
      <w:r>
        <w:rPr>
          <w:rFonts w:hint="eastAsia" w:ascii="仿宋_GB2312" w:hAnsi="仿宋_GB2312" w:eastAsia="仿宋_GB2312" w:cs="仿宋_GB2312"/>
          <w:b/>
          <w:bCs/>
          <w:i w:val="0"/>
          <w:iCs w:val="0"/>
          <w:caps w:val="0"/>
          <w:color w:val="333333"/>
          <w:spacing w:val="0"/>
          <w:sz w:val="32"/>
          <w:szCs w:val="32"/>
          <w:highlight w:val="none"/>
          <w:shd w:val="clear" w:color="auto" w:fill="FFFFFF"/>
        </w:rPr>
        <w:t>条</w:t>
      </w:r>
      <w:r>
        <w:rPr>
          <w:rFonts w:hint="eastAsia" w:ascii="仿宋_GB2312" w:hAnsi="仿宋_GB2312" w:eastAsia="仿宋_GB2312" w:cs="仿宋_GB2312"/>
          <w:b/>
          <w:bCs/>
          <w:i w:val="0"/>
          <w:iCs w:val="0"/>
          <w:caps w:val="0"/>
          <w:color w:val="333333"/>
          <w:spacing w:val="0"/>
          <w:sz w:val="32"/>
          <w:szCs w:val="32"/>
          <w:highlight w:val="none"/>
          <w:shd w:val="clear" w:color="auto" w:fill="FFFFFF"/>
          <w:lang w:eastAsia="zh-CN"/>
        </w:rPr>
        <w:t xml:space="preserve">  </w:t>
      </w:r>
      <w:r>
        <w:rPr>
          <w:rFonts w:hint="eastAsia" w:ascii="仿宋_GB2312" w:hAnsi="仿宋_GB2312" w:eastAsia="仿宋_GB2312" w:cs="仿宋_GB2312"/>
          <w:kern w:val="2"/>
          <w:sz w:val="32"/>
          <w:szCs w:val="32"/>
          <w:highlight w:val="none"/>
          <w:lang w:val="en-US" w:eastAsia="zh-CN" w:bidi="ar-SA"/>
        </w:rPr>
        <w:t>本办法自修订印发之日起施行，试行期至2027年12月31日。</w:t>
      </w:r>
      <w:r>
        <w:rPr>
          <w:rFonts w:ascii="Calibri" w:hAnsi="Calibri" w:eastAsia="宋体" w:cs="Times New Roman"/>
          <w:sz w:val="21"/>
          <w:szCs w:val="22"/>
        </w:rPr>
        <mc:AlternateContent>
          <mc:Choice Requires="wps">
            <w:drawing>
              <wp:anchor distT="0" distB="0" distL="114300" distR="114300" simplePos="0" relativeHeight="251660288" behindDoc="0" locked="0" layoutInCell="1" allowOverlap="1">
                <wp:simplePos x="0" y="0"/>
                <wp:positionH relativeFrom="column">
                  <wp:posOffset>4413250</wp:posOffset>
                </wp:positionH>
                <wp:positionV relativeFrom="paragraph">
                  <wp:posOffset>3643630</wp:posOffset>
                </wp:positionV>
                <wp:extent cx="6350" cy="233680"/>
                <wp:effectExtent l="51435" t="0" r="56515" b="13970"/>
                <wp:wrapNone/>
                <wp:docPr id="14" name="直接箭头连接符 23"/>
                <wp:cNvGraphicFramePr/>
                <a:graphic xmlns:a="http://schemas.openxmlformats.org/drawingml/2006/main">
                  <a:graphicData uri="http://schemas.microsoft.com/office/word/2010/wordprocessingShape">
                    <wps:wsp>
                      <wps:cNvCnPr/>
                      <wps:spPr>
                        <a:xfrm flipH="1">
                          <a:off x="0" y="0"/>
                          <a:ext cx="6350" cy="233680"/>
                        </a:xfrm>
                        <a:prstGeom prst="straightConnector1">
                          <a:avLst/>
                        </a:prstGeom>
                        <a:ln w="19050" cap="flat" cmpd="sng">
                          <a:solidFill>
                            <a:srgbClr val="000000"/>
                          </a:solidFill>
                          <a:prstDash val="solid"/>
                          <a:round/>
                          <a:headEnd type="none" w="med" len="med"/>
                          <a:tailEnd type="arrow" w="med" len="med"/>
                        </a:ln>
                      </wps:spPr>
                      <wps:bodyPr/>
                    </wps:wsp>
                  </a:graphicData>
                </a:graphic>
              </wp:anchor>
            </w:drawing>
          </mc:Choice>
          <mc:Fallback>
            <w:pict>
              <v:shape id="直接箭头连接符 23" o:spid="_x0000_s1026" o:spt="32" type="#_x0000_t32" style="position:absolute;left:0pt;flip:x;margin-left:347.5pt;margin-top:286.9pt;height:18.4pt;width:0.5pt;z-index:251660288;mso-width-relative:page;mso-height-relative:page;" filled="f" stroked="t" coordsize="21600,21600" o:gfxdata="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hwA0UtgAAAALAQAADwAAAAAA&#10;AAABACAAAAAiAAAAZHJzL2Rvd25yZXYueG1sUEsBAhQAFAAAAAgAh07iQLMkhhETAgAABgQAAA4A&#10;AAAAAAAAAQAgAAAAJwEAAGRycy9lMm9Eb2MueG1sUEsFBgAAAAAGAAYAWQEAAKwFAAAAAA==&#10;">
                <v:fill on="f" focussize="0,0"/>
                <v:stroke weight="1.5pt" color="#000000" joinstyle="round" endarrow="open"/>
                <v:imagedata o:title=""/>
                <o:lock v:ext="edit" aspectratio="f"/>
              </v:shape>
            </w:pict>
          </mc:Fallback>
        </mc:AlternateContent>
      </w:r>
    </w:p>
    <w:sectPr>
      <w:footerReference r:id="rId3" w:type="default"/>
      <w:pgSz w:w="11906" w:h="16838"/>
      <w:pgMar w:top="2098" w:right="1474" w:bottom="1984"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9B942C4-473D-4C95-BC1E-B884A84508E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2" w:fontKey="{D765ADA4-2069-493B-BCCF-EE40642A0BB6}"/>
  </w:font>
  <w:font w:name="仿宋_GB2312">
    <w:panose1 w:val="02010609030101010101"/>
    <w:charset w:val="86"/>
    <w:family w:val="auto"/>
    <w:pitch w:val="default"/>
    <w:sig w:usb0="00000001" w:usb1="080E0000" w:usb2="00000000" w:usb3="00000000" w:csb0="00040000" w:csb1="00000000"/>
    <w:embedRegular r:id="rId3" w:fontKey="{7F3DA388-5CE4-4A1A-BDD0-62D1F84778D5}"/>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3E567">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9A4F426">
                          <w:pPr>
                            <w:pStyle w:val="6"/>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TkWTJ3gEAAL8DAAAOAAAAAAAA&#10;AAEAIAAAAB4BAABkcnMvZTJvRG9jLnhtbFBLBQYAAAAABgAGAFkBAABuBQAAAAA=&#10;">
              <v:fill on="f" focussize="0,0"/>
              <v:stroke on="f"/>
              <v:imagedata o:title=""/>
              <o:lock v:ext="edit" aspectratio="f"/>
              <v:textbox inset="0mm,0mm,0mm,0mm" style="mso-fit-shape-to-text:t;">
                <w:txbxContent>
                  <w:p w14:paraId="39A4F426">
                    <w:pPr>
                      <w:pStyle w:val="6"/>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mNGUyYmViMmE3OWIwMmNmNzBiMzI5YzcxMjQxMjMifQ=="/>
  </w:docVars>
  <w:rsids>
    <w:rsidRoot w:val="00000000"/>
    <w:rsid w:val="018A7679"/>
    <w:rsid w:val="01AD0310"/>
    <w:rsid w:val="0247556A"/>
    <w:rsid w:val="02C12CB4"/>
    <w:rsid w:val="03366781"/>
    <w:rsid w:val="03B0757E"/>
    <w:rsid w:val="050012D3"/>
    <w:rsid w:val="05665D07"/>
    <w:rsid w:val="0630252B"/>
    <w:rsid w:val="06F34D61"/>
    <w:rsid w:val="07352849"/>
    <w:rsid w:val="077361DD"/>
    <w:rsid w:val="07832BA1"/>
    <w:rsid w:val="0857170A"/>
    <w:rsid w:val="087A1D48"/>
    <w:rsid w:val="099B5350"/>
    <w:rsid w:val="0A53074F"/>
    <w:rsid w:val="0ACF40CA"/>
    <w:rsid w:val="0B036DA6"/>
    <w:rsid w:val="0CB91AD0"/>
    <w:rsid w:val="0D603F91"/>
    <w:rsid w:val="0D6B3D00"/>
    <w:rsid w:val="0DC83573"/>
    <w:rsid w:val="0E1F1149"/>
    <w:rsid w:val="0E45278A"/>
    <w:rsid w:val="0EDD34DE"/>
    <w:rsid w:val="0EED6F00"/>
    <w:rsid w:val="0EFC77B8"/>
    <w:rsid w:val="0F4F6BD2"/>
    <w:rsid w:val="0F555F86"/>
    <w:rsid w:val="0FF370EF"/>
    <w:rsid w:val="10295ED7"/>
    <w:rsid w:val="106D0892"/>
    <w:rsid w:val="109244EA"/>
    <w:rsid w:val="10C77837"/>
    <w:rsid w:val="10E34150"/>
    <w:rsid w:val="11034202"/>
    <w:rsid w:val="110A0EF4"/>
    <w:rsid w:val="11390774"/>
    <w:rsid w:val="12052DD1"/>
    <w:rsid w:val="1221363E"/>
    <w:rsid w:val="134D72B7"/>
    <w:rsid w:val="13D6759E"/>
    <w:rsid w:val="13EA6054"/>
    <w:rsid w:val="15581B10"/>
    <w:rsid w:val="157C23F9"/>
    <w:rsid w:val="16411572"/>
    <w:rsid w:val="16661B24"/>
    <w:rsid w:val="170B3D13"/>
    <w:rsid w:val="179D6093"/>
    <w:rsid w:val="185B2541"/>
    <w:rsid w:val="18A64941"/>
    <w:rsid w:val="18D248A0"/>
    <w:rsid w:val="18FC6C57"/>
    <w:rsid w:val="1A4310B1"/>
    <w:rsid w:val="1A4E7FDF"/>
    <w:rsid w:val="1A8705F5"/>
    <w:rsid w:val="1AEC278D"/>
    <w:rsid w:val="1B281F85"/>
    <w:rsid w:val="1B373314"/>
    <w:rsid w:val="1B96320A"/>
    <w:rsid w:val="1BC8769B"/>
    <w:rsid w:val="1C1C46B8"/>
    <w:rsid w:val="1C21175D"/>
    <w:rsid w:val="1C4152E2"/>
    <w:rsid w:val="1CCA7AFE"/>
    <w:rsid w:val="1CFD2C35"/>
    <w:rsid w:val="1D2730E4"/>
    <w:rsid w:val="1D9C61ED"/>
    <w:rsid w:val="1DB573D4"/>
    <w:rsid w:val="1DCB6BF8"/>
    <w:rsid w:val="1DD72A06"/>
    <w:rsid w:val="1DDC0E05"/>
    <w:rsid w:val="1E78587E"/>
    <w:rsid w:val="1EC91389"/>
    <w:rsid w:val="1F2B3D22"/>
    <w:rsid w:val="200835C8"/>
    <w:rsid w:val="20256A93"/>
    <w:rsid w:val="20452C91"/>
    <w:rsid w:val="22F46A22"/>
    <w:rsid w:val="23283ADB"/>
    <w:rsid w:val="234B340B"/>
    <w:rsid w:val="239E30F8"/>
    <w:rsid w:val="23CA7E50"/>
    <w:rsid w:val="24AE2E41"/>
    <w:rsid w:val="24BE4D5C"/>
    <w:rsid w:val="24D146B3"/>
    <w:rsid w:val="251B16C1"/>
    <w:rsid w:val="25676E0F"/>
    <w:rsid w:val="25E95469"/>
    <w:rsid w:val="262D044F"/>
    <w:rsid w:val="26EB1EFE"/>
    <w:rsid w:val="280A391D"/>
    <w:rsid w:val="28DE0127"/>
    <w:rsid w:val="292E31CA"/>
    <w:rsid w:val="297E0DAB"/>
    <w:rsid w:val="29926845"/>
    <w:rsid w:val="29A463A1"/>
    <w:rsid w:val="29EF57DD"/>
    <w:rsid w:val="2A5D1FD9"/>
    <w:rsid w:val="2AA761E1"/>
    <w:rsid w:val="2B4170DA"/>
    <w:rsid w:val="2B745111"/>
    <w:rsid w:val="2B772D87"/>
    <w:rsid w:val="2BCE391C"/>
    <w:rsid w:val="2BDA1A1F"/>
    <w:rsid w:val="2BE90BD1"/>
    <w:rsid w:val="2C3C2327"/>
    <w:rsid w:val="2C4F17BE"/>
    <w:rsid w:val="2CF00317"/>
    <w:rsid w:val="2D137DD7"/>
    <w:rsid w:val="2D7C3A6A"/>
    <w:rsid w:val="2DAC1FDD"/>
    <w:rsid w:val="2DC312AE"/>
    <w:rsid w:val="2E1331B4"/>
    <w:rsid w:val="2E50117F"/>
    <w:rsid w:val="2FF14B89"/>
    <w:rsid w:val="315E6D8E"/>
    <w:rsid w:val="31815AF3"/>
    <w:rsid w:val="31D33BDE"/>
    <w:rsid w:val="31D67BED"/>
    <w:rsid w:val="31F500A1"/>
    <w:rsid w:val="32306867"/>
    <w:rsid w:val="336670E7"/>
    <w:rsid w:val="33AA4C23"/>
    <w:rsid w:val="34F77462"/>
    <w:rsid w:val="34FC6E5F"/>
    <w:rsid w:val="351F0762"/>
    <w:rsid w:val="352F7B20"/>
    <w:rsid w:val="35935853"/>
    <w:rsid w:val="35FF1A70"/>
    <w:rsid w:val="36031052"/>
    <w:rsid w:val="372907BF"/>
    <w:rsid w:val="37774B61"/>
    <w:rsid w:val="380D3A6D"/>
    <w:rsid w:val="383D0B9A"/>
    <w:rsid w:val="387028CD"/>
    <w:rsid w:val="389930B1"/>
    <w:rsid w:val="39382F3B"/>
    <w:rsid w:val="396C0FB8"/>
    <w:rsid w:val="39BF2D7F"/>
    <w:rsid w:val="3A8732C4"/>
    <w:rsid w:val="3AD8220C"/>
    <w:rsid w:val="3B070996"/>
    <w:rsid w:val="3B25439A"/>
    <w:rsid w:val="3B840C7D"/>
    <w:rsid w:val="3BFD221A"/>
    <w:rsid w:val="3C616ED6"/>
    <w:rsid w:val="3C690AF6"/>
    <w:rsid w:val="3C7F667E"/>
    <w:rsid w:val="3C8F5357"/>
    <w:rsid w:val="3CA43C97"/>
    <w:rsid w:val="3D6E0D11"/>
    <w:rsid w:val="3E9B6AF0"/>
    <w:rsid w:val="3FF87A80"/>
    <w:rsid w:val="400640B2"/>
    <w:rsid w:val="404F2F21"/>
    <w:rsid w:val="413A2F2B"/>
    <w:rsid w:val="41845150"/>
    <w:rsid w:val="41B660C0"/>
    <w:rsid w:val="42285154"/>
    <w:rsid w:val="43A63197"/>
    <w:rsid w:val="43B858B3"/>
    <w:rsid w:val="43C0684E"/>
    <w:rsid w:val="43D73E93"/>
    <w:rsid w:val="444864F5"/>
    <w:rsid w:val="447A08AC"/>
    <w:rsid w:val="44A85EC4"/>
    <w:rsid w:val="44C63123"/>
    <w:rsid w:val="44D30B00"/>
    <w:rsid w:val="44F248E6"/>
    <w:rsid w:val="451835F2"/>
    <w:rsid w:val="459765C5"/>
    <w:rsid w:val="45A33773"/>
    <w:rsid w:val="45BE2A1A"/>
    <w:rsid w:val="46690BD8"/>
    <w:rsid w:val="46EA6CC4"/>
    <w:rsid w:val="47554875"/>
    <w:rsid w:val="475B7A95"/>
    <w:rsid w:val="4799373F"/>
    <w:rsid w:val="47AF4D11"/>
    <w:rsid w:val="49267254"/>
    <w:rsid w:val="49325BF9"/>
    <w:rsid w:val="49915506"/>
    <w:rsid w:val="499A402C"/>
    <w:rsid w:val="4A7E6583"/>
    <w:rsid w:val="4AFF2268"/>
    <w:rsid w:val="4CB37DEA"/>
    <w:rsid w:val="4D5C7910"/>
    <w:rsid w:val="4DCF6ED8"/>
    <w:rsid w:val="4DD92AE7"/>
    <w:rsid w:val="4E5D5685"/>
    <w:rsid w:val="4EB17DE6"/>
    <w:rsid w:val="4F1E5158"/>
    <w:rsid w:val="4FF36959"/>
    <w:rsid w:val="50022C9F"/>
    <w:rsid w:val="5005236A"/>
    <w:rsid w:val="50123718"/>
    <w:rsid w:val="50AE3672"/>
    <w:rsid w:val="52383B54"/>
    <w:rsid w:val="5336214F"/>
    <w:rsid w:val="533F25F9"/>
    <w:rsid w:val="53B77CE7"/>
    <w:rsid w:val="544762D1"/>
    <w:rsid w:val="55FE5A3B"/>
    <w:rsid w:val="563D3E69"/>
    <w:rsid w:val="57752985"/>
    <w:rsid w:val="578E1EB0"/>
    <w:rsid w:val="57C87729"/>
    <w:rsid w:val="5942006E"/>
    <w:rsid w:val="594C10CD"/>
    <w:rsid w:val="594D0863"/>
    <w:rsid w:val="5A472AAA"/>
    <w:rsid w:val="5A87311A"/>
    <w:rsid w:val="5ABC682F"/>
    <w:rsid w:val="5ADF1DC9"/>
    <w:rsid w:val="5B6A0F05"/>
    <w:rsid w:val="5C7A439C"/>
    <w:rsid w:val="5C841E70"/>
    <w:rsid w:val="5D294B97"/>
    <w:rsid w:val="5D407171"/>
    <w:rsid w:val="5DA94E6F"/>
    <w:rsid w:val="5DDA5177"/>
    <w:rsid w:val="5DDB442F"/>
    <w:rsid w:val="5DE160B8"/>
    <w:rsid w:val="5E23751F"/>
    <w:rsid w:val="5EAA4F80"/>
    <w:rsid w:val="5F4577CA"/>
    <w:rsid w:val="5F672392"/>
    <w:rsid w:val="5F757EE5"/>
    <w:rsid w:val="601C6864"/>
    <w:rsid w:val="60291996"/>
    <w:rsid w:val="6042451C"/>
    <w:rsid w:val="60902F1D"/>
    <w:rsid w:val="610E2650"/>
    <w:rsid w:val="611263E1"/>
    <w:rsid w:val="61B128D0"/>
    <w:rsid w:val="61F513E7"/>
    <w:rsid w:val="61FA4982"/>
    <w:rsid w:val="62165008"/>
    <w:rsid w:val="62EA6483"/>
    <w:rsid w:val="63071A4D"/>
    <w:rsid w:val="633B4B46"/>
    <w:rsid w:val="637F4395"/>
    <w:rsid w:val="63AC56E8"/>
    <w:rsid w:val="63CF4D20"/>
    <w:rsid w:val="640F2C35"/>
    <w:rsid w:val="651219EA"/>
    <w:rsid w:val="661B78FF"/>
    <w:rsid w:val="665E486C"/>
    <w:rsid w:val="66623861"/>
    <w:rsid w:val="670A4DE5"/>
    <w:rsid w:val="673A79DA"/>
    <w:rsid w:val="67FA56DC"/>
    <w:rsid w:val="68752646"/>
    <w:rsid w:val="68CD05B5"/>
    <w:rsid w:val="68FE744E"/>
    <w:rsid w:val="691E18AB"/>
    <w:rsid w:val="693E784B"/>
    <w:rsid w:val="69730DB7"/>
    <w:rsid w:val="69763488"/>
    <w:rsid w:val="69AE571E"/>
    <w:rsid w:val="69E26B35"/>
    <w:rsid w:val="6A13527F"/>
    <w:rsid w:val="6A240107"/>
    <w:rsid w:val="6ACD32B9"/>
    <w:rsid w:val="6AEA5EDC"/>
    <w:rsid w:val="6B361121"/>
    <w:rsid w:val="6BF53DCB"/>
    <w:rsid w:val="6C970D4C"/>
    <w:rsid w:val="6CB31EA1"/>
    <w:rsid w:val="6CB73B9C"/>
    <w:rsid w:val="6CB85A5F"/>
    <w:rsid w:val="6D4D62AE"/>
    <w:rsid w:val="6D5C5B60"/>
    <w:rsid w:val="6DB371CF"/>
    <w:rsid w:val="6E4F0E32"/>
    <w:rsid w:val="6F0926A9"/>
    <w:rsid w:val="6F6454C9"/>
    <w:rsid w:val="6FF87AD9"/>
    <w:rsid w:val="706D1692"/>
    <w:rsid w:val="707A7302"/>
    <w:rsid w:val="70853FB1"/>
    <w:rsid w:val="712C48B7"/>
    <w:rsid w:val="728F543E"/>
    <w:rsid w:val="73354155"/>
    <w:rsid w:val="73927CFE"/>
    <w:rsid w:val="740022CC"/>
    <w:rsid w:val="74E724EC"/>
    <w:rsid w:val="750B0589"/>
    <w:rsid w:val="753A421C"/>
    <w:rsid w:val="75412B9C"/>
    <w:rsid w:val="75703482"/>
    <w:rsid w:val="75BA6FE1"/>
    <w:rsid w:val="75DC28C5"/>
    <w:rsid w:val="763F7B3A"/>
    <w:rsid w:val="76740164"/>
    <w:rsid w:val="767617D0"/>
    <w:rsid w:val="76FF4ABD"/>
    <w:rsid w:val="77004391"/>
    <w:rsid w:val="770D5E69"/>
    <w:rsid w:val="771E5017"/>
    <w:rsid w:val="7838182C"/>
    <w:rsid w:val="78CE56EC"/>
    <w:rsid w:val="7A011463"/>
    <w:rsid w:val="7A02173C"/>
    <w:rsid w:val="7B234AF2"/>
    <w:rsid w:val="7B931C78"/>
    <w:rsid w:val="7BFC04AB"/>
    <w:rsid w:val="7C5E5DE2"/>
    <w:rsid w:val="7CBA05AB"/>
    <w:rsid w:val="7D8B37E3"/>
    <w:rsid w:val="7DF5399D"/>
    <w:rsid w:val="7E1F6B85"/>
    <w:rsid w:val="7E271F62"/>
    <w:rsid w:val="7ED14F91"/>
    <w:rsid w:val="7F1E3F4E"/>
    <w:rsid w:val="7F5954E9"/>
    <w:rsid w:val="7F6A37A6"/>
    <w:rsid w:val="7F9411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qFormat="1" w:unhideWhenUsed="0" w:uiPriority="99"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11">
    <w:name w:val="Default Paragraph Font"/>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2">
    <w:name w:val="annotation text"/>
    <w:basedOn w:val="1"/>
    <w:autoRedefine/>
    <w:qFormat/>
    <w:uiPriority w:val="0"/>
    <w:pPr>
      <w:jc w:val="left"/>
    </w:pPr>
  </w:style>
  <w:style w:type="paragraph" w:styleId="3">
    <w:name w:val="Body Text Indent"/>
    <w:basedOn w:val="1"/>
    <w:next w:val="4"/>
    <w:autoRedefine/>
    <w:qFormat/>
    <w:uiPriority w:val="99"/>
    <w:pPr>
      <w:spacing w:after="120"/>
      <w:ind w:left="420" w:leftChars="200"/>
    </w:pPr>
    <w:rPr>
      <w:rFonts w:ascii="Calibri" w:hAnsi="Calibri"/>
    </w:rPr>
  </w:style>
  <w:style w:type="paragraph" w:styleId="4">
    <w:name w:val="Body Text Indent 2"/>
    <w:basedOn w:val="1"/>
    <w:next w:val="5"/>
    <w:autoRedefine/>
    <w:qFormat/>
    <w:uiPriority w:val="99"/>
    <w:pPr>
      <w:ind w:firstLine="600" w:firstLineChars="200"/>
    </w:pPr>
    <w:rPr>
      <w:rFonts w:ascii="仿宋_GB2312" w:eastAsia="仿宋_GB2312"/>
      <w:sz w:val="30"/>
      <w:szCs w:val="30"/>
    </w:rPr>
  </w:style>
  <w:style w:type="paragraph" w:styleId="5">
    <w:name w:val="Body Text Indent 3"/>
    <w:basedOn w:val="1"/>
    <w:autoRedefine/>
    <w:qFormat/>
    <w:uiPriority w:val="99"/>
    <w:pPr>
      <w:ind w:left="200" w:leftChars="200"/>
    </w:pPr>
    <w:rPr>
      <w:sz w:val="16"/>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styleId="9">
    <w:name w:val="Body Text First Indent 2"/>
    <w:basedOn w:val="3"/>
    <w:next w:val="1"/>
    <w:autoRedefine/>
    <w:qFormat/>
    <w:uiPriority w:val="99"/>
    <w:pPr>
      <w:ind w:firstLine="420" w:firstLineChars="200"/>
    </w:pPr>
  </w:style>
  <w:style w:type="character" w:styleId="12">
    <w:name w:val="Hyperlink"/>
    <w:basedOn w:val="11"/>
    <w:autoRedefine/>
    <w:qFormat/>
    <w:uiPriority w:val="0"/>
    <w:rPr>
      <w:color w:val="0000FF"/>
      <w:u w:val="single"/>
    </w:rPr>
  </w:style>
  <w:style w:type="character" w:styleId="13">
    <w:name w:val="annotation reference"/>
    <w:autoRedefine/>
    <w:qFormat/>
    <w:uiPriority w:val="0"/>
    <w:rPr>
      <w:sz w:val="21"/>
      <w:szCs w:val="21"/>
    </w:rPr>
  </w:style>
  <w:style w:type="paragraph" w:customStyle="1" w:styleId="14">
    <w:name w:val="Heading2"/>
    <w:basedOn w:val="1"/>
    <w:next w:val="1"/>
    <w:qFormat/>
    <w:uiPriority w:val="0"/>
    <w:pPr>
      <w:keepNext/>
      <w:keepLines/>
      <w:spacing w:line="560" w:lineRule="exact"/>
      <w:ind w:firstLine="880" w:firstLineChars="200"/>
      <w:textAlignment w:val="baseline"/>
    </w:pPr>
    <w:rPr>
      <w:rFonts w:ascii="Times New Roman" w:hAnsi="Times New Roman" w:eastAsia="黑体"/>
      <w:kern w:val="0"/>
      <w:sz w:val="32"/>
      <w:szCs w:val="32"/>
    </w:rPr>
  </w:style>
  <w:style w:type="paragraph" w:customStyle="1" w:styleId="15">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ffb67c3d-7f91-48cf-962b-b3d1b6a45c62</errorID>
      <errorWord>法律、法规</errorWord>
      <group>L1_Word</group>
      <groupName>字词问题</groupName>
      <ability>L2_Typo</ability>
      <abilityName>字词错误</abilityName>
      <candidateList>
        <item>法律法规</item>
      </candidateList>
      <explain/>
      <paraID>7A89B6E4</paraID>
      <start>85</start>
      <end>89</end>
      <status>modified</status>
      <modifiedWord>法律法规</modifiedWord>
      <trackRevisions>false</trackRevisions>
    </reviewItem>
    <reviewItem>
      <errorID>6428a3d7-f55d-4b0e-aa0a-0f52e6468853</errorID>
      <errorWord>况</errorWord>
      <group>L1_Word</group>
      <groupName>字词问题</groupName>
      <ability>L2_Typo</ability>
      <abilityName>字词错误</abilityName>
      <candidateList>
        <item>况上</item>
      </candidateList>
      <explain/>
      <paraID>609EC613</paraID>
      <start>93</start>
      <end>94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9f8305-d9b8-4787-9435-0f88274bd015}">
  <ds:schemaRefs/>
</ds:datastoreItem>
</file>

<file path=docProps/app.xml><?xml version="1.0" encoding="utf-8"?>
<Properties xmlns="http://schemas.openxmlformats.org/officeDocument/2006/extended-properties" xmlns:vt="http://schemas.openxmlformats.org/officeDocument/2006/docPropsVTypes">
  <Template>Normal.dotm</Template>
  <Pages>5</Pages>
  <Words>2305</Words>
  <Characters>2316</Characters>
  <Lines>0</Lines>
  <Paragraphs>0</Paragraphs>
  <TotalTime>13</TotalTime>
  <ScaleCrop>false</ScaleCrop>
  <LinksUpToDate>false</LinksUpToDate>
  <CharactersWithSpaces>2364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2022-11-10T03:14:00Z</dcterms:created>
  <dc:creator>zsj</dc:creator>
  <cp:lastModifiedBy>YH</cp:lastModifiedBy>
  <cp:lastPrinted>2025-04-25T05:22:00Z</cp:lastPrinted>
  <dcterms:modified xsi:type="dcterms:W3CDTF">2026-05-07T07:17:43Z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20141ED3B7DC4D54AD721392667D300E_13</vt:lpwstr>
  </property>
  <property fmtid="{D5CDD505-2E9C-101B-9397-08002B2CF9AE}" pid="4" name="KSOTemplateDocerSaveRecord">
    <vt:lpwstr>eyJoZGlkIjoiMzFlYWUxNTdkMDc5OWQ2NGQ4NjQ5ZDE0NjAwMzMxOGIiLCJ1c2VySWQiOiIyNzY3MDM2MTAifQ==</vt:lpwstr>
  </property>
</Properties>
</file>