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wmf" ContentType="image/wmf"/>
  <Default Extension="bin" ContentType="application/vnd.openxmlformats-officedocument.oleObject"/>
  <Default Extension="emf" ContentType="image/emf"/>
  <Default Extension="png" ContentType="image/png"/>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1.xml" ContentType="application/vnd.openxmlformats-officedocument.customXmlPropertie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ackground w:color="FFFFFF"/>
  <w:body>
    <w:p>
      <w:pPr>
        <w:widowControl/>
        <w:spacing w:line="240" w:lineRule="auto"/>
        <w:ind w:firstLineChars="0" w:firstLine="0"/>
        <w:jc w:val="left"/>
        <w:textAlignment w:val="auto"/>
        <w:rPr>
          <w:rFonts w:cs="Times New Roman"/>
          <w:color w:val="auto"/>
          <w:sz w:val="28"/>
          <w:highlight w:val="none"/>
        </w:rPr>
      </w:pPr>
    </w:p>
    <w:p>
      <w:pPr>
        <w:ind w:firstLineChars="0" w:firstLine="0"/>
        <w:rPr>
          <w:rFonts w:eastAsia="MS Gothic"/>
          <w:b/>
          <w:color w:val="auto"/>
          <w:sz w:val="84"/>
          <w:szCs w:val="84"/>
          <w:highlight w:val="none"/>
        </w:rPr>
      </w:pPr>
      <w:r>
        <w:rPr>
          <w:rFonts w:eastAsia="黑体" w:hint="eastAsia"/>
          <w:color w:val="auto"/>
          <w:sz w:val="32"/>
          <w:szCs w:val="32"/>
          <w:highlight w:val="none"/>
        </w:rPr>
        <w:drawing>
          <wp:anchor distT="0" distB="0" distL="114300" distR="114300" simplePos="0" relativeHeight="255" behindDoc="0" locked="0" layoutInCell="1" hidden="0" allowOverlap="1">
            <wp:simplePos x="0" y="0"/>
            <wp:positionH relativeFrom="page">
              <wp:posOffset>4733925</wp:posOffset>
            </wp:positionH>
            <wp:positionV relativeFrom="page">
              <wp:posOffset>968375</wp:posOffset>
            </wp:positionV>
            <wp:extent cx="1720214" cy="800100"/>
            <wp:effectExtent l="-9525" t="-9525" r="6985" b="-9525"/>
            <wp:wrapNone/>
            <wp:docPr id="688168598" name="图片 5" descr="说明: GD"/>
            <wp:cNvGraphicFramePr>
              <a:graphicFrameLocks noChangeAspect="1"/>
            </wp:cNvGraphicFramePr>
            <a:graphic>
              <a:graphicData uri="http://schemas.openxmlformats.org/drawingml/2006/picture">
                <pic:pic>
                  <pic:nvPicPr>
                    <pic:cNvPr id="6" name="图片 5 6"/>
                    <pic:cNvPicPr/>
                  </pic:nvPicPr>
                  <pic:blipFill>
                    <a:blip r:embed="rId6"/>
                    <a:stretch>
                      <a:fillRect/>
                    </a:stretch>
                  </pic:blipFill>
                  <pic:spPr>
                    <a:xfrm rot="0">
                      <a:off x="0" y="0"/>
                      <a:ext cx="1720214" cy="800100"/>
                    </a:xfrm>
                    <a:prstGeom prst="rect"/>
                    <a:noFill/>
                    <a:ln cmpd="sng" cap="flat">
                      <a:noFill/>
                      <a:prstDash val="solid"/>
                      <a:round/>
                    </a:ln>
                  </pic:spPr>
                </pic:pic>
              </a:graphicData>
            </a:graphic>
          </wp:anchor>
        </w:drawing>
      </w:r>
      <w:r>
        <w:rPr>
          <w:rFonts w:eastAsia="黑体" w:hint="eastAsia"/>
          <w:color w:val="auto"/>
          <w:sz w:val="32"/>
          <w:szCs w:val="32"/>
          <w:highlight w:val="none"/>
        </w:rPr>
        <w:t xml:space="preserve">    </w:t>
      </w:r>
      <w:r>
        <w:rPr>
          <w:rFonts w:eastAsia="黑体"/>
          <w:color w:val="auto"/>
          <w:spacing w:val="28"/>
          <w:sz w:val="48"/>
          <w:szCs w:val="48"/>
          <w:highlight w:val="none"/>
        </w:rPr>
        <w:t>广东省工程建设标准</w:t>
      </w:r>
      <w:r>
        <w:rPr>
          <w:rFonts w:eastAsia="黑体"/>
          <w:color w:val="auto"/>
          <w:sz w:val="32"/>
          <w:szCs w:val="32"/>
          <w:highlight w:val="none"/>
        </w:rPr>
        <w:t xml:space="preserve">            </w:t>
      </w:r>
      <w:r>
        <w:rPr>
          <w:rFonts w:hint="eastAsia"/>
          <w:color w:val="auto"/>
          <w:sz w:val="52"/>
          <w:highlight w:val="none"/>
        </w:rPr>
        <w:t xml:space="preserve">   </w:t>
      </w:r>
    </w:p>
    <w:p>
      <w:pPr>
        <w:ind w:firstLineChars="0" w:firstLine="0"/>
        <w:rPr>
          <w:color w:val="auto"/>
          <w:highlight w:val="none"/>
        </w:rPr>
      </w:pPr>
      <w:r>
        <w:rPr>
          <w:color w:val="auto"/>
          <w:highlight w:val="none"/>
        </w:rPr>
        <w:t xml:space="preserve">                              </w:t>
      </w:r>
      <w:bookmarkStart w:id="0" w:name="_Toc337542810"/>
      <w:r>
        <w:rPr>
          <w:rFonts w:hint="eastAsia"/>
          <w:color w:val="auto"/>
          <w:highlight w:val="none"/>
        </w:rPr>
        <w:t xml:space="preserve">                                                        </w:t>
      </w:r>
    </w:p>
    <w:p>
      <w:pPr>
        <w:spacing w:line="400" w:lineRule="exact"/>
        <w:ind w:firstLineChars="0" w:firstLine="0"/>
        <w:textAlignment w:val="auto"/>
        <w:rPr>
          <w:color w:val="auto"/>
          <w:spacing w:val="17"/>
          <w:sz w:val="30"/>
          <w:szCs w:val="30"/>
          <w:highlight w:val="none"/>
        </w:rPr>
      </w:pPr>
      <w:r>
        <w:rPr>
          <w:rFonts w:hint="eastAsia"/>
          <w:color w:val="auto"/>
          <w:highlight w:val="none"/>
        </w:rPr>
        <w:t xml:space="preserve">                                                       </w:t>
      </w:r>
      <w:r>
        <w:rPr>
          <w:color w:val="auto"/>
          <w:spacing w:val="23"/>
          <w:sz w:val="30"/>
          <w:szCs w:val="30"/>
          <w:highlight w:val="none"/>
        </w:rPr>
        <w:t>DBJ</w:t>
      </w:r>
      <w:r>
        <w:rPr>
          <w:rFonts w:hint="eastAsia"/>
          <w:color w:val="auto"/>
          <w:spacing w:val="23"/>
          <w:sz w:val="30"/>
          <w:szCs w:val="30"/>
          <w:highlight w:val="none"/>
        </w:rPr>
        <w:t>/T 15</w:t>
      </w:r>
      <w:r>
        <w:rPr>
          <w:color w:val="auto"/>
          <w:spacing w:val="23"/>
          <w:sz w:val="30"/>
          <w:szCs w:val="30"/>
          <w:highlight w:val="none"/>
        </w:rPr>
        <w:t>-</w:t>
      </w:r>
      <w:r>
        <w:rPr>
          <w:rFonts w:ascii="黑体" w:eastAsia="黑体" w:hAnsi="黑体" w:hint="eastAsia"/>
          <w:color w:val="auto"/>
          <w:sz w:val="28"/>
          <w:szCs w:val="28"/>
          <w:highlight w:val="none"/>
        </w:rPr>
        <w:t>XX</w:t>
      </w:r>
      <w:r>
        <w:rPr>
          <w:color w:val="auto"/>
          <w:spacing w:val="23"/>
          <w:sz w:val="30"/>
          <w:szCs w:val="30"/>
          <w:highlight w:val="none"/>
        </w:rPr>
        <w:t>-</w:t>
      </w:r>
      <w:bookmarkEnd w:id="0"/>
      <w:r>
        <w:rPr>
          <w:color w:val="auto"/>
          <w:sz w:val="30"/>
          <w:szCs w:val="30"/>
          <w:highlight w:val="none"/>
        </w:rPr>
        <w:t>20</w:t>
      </w:r>
      <w:r>
        <w:rPr>
          <w:rFonts w:ascii="黑体" w:eastAsia="黑体" w:hAnsi="黑体" w:hint="eastAsia"/>
          <w:color w:val="auto"/>
          <w:sz w:val="28"/>
          <w:szCs w:val="28"/>
          <w:highlight w:val="none"/>
        </w:rPr>
        <w:t>XX</w:t>
      </w:r>
    </w:p>
    <w:p>
      <w:pPr>
        <w:spacing w:line="400" w:lineRule="exact"/>
        <w:ind w:firstLineChars="0" w:firstLine="0"/>
        <w:textAlignment w:val="auto"/>
        <w:rPr>
          <w:color w:val="auto"/>
          <w:sz w:val="28"/>
          <w:szCs w:val="28"/>
          <w:highlight w:val="none"/>
        </w:rPr>
      </w:pPr>
      <w:r>
        <w:rPr>
          <w:color w:val="auto"/>
          <w:sz w:val="28"/>
          <w:szCs w:val="28"/>
          <w:highlight w:val="none"/>
        </w:rPr>
        <mc:AlternateContent>
          <mc:Choice Requires="wps">
            <w:drawing>
              <wp:anchor distT="0" distB="0" distL="114300" distR="114300" simplePos="0" relativeHeight="251" behindDoc="0" locked="0" layoutInCell="1" hidden="0" allowOverlap="1">
                <wp:simplePos x="0" y="0"/>
                <wp:positionH relativeFrom="column">
                  <wp:posOffset>26034</wp:posOffset>
                </wp:positionH>
                <wp:positionV relativeFrom="paragraph">
                  <wp:posOffset>359410</wp:posOffset>
                </wp:positionV>
                <wp:extent cx="5486400" cy="41910"/>
                <wp:effectExtent l="-9525" t="4444" r="-9525" b="17145"/>
                <wp:wrapNone/>
                <wp:docPr id="72234163" name="直接连接符 4"/>
                <wp:cNvGraphicFramePr>
                  <a:graphicFrameLocks noChangeAspect="0"/>
                </wp:cNvGraphicFramePr>
                <a:graphic>
                  <a:graphicData uri="http://schemas.microsoft.com/office/word/2010/wordprocessingShape">
                    <wps:wsp>
                      <wps:cNvSpPr/>
                      <wps:spPr>
                        <a:xfrm flipV="1" rot="21600000">
                          <a:off x="0" y="0"/>
                          <a:ext cx="5486400" cy="41910"/>
                        </a:xfrm>
                        <a:prstGeom prst="line"/>
                        <a:noFill/>
                        <a:ln w="9525" cmpd="sng" cap="flat">
                          <a:solidFill>
                            <a:srgbClr val="000000"/>
                          </a:solidFill>
                          <a:prstDash val="solid"/>
                          <a:round/>
                        </a:ln>
                      </wps:spPr>
                      <wps:bodyPr vert="horz" wrap="square" lIns="91440" tIns="45720" rIns="91440" bIns="45720" anchor="t" anchorCtr="0" upright="0">
                        <a:noAutofit/>
                      </wps:bodyPr>
                    </wps:wsp>
                  </a:graphicData>
                </a:graphic>
              </wp:anchor>
            </w:drawing>
          </mc:Choice>
          <mc:Fallback>
            <w:pict>
              <v:line type="#_x0000_t20" id="直接连接符 4" o:spid="_x0000_s7" from="2.05pt,28.3pt" to="434.05pt,31.6pt" filled="f" stroked="t" style="position:absolute;flip:y;z-index:251;mso-position-horizontal:absolute;mso-position-vertical:absolute;visibility:visible;">
                <v:stroke color="#000000"/>
              </v:line>
            </w:pict>
          </mc:Fallback>
        </mc:AlternateContent>
      </w:r>
      <w:r>
        <w:rPr>
          <w:rFonts w:hint="eastAsia"/>
          <w:color w:val="auto"/>
          <w:sz w:val="28"/>
          <w:szCs w:val="28"/>
          <w:highlight w:val="none"/>
        </w:rPr>
        <w:t xml:space="preserve">                                        </w:t>
      </w:r>
      <w:r>
        <w:rPr>
          <w:rFonts w:ascii="黑体" w:eastAsia="黑体" w:hAnsi="黑体" w:hint="eastAsia"/>
          <w:color w:val="auto"/>
          <w:sz w:val="28"/>
          <w:szCs w:val="28"/>
          <w:highlight w:val="none"/>
        </w:rPr>
        <w:t>备案号 J XXXXX-20XX</w:t>
      </w:r>
    </w:p>
    <w:p>
      <w:pPr>
        <w:ind w:firstLineChars="0" w:firstLine="0"/>
        <w:jc w:val="center"/>
        <w:rPr>
          <w:rFonts w:ascii="宋体" w:hAnsi="宋体" w:hint="eastAsia"/>
          <w:b/>
          <w:color w:val="auto"/>
          <w:sz w:val="48"/>
          <w:szCs w:val="48"/>
          <w:highlight w:val="none"/>
        </w:rPr>
      </w:pPr>
    </w:p>
    <w:p>
      <w:pPr>
        <w:ind w:firstLineChars="0" w:firstLine="0"/>
        <w:jc w:val="center"/>
        <w:outlineLvl w:val="0"/>
        <w:rPr>
          <w:rFonts w:ascii="宋体" w:hAnsi="宋体" w:hint="eastAsia"/>
          <w:b/>
          <w:color w:val="auto"/>
          <w:sz w:val="48"/>
          <w:szCs w:val="48"/>
          <w:highlight w:val="none"/>
        </w:rPr>
      </w:pPr>
      <w:bookmarkStart w:id="1" w:name="_Toc375640674"/>
    </w:p>
    <w:p>
      <w:pPr>
        <w:ind w:firstLineChars="0" w:firstLine="0"/>
        <w:jc w:val="center"/>
        <w:rPr>
          <w:color w:val="auto"/>
          <w:highlight w:val="none"/>
        </w:rPr>
      </w:pPr>
      <w:bookmarkEnd w:id="1"/>
      <w:r>
        <w:rPr>
          <w:rFonts w:ascii="宋体" w:hAnsi="宋体" w:hint="eastAsia"/>
          <w:b/>
          <w:color w:val="auto"/>
          <w:sz w:val="48"/>
          <w:szCs w:val="48"/>
          <w:highlight w:val="none"/>
        </w:rPr>
        <w:t>装配式桥梁构件连接检测与评定标准</w:t>
      </w:r>
    </w:p>
    <w:p>
      <w:pPr>
        <w:ind w:firstLineChars="0" w:firstLine="0"/>
        <w:jc w:val="center"/>
        <w:rPr>
          <w:b/>
          <w:color w:val="auto"/>
          <w:sz w:val="28"/>
          <w:szCs w:val="28"/>
          <w:highlight w:val="none"/>
        </w:rPr>
      </w:pPr>
      <w:r>
        <w:rPr>
          <w:b/>
          <w:color w:val="auto"/>
          <w:sz w:val="28"/>
          <w:szCs w:val="28"/>
          <w:highlight w:val="none"/>
        </w:rPr>
        <w:t>Standard for inspection and assessment of connection in</w:t>
      </w:r>
    </w:p>
    <w:p>
      <w:pPr>
        <w:ind w:firstLineChars="0" w:firstLine="0"/>
        <w:jc w:val="center"/>
        <w:rPr>
          <w:b/>
          <w:color w:val="auto"/>
          <w:sz w:val="28"/>
          <w:szCs w:val="28"/>
          <w:highlight w:val="none"/>
        </w:rPr>
      </w:pPr>
      <w:r>
        <w:rPr>
          <w:b/>
          <w:color w:val="auto"/>
          <w:sz w:val="28"/>
          <w:szCs w:val="28"/>
          <w:highlight w:val="none"/>
        </w:rPr>
        <w:t>fabricated bridge components</w:t>
      </w:r>
    </w:p>
    <w:p>
      <w:pPr>
        <w:ind w:firstLineChars="0" w:firstLine="0"/>
        <w:jc w:val="center"/>
        <w:rPr>
          <w:b/>
          <w:color w:val="auto"/>
          <w:sz w:val="30"/>
          <w:szCs w:val="30"/>
          <w:highlight w:val="none"/>
        </w:rPr>
      </w:pPr>
      <w:r>
        <w:rPr>
          <w:rFonts w:hint="eastAsia"/>
          <w:b/>
          <w:color w:val="auto"/>
          <w:sz w:val="30"/>
          <w:szCs w:val="30"/>
          <w:highlight w:val="none"/>
        </w:rPr>
        <w:t>(</w:t>
      </w:r>
      <w:r>
        <w:rPr>
          <w:rFonts w:cs="Times New Roman" w:hint="eastAsia"/>
          <w:b/>
          <w:bCs/>
          <w:color w:val="auto"/>
          <w:sz w:val="32"/>
          <w:lang w:val="en-US" w:eastAsia="zh-CN"/>
          <w:highlight w:val="none"/>
        </w:rPr>
        <w:t>征求意见稿</w:t>
      </w:r>
      <w:r>
        <w:rPr>
          <w:rFonts w:hint="eastAsia"/>
          <w:b/>
          <w:color w:val="auto"/>
          <w:sz w:val="30"/>
          <w:szCs w:val="30"/>
          <w:highlight w:val="none"/>
        </w:rPr>
        <w:t>)</w:t>
      </w:r>
    </w:p>
    <w:p>
      <w:pPr>
        <w:ind w:firstLineChars="0" w:firstLine="0"/>
        <w:rPr>
          <w:color w:val="auto"/>
          <w:highlight w:val="none"/>
        </w:rPr>
      </w:pPr>
    </w:p>
    <w:p>
      <w:pPr>
        <w:ind w:firstLineChars="0" w:firstLine="0"/>
        <w:rPr>
          <w:color w:val="auto"/>
          <w:highlight w:val="none"/>
        </w:rPr>
      </w:pPr>
    </w:p>
    <w:p>
      <w:pPr>
        <w:ind w:firstLineChars="0" w:firstLine="0"/>
        <w:rPr>
          <w:color w:val="auto"/>
          <w:highlight w:val="none"/>
        </w:rPr>
      </w:pPr>
    </w:p>
    <w:p>
      <w:pPr>
        <w:ind w:firstLineChars="0" w:firstLine="0"/>
        <w:rPr>
          <w:color w:val="auto"/>
          <w:highlight w:val="none"/>
        </w:rPr>
      </w:pPr>
    </w:p>
    <w:p>
      <w:pPr>
        <w:ind w:firstLineChars="0" w:firstLine="0"/>
        <w:rPr>
          <w:color w:val="auto"/>
          <w:highlight w:val="none"/>
        </w:rPr>
      </w:pPr>
    </w:p>
    <w:p>
      <w:pPr>
        <w:ind w:firstLineChars="0" w:firstLine="0"/>
        <w:rPr>
          <w:color w:val="auto"/>
          <w:highlight w:val="none"/>
        </w:rPr>
      </w:pPr>
    </w:p>
    <w:p>
      <w:pPr>
        <w:ind w:firstLineChars="0" w:firstLine="0"/>
        <w:rPr>
          <w:color w:val="auto"/>
          <w:highlight w:val="none"/>
        </w:rPr>
      </w:pPr>
    </w:p>
    <w:p>
      <w:pPr>
        <w:ind w:firstLineChars="0" w:firstLine="0"/>
        <w:rPr>
          <w:color w:val="auto"/>
          <w:highlight w:val="none"/>
        </w:rPr>
      </w:pPr>
    </w:p>
    <w:p>
      <w:pPr>
        <w:ind w:firstLineChars="0" w:firstLine="0"/>
        <w:rPr>
          <w:color w:val="auto"/>
          <w:highlight w:val="none"/>
        </w:rPr>
      </w:pPr>
    </w:p>
    <w:p>
      <w:pPr>
        <w:ind w:firstLineChars="0" w:firstLine="0"/>
        <w:rPr>
          <w:color w:val="auto"/>
          <w:highlight w:val="none"/>
        </w:rPr>
      </w:pPr>
    </w:p>
    <w:p>
      <w:pPr>
        <w:ind w:firstLineChars="0" w:firstLine="0"/>
        <w:rPr>
          <w:rFonts w:eastAsia="黑体"/>
          <w:color w:val="auto"/>
          <w:sz w:val="28"/>
          <w:szCs w:val="28"/>
          <w:highlight w:val="none"/>
        </w:rPr>
      </w:pPr>
      <w:r>
        <w:rPr>
          <w:b/>
          <w:bCs/>
          <w:color w:val="auto"/>
          <w:sz w:val="32"/>
          <w:highlight w:val="none"/>
        </w:rPr>
        <w:t xml:space="preserve">  </w:t>
      </w:r>
      <w:r>
        <w:rPr>
          <w:rFonts w:eastAsia="黑体"/>
          <w:color w:val="auto"/>
          <w:sz w:val="28"/>
          <w:szCs w:val="28"/>
          <w:highlight w:val="none"/>
        </w:rPr>
        <w:t>20</w:t>
      </w:r>
      <w:r>
        <w:rPr>
          <w:rFonts w:eastAsia="黑体" w:hint="eastAsia"/>
          <w:color w:val="auto"/>
          <w:sz w:val="28"/>
          <w:szCs w:val="28"/>
          <w:highlight w:val="none"/>
        </w:rPr>
        <w:t>2</w:t>
      </w:r>
      <w:r>
        <w:rPr>
          <w:rFonts w:ascii="黑体" w:eastAsia="黑体" w:hAnsi="黑体" w:hint="eastAsia"/>
          <w:color w:val="auto"/>
          <w:sz w:val="28"/>
          <w:szCs w:val="28"/>
          <w:highlight w:val="none"/>
        </w:rPr>
        <w:t>X</w:t>
      </w:r>
      <w:r>
        <w:rPr>
          <w:rFonts w:eastAsia="黑体"/>
          <w:color w:val="auto"/>
          <w:sz w:val="28"/>
          <w:szCs w:val="28"/>
          <w:highlight w:val="none"/>
        </w:rPr>
        <w:t>-</w:t>
      </w:r>
      <w:r>
        <w:rPr>
          <w:rFonts w:ascii="黑体" w:eastAsia="黑体" w:hAnsi="黑体" w:hint="eastAsia"/>
          <w:color w:val="auto"/>
          <w:sz w:val="28"/>
          <w:szCs w:val="28"/>
          <w:highlight w:val="none"/>
        </w:rPr>
        <w:t>XX</w:t>
      </w:r>
      <w:r>
        <w:rPr>
          <w:rFonts w:eastAsia="黑体"/>
          <w:color w:val="auto"/>
          <w:sz w:val="28"/>
          <w:szCs w:val="28"/>
          <w:highlight w:val="none"/>
        </w:rPr>
        <w:t>-</w:t>
      </w:r>
      <w:r>
        <w:rPr>
          <w:rFonts w:ascii="黑体" w:eastAsia="黑体" w:hAnsi="黑体" w:hint="eastAsia"/>
          <w:color w:val="auto"/>
          <w:sz w:val="28"/>
          <w:szCs w:val="28"/>
          <w:highlight w:val="none"/>
        </w:rPr>
        <w:t>XX</w:t>
      </w:r>
      <w:r>
        <w:rPr>
          <w:rFonts w:eastAsia="黑体"/>
          <w:color w:val="auto"/>
          <w:sz w:val="28"/>
          <w:szCs w:val="28"/>
          <w:highlight w:val="none"/>
        </w:rPr>
        <w:t xml:space="preserve">  发布                   </w:t>
      </w:r>
      <w:r>
        <w:rPr>
          <w:rFonts w:eastAsia="黑体" w:hint="eastAsia"/>
          <w:color w:val="auto"/>
          <w:sz w:val="28"/>
          <w:szCs w:val="28"/>
          <w:highlight w:val="none"/>
        </w:rPr>
        <w:t xml:space="preserve">         </w:t>
      </w:r>
      <w:r>
        <w:rPr>
          <w:rFonts w:eastAsia="黑体"/>
          <w:color w:val="auto"/>
          <w:sz w:val="28"/>
          <w:szCs w:val="28"/>
          <w:highlight w:val="none"/>
        </w:rPr>
        <w:t>20</w:t>
      </w:r>
      <w:r>
        <w:rPr>
          <w:rFonts w:eastAsia="黑体" w:hint="eastAsia"/>
          <w:color w:val="auto"/>
          <w:sz w:val="28"/>
          <w:szCs w:val="28"/>
          <w:highlight w:val="none"/>
        </w:rPr>
        <w:t>2</w:t>
      </w:r>
      <w:r>
        <w:rPr>
          <w:rFonts w:ascii="黑体" w:eastAsia="黑体" w:hAnsi="黑体" w:hint="eastAsia"/>
          <w:color w:val="auto"/>
          <w:sz w:val="28"/>
          <w:szCs w:val="28"/>
          <w:highlight w:val="none"/>
        </w:rPr>
        <w:t>X</w:t>
      </w:r>
      <w:r>
        <w:rPr>
          <w:rFonts w:eastAsia="黑体"/>
          <w:color w:val="auto"/>
          <w:sz w:val="28"/>
          <w:szCs w:val="28"/>
          <w:highlight w:val="none"/>
        </w:rPr>
        <w:t>-</w:t>
      </w:r>
      <w:r>
        <w:rPr>
          <w:rFonts w:ascii="黑体" w:eastAsia="黑体" w:hAnsi="黑体" w:hint="eastAsia"/>
          <w:color w:val="auto"/>
          <w:sz w:val="28"/>
          <w:szCs w:val="28"/>
          <w:highlight w:val="none"/>
        </w:rPr>
        <w:t>XX</w:t>
      </w:r>
      <w:r>
        <w:rPr>
          <w:rFonts w:eastAsia="黑体"/>
          <w:color w:val="auto"/>
          <w:sz w:val="28"/>
          <w:szCs w:val="28"/>
          <w:highlight w:val="none"/>
        </w:rPr>
        <w:t>-</w:t>
      </w:r>
      <w:r>
        <w:rPr>
          <w:rFonts w:ascii="黑体" w:eastAsia="黑体" w:hAnsi="黑体" w:hint="eastAsia"/>
          <w:color w:val="auto"/>
          <w:sz w:val="28"/>
          <w:szCs w:val="28"/>
          <w:highlight w:val="none"/>
        </w:rPr>
        <w:t>XX</w:t>
      </w:r>
      <w:r>
        <w:rPr>
          <w:rFonts w:eastAsia="黑体" w:hint="eastAsia"/>
          <w:color w:val="auto"/>
          <w:sz w:val="28"/>
          <w:szCs w:val="28"/>
          <w:highlight w:val="none"/>
        </w:rPr>
        <w:t xml:space="preserve">  </w:t>
      </w:r>
      <w:r>
        <w:rPr>
          <w:rFonts w:eastAsia="黑体"/>
          <w:color w:val="auto"/>
          <w:sz w:val="28"/>
          <w:szCs w:val="28"/>
          <w:highlight w:val="none"/>
        </w:rPr>
        <w:t>实施</w:t>
      </w:r>
    </w:p>
    <w:p>
      <w:pPr>
        <w:tabs>
          <w:tab w:val="left" w:pos="8235"/>
        </w:tabs>
        <w:ind w:firstLineChars="0" w:firstLine="0"/>
        <w:rPr>
          <w:rFonts w:eastAsia="黑体"/>
          <w:b/>
          <w:color w:val="auto"/>
          <w:sz w:val="28"/>
          <w:szCs w:val="28"/>
          <w:highlight w:val="none"/>
        </w:rPr>
      </w:pPr>
      <w:r>
        <w:rPr>
          <w:rFonts w:eastAsia="黑体"/>
          <w:b/>
          <w:color w:val="auto"/>
          <w:sz w:val="28"/>
          <w:szCs w:val="28"/>
          <w:highlight w:val="none"/>
        </w:rPr>
        <mc:AlternateContent>
          <mc:Choice Requires="wps">
            <w:drawing>
              <wp:anchor distT="0" distB="0" distL="114300" distR="114300" simplePos="0" relativeHeight="253" behindDoc="0" locked="0" layoutInCell="1" hidden="0" allowOverlap="1">
                <wp:simplePos x="0" y="0"/>
                <wp:positionH relativeFrom="column">
                  <wp:posOffset>0</wp:posOffset>
                </wp:positionH>
                <wp:positionV relativeFrom="paragraph">
                  <wp:posOffset>55880</wp:posOffset>
                </wp:positionV>
                <wp:extent cx="5600700" cy="26670"/>
                <wp:effectExtent l="-9525" t="4444" r="-9525" b="6985"/>
                <wp:wrapNone/>
                <wp:docPr id="688168597" name="直接连接符 3"/>
                <wp:cNvGraphicFramePr>
                  <a:graphicFrameLocks noChangeAspect="0"/>
                </wp:cNvGraphicFramePr>
                <a:graphic>
                  <a:graphicData uri="http://schemas.microsoft.com/office/word/2010/wordprocessingShape">
                    <wps:wsp>
                      <wps:cNvSpPr/>
                      <wps:spPr>
                        <a:xfrm rot="0">
                          <a:off x="0" y="0"/>
                          <a:ext cx="5600700" cy="26670"/>
                        </a:xfrm>
                        <a:prstGeom prst="line"/>
                        <a:noFill/>
                        <a:ln w="9525" cmpd="sng" cap="flat">
                          <a:solidFill>
                            <a:srgbClr val="000000"/>
                          </a:solidFill>
                          <a:prstDash val="solid"/>
                          <a:round/>
                        </a:ln>
                      </wps:spPr>
                      <wps:bodyPr vert="horz" wrap="square" lIns="91440" tIns="45720" rIns="91440" bIns="45720" anchor="t" anchorCtr="0" upright="0">
                        <a:noAutofit/>
                      </wps:bodyPr>
                    </wps:wsp>
                  </a:graphicData>
                </a:graphic>
              </wp:anchor>
            </w:drawing>
          </mc:Choice>
          <mc:Fallback>
            <w:pict>
              <v:line type="#_x0000_t20" id="直接连接符 3" o:spid="_x0000_s8" from="0.0pt,4.4pt" to="441.0pt,6.5pt" filled="f" stroked="t" style="position:absolute;z-index:253;mso-position-horizontal:absolute;mso-position-vertical:absolute;visibility:visible;">
                <v:stroke color="#000000"/>
              </v:line>
            </w:pict>
          </mc:Fallback>
        </mc:AlternateContent>
      </w:r>
      <w:r>
        <w:rPr>
          <w:rFonts w:eastAsia="黑体"/>
          <w:b/>
          <w:color w:val="auto"/>
          <w:sz w:val="28"/>
          <w:szCs w:val="28"/>
          <w:highlight w:val="none"/>
        </w:rPr>
        <w:tab/>
      </w:r>
    </w:p>
    <w:p>
      <w:pPr>
        <w:ind w:firstLineChars="0" w:firstLine="0"/>
        <w:jc w:val="center"/>
        <w:rPr>
          <w:color w:val="auto"/>
          <w:highlight w:val="none"/>
        </w:rPr>
      </w:pPr>
      <w:r>
        <w:rPr>
          <w:rFonts w:eastAsia="黑体"/>
          <w:color w:val="auto"/>
          <w:sz w:val="32"/>
          <w:szCs w:val="32"/>
          <w:highlight w:val="none"/>
        </w:rPr>
        <w:t>广东省住房和城乡建设厅</w:t>
      </w:r>
      <w:r>
        <w:rPr>
          <w:rFonts w:eastAsia="黑体"/>
          <w:color w:val="auto"/>
          <w:spacing w:val="20"/>
          <w:sz w:val="28"/>
          <w:szCs w:val="28"/>
          <w:highlight w:val="none"/>
        </w:rPr>
        <w:t xml:space="preserve">  </w:t>
      </w:r>
      <w:r>
        <w:rPr>
          <w:rFonts w:eastAsia="黑体"/>
          <w:color w:val="auto"/>
          <w:spacing w:val="20"/>
          <w:sz w:val="32"/>
          <w:szCs w:val="32"/>
          <w:highlight w:val="none"/>
        </w:rPr>
        <w:t>发布</w:t>
      </w:r>
    </w:p>
    <w:p>
      <w:pPr>
        <w:ind w:firstLineChars="0" w:firstLine="0"/>
        <w:jc w:val="right"/>
        <w:rPr>
          <w:color w:val="auto"/>
          <w:highlight w:val="none"/>
        </w:rPr>
      </w:pPr>
    </w:p>
    <w:p>
      <w:pPr>
        <w:ind w:firstLineChars="0" w:firstLine="0"/>
        <w:jc w:val="right"/>
        <w:rPr>
          <w:color w:val="auto"/>
          <w:highlight w:val="none"/>
        </w:rPr>
      </w:pPr>
      <w:r>
        <w:rPr>
          <w:rFonts w:hint="eastAsia"/>
          <w:color w:val="auto"/>
          <w:highlight w:val="none"/>
        </w:rPr>
        <w:t>本标准不涉及专利</w:t>
      </w:r>
    </w:p>
    <w:p>
      <w:pPr>
        <w:ind w:firstLineChars="0" w:firstLine="0"/>
        <w:rPr>
          <w:rFonts w:cs="Times New Roman"/>
          <w:color w:val="auto"/>
          <w:sz w:val="28"/>
          <w:highlight w:val="none"/>
        </w:rPr>
      </w:pPr>
    </w:p>
    <w:p>
      <w:pPr>
        <w:ind w:firstLineChars="0" w:firstLine="0"/>
        <w:jc w:val="center"/>
        <w:rPr>
          <w:rFonts w:eastAsia="黑体" w:cs="Times New Roman"/>
          <w:b/>
          <w:color w:val="auto"/>
          <w:sz w:val="32"/>
          <w:szCs w:val="32"/>
          <w:highlight w:val="none"/>
        </w:rPr>
      </w:pPr>
    </w:p>
    <w:p>
      <w:pPr>
        <w:ind w:firstLineChars="0" w:firstLine="0"/>
        <w:jc w:val="center"/>
        <w:rPr>
          <w:rFonts w:eastAsia="黑体" w:cs="Times New Roman"/>
          <w:color w:val="auto"/>
          <w:sz w:val="32"/>
          <w:szCs w:val="32"/>
          <w:highlight w:val="none"/>
        </w:rPr>
      </w:pPr>
      <w:r>
        <w:rPr>
          <w:rFonts w:eastAsia="黑体" w:cs="Times New Roman"/>
          <w:color w:val="auto"/>
          <w:sz w:val="32"/>
          <w:szCs w:val="32"/>
          <w:highlight w:val="none"/>
        </w:rPr>
        <w:t>前　　言</w:t>
      </w:r>
    </w:p>
    <w:p>
      <w:pPr>
        <w:rPr>
          <w:rFonts w:cs="Times New Roman"/>
          <w:color w:val="auto"/>
          <w:highlight w:val="none"/>
        </w:rPr>
      </w:pPr>
    </w:p>
    <w:p>
      <w:pPr>
        <w:rPr>
          <w:rFonts w:cs="Times New Roman"/>
          <w:color w:val="auto"/>
          <w:highlight w:val="none"/>
        </w:rPr>
      </w:pPr>
      <w:r>
        <w:rPr>
          <w:rFonts w:cs="Times New Roman" w:hint="eastAsia"/>
          <w:color w:val="auto"/>
          <w:highlight w:val="none"/>
        </w:rPr>
        <w:t>《装配式桥梁构件连接检测与评定标准》（以下简称“标准”）</w:t>
      </w:r>
      <w:r>
        <w:rPr>
          <w:rFonts w:cs="Times New Roman"/>
          <w:color w:val="auto"/>
          <w:highlight w:val="none"/>
        </w:rPr>
        <w:t>根据</w:t>
      </w:r>
      <w:r>
        <w:rPr>
          <w:rFonts w:cs="Times New Roman"/>
          <w:color w:val="auto"/>
          <w:lang w:eastAsia="zh-CN"/>
          <w:highlight w:val="none"/>
        </w:rPr>
        <w:t>《</w:t>
      </w:r>
      <w:r>
        <w:rPr>
          <w:rFonts w:cs="Times New Roman"/>
          <w:color w:val="auto"/>
          <w:highlight w:val="none"/>
        </w:rPr>
        <w:t>⼴东省住房和城乡建设厅关于发布</w:t>
      </w:r>
      <w:r>
        <w:rPr>
          <w:rFonts w:cs="Times New Roman"/>
          <w:color w:val="auto"/>
          <w:lang w:val="en-US" w:eastAsia="zh-CN"/>
          <w:highlight w:val="none"/>
        </w:rPr>
        <w:t>&lt;</w:t>
      </w:r>
      <w:r>
        <w:rPr>
          <w:rFonts w:cs="Times New Roman"/>
          <w:color w:val="auto"/>
          <w:highlight w:val="none"/>
        </w:rPr>
        <w:t>2025年⼴东省⼯程建设标准制订修订计划</w:t>
      </w:r>
      <w:r>
        <w:rPr>
          <w:rFonts w:cs="Times New Roman"/>
          <w:color w:val="auto"/>
          <w:lang w:val="en-US" w:eastAsia="zh-CN"/>
          <w:highlight w:val="none"/>
        </w:rPr>
        <w:t>&gt;</w:t>
      </w:r>
      <w:r>
        <w:rPr>
          <w:rFonts w:cs="Times New Roman"/>
          <w:color w:val="auto"/>
          <w:highlight w:val="none"/>
        </w:rPr>
        <w:t>的通知</w:t>
      </w:r>
      <w:r>
        <w:rPr>
          <w:rFonts w:cs="Times New Roman"/>
          <w:color w:val="auto"/>
          <w:lang w:eastAsia="zh-CN"/>
          <w:highlight w:val="none"/>
        </w:rPr>
        <w:t>》</w:t>
      </w:r>
      <w:r>
        <w:rPr>
          <w:rFonts w:cs="Times New Roman"/>
          <w:color w:val="auto"/>
          <w:highlight w:val="none"/>
        </w:rPr>
        <w:t>（粤建科〔2025〕131号）</w:t>
      </w:r>
      <w:r>
        <w:rPr>
          <w:rFonts w:cs="Times New Roman"/>
          <w:color w:val="auto"/>
          <w:highlight w:val="none"/>
        </w:rPr>
        <w:t>的要求</w:t>
      </w:r>
      <w:r>
        <w:rPr>
          <w:rFonts w:cs="Times New Roman" w:hint="eastAsia"/>
          <w:color w:val="auto"/>
          <w:highlight w:val="none"/>
        </w:rPr>
        <w:t>进行编制。</w:t>
      </w:r>
      <w:r>
        <w:rPr>
          <w:rFonts w:cs="Times New Roman"/>
          <w:color w:val="auto"/>
          <w:highlight w:val="none"/>
        </w:rPr>
        <w:t>编制组经深入调查研究</w:t>
      </w:r>
      <w:r>
        <w:rPr>
          <w:rFonts w:cs="Times New Roman" w:hint="eastAsia"/>
          <w:color w:val="auto"/>
          <w:highlight w:val="none"/>
        </w:rPr>
        <w:t>，</w:t>
      </w:r>
      <w:r>
        <w:rPr>
          <w:rFonts w:cs="Times New Roman"/>
          <w:color w:val="auto"/>
          <w:highlight w:val="none"/>
        </w:rPr>
        <w:t>总结实践经验</w:t>
      </w:r>
      <w:r>
        <w:rPr>
          <w:rFonts w:cs="Times New Roman" w:hint="eastAsia"/>
          <w:color w:val="auto"/>
          <w:highlight w:val="none"/>
        </w:rPr>
        <w:t>，</w:t>
      </w:r>
      <w:r>
        <w:rPr>
          <w:rFonts w:cs="Times New Roman"/>
          <w:color w:val="auto"/>
          <w:highlight w:val="none"/>
        </w:rPr>
        <w:t>参考国内外先进标准，并在广泛征求意见的基础上，</w:t>
      </w:r>
      <w:r>
        <w:rPr>
          <w:rFonts w:cs="Times New Roman" w:hint="eastAsia"/>
          <w:color w:val="auto"/>
          <w:highlight w:val="none"/>
        </w:rPr>
        <w:t>制定</w:t>
      </w:r>
      <w:r>
        <w:rPr>
          <w:rFonts w:cs="Times New Roman"/>
          <w:color w:val="auto"/>
          <w:highlight w:val="none"/>
        </w:rPr>
        <w:t>本标准。</w:t>
      </w:r>
    </w:p>
    <w:p>
      <w:pPr>
        <w:rPr>
          <w:rFonts w:cs="Times New Roman"/>
          <w:color w:val="auto"/>
          <w:highlight w:val="none"/>
        </w:rPr>
      </w:pPr>
      <w:r>
        <w:rPr>
          <w:rFonts w:cs="Times New Roman"/>
          <w:color w:val="auto"/>
          <w:highlight w:val="none"/>
        </w:rPr>
        <w:t>本标准共分1</w:t>
      </w:r>
      <w:r>
        <w:rPr>
          <w:rFonts w:cs="Times New Roman" w:hint="eastAsia"/>
          <w:color w:val="auto"/>
          <w:lang w:val="en-US" w:eastAsia="zh-CN"/>
          <w:highlight w:val="none"/>
        </w:rPr>
        <w:t>7</w:t>
      </w:r>
      <w:r>
        <w:rPr>
          <w:rFonts w:cs="Times New Roman"/>
          <w:color w:val="auto"/>
          <w:highlight w:val="none"/>
        </w:rPr>
        <w:t>章和</w:t>
      </w:r>
      <w:r>
        <w:rPr>
          <w:rFonts w:cs="Times New Roman" w:hint="eastAsia"/>
          <w:color w:val="auto"/>
          <w:lang w:val="en-US" w:eastAsia="zh-CN"/>
          <w:highlight w:val="none"/>
        </w:rPr>
        <w:t>13</w:t>
      </w:r>
      <w:r>
        <w:rPr>
          <w:rFonts w:cs="Times New Roman"/>
          <w:color w:val="auto"/>
          <w:highlight w:val="none"/>
        </w:rPr>
        <w:t>个附录，主要技术内容包括：总则、术语和符号、基本规定、内窥镜法、阻尼传感器法、芯片法、电阻率法、电容法、压电法、压力传感器法、预埋钢丝拉拔法、</w:t>
      </w:r>
      <w:r>
        <w:rPr>
          <w:rFonts w:cs="Times New Roman" w:hint="eastAsia"/>
          <w:color w:val="auto"/>
          <w:highlight w:val="none"/>
        </w:rPr>
        <w:t>非金属</w:t>
      </w:r>
      <w:r>
        <w:rPr>
          <w:rFonts w:cs="Times New Roman"/>
          <w:color w:val="auto"/>
          <w:highlight w:val="none"/>
        </w:rPr>
        <w:t>超声波法、冲击回波法、</w:t>
      </w:r>
      <w:r>
        <w:rPr>
          <w:rFonts w:cs="Times New Roman" w:hint="eastAsia"/>
          <w:color w:val="auto"/>
          <w:highlight w:val="none"/>
        </w:rPr>
        <w:t>复拉法、</w:t>
      </w:r>
      <w:r>
        <w:rPr>
          <w:rFonts w:cs="Times New Roman" w:hint="eastAsia"/>
          <w:color w:val="auto"/>
          <w:lang w:val="en-US" w:eastAsia="zh-CN"/>
          <w:highlight w:val="none"/>
        </w:rPr>
        <w:t>水洗法、</w:t>
      </w:r>
      <w:r>
        <w:rPr>
          <w:rFonts w:cs="Times New Roman" w:hint="eastAsia"/>
          <w:color w:val="auto"/>
          <w:highlight w:val="none"/>
        </w:rPr>
        <w:t>射钉</w:t>
      </w:r>
      <w:r>
        <w:rPr>
          <w:rFonts w:cs="Times New Roman"/>
          <w:color w:val="auto"/>
          <w:highlight w:val="none"/>
        </w:rPr>
        <w:t>法、钢结构连接检测方法等。</w:t>
      </w:r>
    </w:p>
    <w:p>
      <w:pPr>
        <w:rPr>
          <w:rFonts w:cs="Times New Roman"/>
          <w:color w:val="auto"/>
          <w:highlight w:val="none"/>
        </w:rPr>
      </w:pPr>
      <w:r>
        <w:rPr>
          <w:rFonts w:ascii="Times New Roman" w:eastAsia="宋体" w:cs="Times New Roman" w:hAnsi="Times New Roman" w:hint="eastAsia"/>
          <w:color w:val="auto"/>
          <w:highlight w:val="none"/>
        </w:rPr>
        <w:t>本标准不涉及专利</w:t>
      </w:r>
      <w:r>
        <w:rPr>
          <w:rFonts w:cs="Times New Roman" w:hint="eastAsia"/>
          <w:color w:val="auto"/>
          <w:lang w:eastAsia="zh-CN"/>
          <w:highlight w:val="none"/>
        </w:rPr>
        <w:t>，</w:t>
      </w:r>
      <w:r>
        <w:rPr>
          <w:rFonts w:cs="Times New Roman"/>
          <w:color w:val="auto"/>
          <w:highlight w:val="none"/>
        </w:rPr>
        <w:t>本标</w:t>
      </w:r>
      <w:r>
        <w:rPr>
          <w:rFonts w:cs="Times New Roman" w:hint="eastAsia"/>
          <w:color w:val="auto"/>
          <w:highlight w:val="none"/>
        </w:rPr>
        <w:t>准由</w:t>
      </w:r>
      <w:r>
        <w:rPr>
          <w:rFonts w:cs="Times New Roman" w:hint="eastAsia"/>
          <w:color w:val="auto"/>
          <w:lang w:val="en-US" w:eastAsia="zh-CN"/>
          <w:highlight w:val="none"/>
        </w:rPr>
        <w:t>广东省住房和城乡建设厅负责</w:t>
      </w:r>
      <w:r>
        <w:rPr>
          <w:rFonts w:cs="Times New Roman"/>
          <w:color w:val="auto"/>
          <w:highlight w:val="none"/>
        </w:rPr>
        <w:t>管理，由广州市市政集团有限公司负责具体技术内容的解释。执行过程中如有意见或建议</w:t>
      </w:r>
      <w:r>
        <w:rPr>
          <w:rFonts w:cs="Times New Roman" w:hint="eastAsia"/>
          <w:color w:val="auto"/>
          <w:highlight w:val="none"/>
        </w:rPr>
        <w:t>，</w:t>
      </w:r>
      <w:r>
        <w:rPr>
          <w:rFonts w:cs="Times New Roman"/>
          <w:color w:val="auto"/>
          <w:highlight w:val="none"/>
        </w:rPr>
        <w:t>请反馈</w:t>
      </w:r>
      <w:r>
        <w:rPr>
          <w:rFonts w:cs="Times New Roman" w:hint="eastAsia"/>
          <w:color w:val="auto"/>
          <w:highlight w:val="none"/>
        </w:rPr>
        <w:t>至</w:t>
      </w:r>
      <w:r>
        <w:rPr>
          <w:rFonts w:cs="Times New Roman"/>
          <w:color w:val="auto"/>
          <w:highlight w:val="none"/>
        </w:rPr>
        <w:t>广州市市政集团有限公司</w:t>
      </w:r>
      <w:r>
        <w:rPr>
          <w:rFonts w:cs="Times New Roman" w:hint="eastAsia"/>
          <w:color w:val="auto"/>
          <w:highlight w:val="none"/>
        </w:rPr>
        <w:t>（</w:t>
      </w:r>
      <w:r>
        <w:rPr>
          <w:rFonts w:cs="Times New Roman"/>
          <w:color w:val="auto"/>
          <w:highlight w:val="none"/>
        </w:rPr>
        <w:t>地址：广东省广州市越秀区环市东路338号银政大厦，邮政编码：510060，邮箱：</w:t>
      </w:r>
      <w:r>
        <w:rPr>
          <w:rFonts w:cs="Times New Roman" w:hint="eastAsia"/>
          <w:color w:val="auto"/>
          <w:lang w:val="en-US" w:eastAsia="zh-CN"/>
          <w:highlight w:val="none"/>
        </w:rPr>
        <w:t>****</w:t>
      </w:r>
      <w:r>
        <w:rPr>
          <w:rFonts w:cs="Times New Roman" w:hint="eastAsia"/>
          <w:color w:val="auto"/>
          <w:highlight w:val="none"/>
        </w:rPr>
        <w:t>）</w:t>
      </w:r>
      <w:r>
        <w:rPr>
          <w:rFonts w:cs="Times New Roman"/>
          <w:color w:val="auto"/>
          <w:highlight w:val="none"/>
        </w:rPr>
        <w:t>。</w:t>
      </w:r>
    </w:p>
    <w:p>
      <w:pPr>
        <w:ind w:leftChars="200" w:left="480" w:firstLineChars="0" w:firstLine="0"/>
        <w:rPr>
          <w:rFonts w:cs="Times New Roman"/>
          <w:color w:val="auto"/>
          <w:szCs w:val="28"/>
          <w:highlight w:val="none"/>
        </w:rPr>
      </w:pPr>
      <w:r>
        <w:rPr>
          <w:rFonts w:eastAsia="黑体" w:cs="Times New Roman" w:hint="eastAsia"/>
          <w:color w:val="auto"/>
          <w:spacing w:val="20"/>
          <w:szCs w:val="28"/>
          <w:lang w:val="en-US" w:eastAsia="zh-CN"/>
          <w:highlight w:val="none"/>
        </w:rPr>
        <w:t>本标准</w:t>
      </w:r>
      <w:r>
        <w:rPr>
          <w:rFonts w:eastAsia="黑体" w:cs="Times New Roman"/>
          <w:color w:val="auto"/>
          <w:spacing w:val="20"/>
          <w:szCs w:val="28"/>
          <w:highlight w:val="none"/>
        </w:rPr>
        <w:t>主编单位：</w:t>
      </w:r>
      <w:r>
        <w:rPr>
          <w:rFonts w:cs="Times New Roman"/>
          <w:color w:val="auto"/>
          <w:szCs w:val="28"/>
          <w:highlight w:val="none"/>
        </w:rPr>
        <w:t>广州市市政集团有限公司</w:t>
      </w:r>
    </w:p>
    <w:p>
      <w:pPr>
        <w:ind w:leftChars="200" w:left="480" w:firstLineChars="0" w:firstLine="0"/>
        <w:rPr>
          <w:rFonts w:ascii="Times New Roman" w:eastAsia="宋体" w:cs="Times New Roman" w:hAnsi="Times New Roman" w:hint="eastAsia"/>
          <w:color w:val="auto"/>
          <w:szCs w:val="28"/>
          <w:lang w:eastAsia="zh-CN"/>
          <w:highlight w:val="none"/>
        </w:rPr>
      </w:pPr>
      <w:r>
        <w:rPr>
          <w:rFonts w:eastAsia="黑体" w:cs="Times New Roman" w:hint="eastAsia"/>
          <w:color w:val="auto"/>
          <w:spacing w:val="20"/>
          <w:szCs w:val="28"/>
          <w:lang w:val="en-US" w:eastAsia="zh-CN"/>
          <w:highlight w:val="none"/>
        </w:rPr>
        <w:t>本标准</w:t>
      </w:r>
      <w:r>
        <w:rPr>
          <w:rFonts w:eastAsia="黑体" w:cs="Times New Roman"/>
          <w:color w:val="auto"/>
          <w:spacing w:val="20"/>
          <w:szCs w:val="28"/>
          <w:highlight w:val="none"/>
        </w:rPr>
        <w:t>参编单位：</w:t>
      </w:r>
      <w:r>
        <w:rPr>
          <w:rFonts w:ascii="Times New Roman" w:eastAsia="宋体" w:cs="Times New Roman" w:hAnsi="Times New Roman" w:hint="eastAsia"/>
          <w:color w:val="auto"/>
          <w:szCs w:val="28"/>
          <w:highlight w:val="none"/>
        </w:rPr>
        <w:t>广州市市政工程试验检测有限公司</w:t>
      </w:r>
    </w:p>
    <w:p>
      <w:pPr>
        <w:keepNext w:val="0"/>
        <w:keepLines w:val="0"/>
        <w:pageBreakBefore w:val="0"/>
        <w:widowControl w:val="0"/>
        <w:kinsoku/>
        <w:wordWrap/>
        <w:overflowPunct/>
        <w:topLinePunct w:val="0"/>
        <w:autoSpaceDE/>
        <w:autoSpaceDN/>
        <w:bidi w:val="0"/>
        <w:adjustRightInd/>
        <w:snapToGrid/>
        <w:ind w:leftChars="900" w:left="2160" w:firstLineChars="200" w:firstLine="480"/>
        <w:textAlignment w:val="baseline"/>
        <w:rPr>
          <w:rFonts w:ascii="Times New Roman" w:eastAsia="宋体" w:cs="Times New Roman" w:hAnsi="Times New Roman" w:hint="eastAsia"/>
          <w:color w:val="auto"/>
          <w:szCs w:val="28"/>
          <w:lang w:eastAsia="zh-CN"/>
          <w:highlight w:val="none"/>
        </w:rPr>
      </w:pPr>
      <w:r>
        <w:rPr>
          <w:rFonts w:ascii="Times New Roman" w:eastAsia="宋体" w:cs="Times New Roman" w:hAnsi="Times New Roman" w:hint="eastAsia"/>
          <w:color w:val="auto"/>
          <w:szCs w:val="28"/>
          <w:highlight w:val="none"/>
        </w:rPr>
        <w:t>上海同济检测技术有限公司</w:t>
      </w:r>
    </w:p>
    <w:p>
      <w:pPr>
        <w:keepNext w:val="0"/>
        <w:keepLines w:val="0"/>
        <w:pageBreakBefore w:val="0"/>
        <w:widowControl w:val="0"/>
        <w:kinsoku/>
        <w:wordWrap/>
        <w:overflowPunct/>
        <w:topLinePunct w:val="0"/>
        <w:autoSpaceDE/>
        <w:autoSpaceDN/>
        <w:bidi w:val="0"/>
        <w:adjustRightInd/>
        <w:snapToGrid/>
        <w:ind w:leftChars="900" w:left="2160" w:firstLineChars="200" w:firstLine="480"/>
        <w:textAlignment w:val="baseline"/>
        <w:rPr>
          <w:rFonts w:ascii="Times New Roman" w:eastAsia="宋体" w:cs="Times New Roman" w:hAnsi="Times New Roman" w:hint="eastAsia"/>
          <w:color w:val="auto"/>
          <w:szCs w:val="28"/>
          <w:lang w:eastAsia="zh-CN"/>
          <w:highlight w:val="none"/>
        </w:rPr>
      </w:pPr>
      <w:r>
        <w:rPr>
          <w:rFonts w:ascii="Times New Roman" w:eastAsia="宋体" w:cs="Times New Roman" w:hAnsi="Times New Roman" w:hint="eastAsia"/>
          <w:color w:val="auto"/>
          <w:szCs w:val="28"/>
          <w:highlight w:val="none"/>
        </w:rPr>
        <w:t>广州市市政工程设计研究总院有限公司</w:t>
      </w:r>
    </w:p>
    <w:p>
      <w:pPr>
        <w:keepNext w:val="0"/>
        <w:keepLines w:val="0"/>
        <w:pageBreakBefore w:val="0"/>
        <w:widowControl w:val="0"/>
        <w:kinsoku/>
        <w:wordWrap/>
        <w:overflowPunct/>
        <w:topLinePunct w:val="0"/>
        <w:autoSpaceDE/>
        <w:autoSpaceDN/>
        <w:bidi w:val="0"/>
        <w:adjustRightInd/>
        <w:snapToGrid/>
        <w:ind w:leftChars="900" w:left="2160" w:firstLineChars="200" w:firstLine="480"/>
        <w:textAlignment w:val="baseline"/>
        <w:rPr>
          <w:rFonts w:ascii="Times New Roman" w:eastAsia="宋体" w:cs="Times New Roman" w:hAnsi="Times New Roman" w:hint="eastAsia"/>
          <w:color w:val="auto"/>
          <w:szCs w:val="28"/>
          <w:lang w:eastAsia="zh-CN"/>
          <w:highlight w:val="none"/>
        </w:rPr>
      </w:pPr>
      <w:r>
        <w:rPr>
          <w:rFonts w:ascii="Times New Roman" w:eastAsia="宋体" w:cs="Times New Roman" w:hAnsi="Times New Roman" w:hint="eastAsia"/>
          <w:color w:val="auto"/>
          <w:szCs w:val="28"/>
          <w:highlight w:val="none"/>
        </w:rPr>
        <w:t>广东盛翔交通工程检测有限公司</w:t>
      </w:r>
    </w:p>
    <w:p>
      <w:pPr>
        <w:keepNext w:val="0"/>
        <w:keepLines w:val="0"/>
        <w:pageBreakBefore w:val="0"/>
        <w:widowControl w:val="0"/>
        <w:kinsoku/>
        <w:wordWrap/>
        <w:overflowPunct/>
        <w:topLinePunct w:val="0"/>
        <w:autoSpaceDE/>
        <w:autoSpaceDN/>
        <w:bidi w:val="0"/>
        <w:adjustRightInd/>
        <w:snapToGrid/>
        <w:ind w:leftChars="900" w:left="2160" w:firstLineChars="200" w:firstLine="480"/>
        <w:textAlignment w:val="baseline"/>
        <w:rPr>
          <w:rFonts w:ascii="Times New Roman" w:eastAsia="宋体" w:cs="Times New Roman" w:hAnsi="Times New Roman" w:hint="eastAsia"/>
          <w:color w:val="auto"/>
          <w:szCs w:val="28"/>
          <w:lang w:eastAsia="zh-CN"/>
          <w:highlight w:val="none"/>
        </w:rPr>
      </w:pPr>
      <w:r>
        <w:rPr>
          <w:rFonts w:ascii="Times New Roman" w:eastAsia="宋体" w:cs="Times New Roman" w:hAnsi="Times New Roman" w:hint="eastAsia"/>
          <w:color w:val="auto"/>
          <w:szCs w:val="28"/>
          <w:highlight w:val="none"/>
        </w:rPr>
        <w:t>上海市政工程设计研究总院（集团）有限公司</w:t>
      </w:r>
    </w:p>
    <w:p>
      <w:pPr>
        <w:keepNext w:val="0"/>
        <w:keepLines w:val="0"/>
        <w:pageBreakBefore w:val="0"/>
        <w:widowControl w:val="0"/>
        <w:kinsoku/>
        <w:wordWrap/>
        <w:overflowPunct/>
        <w:topLinePunct w:val="0"/>
        <w:autoSpaceDE/>
        <w:autoSpaceDN/>
        <w:bidi w:val="0"/>
        <w:adjustRightInd/>
        <w:snapToGrid/>
        <w:ind w:leftChars="900" w:left="2160" w:firstLineChars="200" w:firstLine="480"/>
        <w:textAlignment w:val="baseline"/>
        <w:rPr>
          <w:rFonts w:ascii="Times New Roman" w:eastAsia="宋体" w:cs="Times New Roman" w:hAnsi="Times New Roman" w:hint="eastAsia"/>
          <w:color w:val="auto"/>
          <w:szCs w:val="28"/>
          <w:lang w:eastAsia="zh-CN"/>
          <w:highlight w:val="none"/>
        </w:rPr>
      </w:pPr>
      <w:r>
        <w:rPr>
          <w:rFonts w:ascii="Times New Roman" w:eastAsia="宋体" w:cs="Times New Roman" w:hAnsi="Times New Roman" w:hint="eastAsia"/>
          <w:color w:val="auto"/>
          <w:szCs w:val="28"/>
          <w:highlight w:val="none"/>
        </w:rPr>
        <w:t>广州机施建设集团有限公司</w:t>
      </w:r>
    </w:p>
    <w:p>
      <w:pPr>
        <w:keepNext w:val="0"/>
        <w:keepLines w:val="0"/>
        <w:pageBreakBefore w:val="0"/>
        <w:widowControl w:val="0"/>
        <w:kinsoku/>
        <w:wordWrap/>
        <w:overflowPunct/>
        <w:topLinePunct w:val="0"/>
        <w:autoSpaceDE/>
        <w:autoSpaceDN/>
        <w:bidi w:val="0"/>
        <w:adjustRightInd/>
        <w:snapToGrid/>
        <w:ind w:leftChars="900" w:left="2160" w:firstLineChars="200" w:firstLine="480"/>
        <w:textAlignment w:val="baseline"/>
        <w:rPr>
          <w:rFonts w:ascii="Times New Roman" w:eastAsia="宋体" w:cs="Times New Roman" w:hAnsi="Times New Roman" w:hint="eastAsia"/>
          <w:color w:val="auto"/>
          <w:szCs w:val="28"/>
          <w:lang w:eastAsia="zh-CN"/>
          <w:highlight w:val="none"/>
        </w:rPr>
      </w:pPr>
      <w:r>
        <w:rPr>
          <w:rFonts w:ascii="Times New Roman" w:eastAsia="宋体" w:cs="Times New Roman" w:hAnsi="Times New Roman" w:hint="eastAsia"/>
          <w:color w:val="auto"/>
          <w:szCs w:val="28"/>
          <w:highlight w:val="none"/>
        </w:rPr>
        <w:t>广州市第三市政工程有限公司</w:t>
      </w:r>
    </w:p>
    <w:p>
      <w:pPr>
        <w:keepNext w:val="0"/>
        <w:keepLines w:val="0"/>
        <w:pageBreakBefore w:val="0"/>
        <w:widowControl w:val="0"/>
        <w:kinsoku/>
        <w:wordWrap/>
        <w:overflowPunct/>
        <w:topLinePunct w:val="0"/>
        <w:autoSpaceDE/>
        <w:autoSpaceDN/>
        <w:bidi w:val="0"/>
        <w:adjustRightInd/>
        <w:snapToGrid/>
        <w:ind w:leftChars="900" w:left="2160" w:firstLineChars="200" w:firstLine="480"/>
        <w:textAlignment w:val="baseline"/>
        <w:rPr>
          <w:rFonts w:ascii="Times New Roman" w:eastAsia="宋体" w:cs="Times New Roman" w:hAnsi="Times New Roman" w:hint="eastAsia"/>
          <w:color w:val="auto"/>
          <w:szCs w:val="28"/>
          <w:lang w:eastAsia="zh-CN"/>
          <w:highlight w:val="none"/>
        </w:rPr>
      </w:pPr>
      <w:r>
        <w:rPr>
          <w:rFonts w:ascii="Times New Roman" w:eastAsia="宋体" w:cs="Times New Roman" w:hAnsi="Times New Roman" w:hint="eastAsia"/>
          <w:color w:val="auto"/>
          <w:szCs w:val="28"/>
          <w:highlight w:val="none"/>
        </w:rPr>
        <w:t>上海悍马建筑科技有限公司</w:t>
      </w:r>
    </w:p>
    <w:p>
      <w:pPr>
        <w:keepNext w:val="0"/>
        <w:keepLines w:val="0"/>
        <w:pageBreakBefore w:val="0"/>
        <w:widowControl w:val="0"/>
        <w:kinsoku/>
        <w:wordWrap/>
        <w:overflowPunct/>
        <w:topLinePunct w:val="0"/>
        <w:autoSpaceDE/>
        <w:autoSpaceDN/>
        <w:bidi w:val="0"/>
        <w:adjustRightInd/>
        <w:snapToGrid/>
        <w:ind w:leftChars="900" w:left="2160" w:firstLineChars="200" w:firstLine="480"/>
        <w:textAlignment w:val="baseline"/>
        <w:rPr>
          <w:rFonts w:ascii="Times New Roman" w:eastAsia="宋体" w:cs="Times New Roman" w:hAnsi="Times New Roman" w:hint="eastAsia"/>
          <w:color w:val="auto"/>
          <w:szCs w:val="28"/>
          <w:lang w:eastAsia="zh-CN"/>
          <w:highlight w:val="none"/>
        </w:rPr>
      </w:pPr>
      <w:r>
        <w:rPr>
          <w:rFonts w:ascii="Times New Roman" w:eastAsia="宋体" w:cs="Times New Roman" w:hAnsi="Times New Roman" w:hint="eastAsia"/>
          <w:color w:val="auto"/>
          <w:szCs w:val="28"/>
          <w:highlight w:val="none"/>
        </w:rPr>
        <w:t>中恩工程技术有限公司</w:t>
      </w:r>
    </w:p>
    <w:p>
      <w:pPr>
        <w:keepNext w:val="0"/>
        <w:keepLines w:val="0"/>
        <w:pageBreakBefore w:val="0"/>
        <w:widowControl w:val="0"/>
        <w:kinsoku/>
        <w:wordWrap/>
        <w:overflowPunct/>
        <w:topLinePunct w:val="0"/>
        <w:autoSpaceDE/>
        <w:autoSpaceDN/>
        <w:bidi w:val="0"/>
        <w:adjustRightInd/>
        <w:snapToGrid/>
        <w:ind w:leftChars="900" w:left="2160" w:firstLineChars="200" w:firstLine="480"/>
        <w:textAlignment w:val="baseline"/>
        <w:rPr>
          <w:rFonts w:ascii="Times New Roman" w:eastAsia="宋体" w:cs="Times New Roman" w:hAnsi="Times New Roman" w:hint="eastAsia"/>
          <w:color w:val="auto"/>
          <w:szCs w:val="28"/>
          <w:lang w:eastAsia="zh-CN"/>
          <w:highlight w:val="none"/>
        </w:rPr>
      </w:pPr>
      <w:r>
        <w:rPr>
          <w:rFonts w:ascii="Times New Roman" w:eastAsia="宋体" w:cs="Times New Roman" w:hAnsi="Times New Roman" w:hint="eastAsia"/>
          <w:color w:val="auto"/>
          <w:szCs w:val="28"/>
          <w:highlight w:val="none"/>
        </w:rPr>
        <w:t>广州市市政工程机械施工有限公司</w:t>
      </w:r>
    </w:p>
    <w:p>
      <w:pPr>
        <w:keepNext w:val="0"/>
        <w:keepLines w:val="0"/>
        <w:pageBreakBefore w:val="0"/>
        <w:widowControl w:val="0"/>
        <w:kinsoku/>
        <w:wordWrap/>
        <w:overflowPunct/>
        <w:topLinePunct w:val="0"/>
        <w:autoSpaceDE/>
        <w:autoSpaceDN/>
        <w:bidi w:val="0"/>
        <w:adjustRightInd/>
        <w:snapToGrid/>
        <w:ind w:leftChars="900" w:left="2160" w:firstLineChars="200" w:firstLine="480"/>
        <w:textAlignment w:val="baseline"/>
        <w:rPr>
          <w:rFonts w:ascii="Times New Roman" w:eastAsia="宋体" w:cs="Times New Roman" w:hAnsi="Times New Roman" w:hint="eastAsia"/>
          <w:color w:val="auto"/>
          <w:szCs w:val="28"/>
          <w:lang w:eastAsia="zh-CN"/>
          <w:highlight w:val="none"/>
        </w:rPr>
      </w:pPr>
      <w:r>
        <w:rPr>
          <w:rFonts w:ascii="Times New Roman" w:eastAsia="宋体" w:cs="Times New Roman" w:hAnsi="Times New Roman" w:hint="eastAsia"/>
          <w:color w:val="auto"/>
          <w:szCs w:val="28"/>
          <w:highlight w:val="none"/>
        </w:rPr>
        <w:t>广州海珠湾建设有限公司</w:t>
      </w:r>
    </w:p>
    <w:p>
      <w:pPr>
        <w:keepNext w:val="0"/>
        <w:keepLines w:val="0"/>
        <w:pageBreakBefore w:val="0"/>
        <w:widowControl w:val="0"/>
        <w:kinsoku/>
        <w:wordWrap/>
        <w:overflowPunct/>
        <w:topLinePunct w:val="0"/>
        <w:autoSpaceDE/>
        <w:autoSpaceDN/>
        <w:bidi w:val="0"/>
        <w:adjustRightInd/>
        <w:snapToGrid/>
        <w:ind w:leftChars="900" w:left="2160" w:firstLineChars="200" w:firstLine="480"/>
        <w:textAlignment w:val="baseline"/>
        <w:rPr>
          <w:rFonts w:ascii="Times New Roman" w:eastAsia="宋体" w:cs="Times New Roman" w:hAnsi="Times New Roman" w:hint="eastAsia"/>
          <w:color w:val="auto"/>
          <w:szCs w:val="28"/>
          <w:lang w:eastAsia="zh-CN"/>
          <w:highlight w:val="none"/>
        </w:rPr>
      </w:pPr>
      <w:r>
        <w:rPr>
          <w:rFonts w:ascii="Times New Roman" w:eastAsia="宋体" w:cs="Times New Roman" w:hAnsi="Times New Roman" w:hint="eastAsia"/>
          <w:color w:val="auto"/>
          <w:szCs w:val="28"/>
          <w:highlight w:val="none"/>
        </w:rPr>
        <w:t>湛江市市政建设工程有限公司</w:t>
      </w:r>
    </w:p>
    <w:p>
      <w:pPr>
        <w:keepNext w:val="0"/>
        <w:keepLines w:val="0"/>
        <w:pageBreakBefore w:val="0"/>
        <w:widowControl w:val="0"/>
        <w:kinsoku/>
        <w:wordWrap/>
        <w:overflowPunct/>
        <w:topLinePunct w:val="0"/>
        <w:autoSpaceDE/>
        <w:autoSpaceDN/>
        <w:bidi w:val="0"/>
        <w:adjustRightInd/>
        <w:snapToGrid/>
        <w:ind w:leftChars="900" w:left="2160" w:firstLineChars="200" w:firstLine="480"/>
        <w:textAlignment w:val="baseline"/>
        <w:rPr>
          <w:rFonts w:ascii="Times New Roman" w:eastAsia="宋体" w:cs="Times New Roman" w:hAnsi="Times New Roman" w:hint="eastAsia"/>
          <w:color w:val="auto"/>
          <w:szCs w:val="28"/>
          <w:lang w:eastAsia="zh-CN"/>
          <w:highlight w:val="none"/>
        </w:rPr>
      </w:pPr>
      <w:r>
        <w:rPr>
          <w:rFonts w:ascii="Times New Roman" w:eastAsia="宋体" w:cs="Times New Roman" w:hAnsi="Times New Roman" w:hint="eastAsia"/>
          <w:color w:val="auto"/>
          <w:szCs w:val="28"/>
          <w:highlight w:val="none"/>
        </w:rPr>
        <w:t>广州珠江监理咨询集团有限公司</w:t>
      </w:r>
    </w:p>
    <w:p>
      <w:pPr>
        <w:keepNext w:val="0"/>
        <w:keepLines w:val="0"/>
        <w:pageBreakBefore w:val="0"/>
        <w:widowControl w:val="0"/>
        <w:kinsoku/>
        <w:wordWrap/>
        <w:overflowPunct/>
        <w:topLinePunct w:val="0"/>
        <w:autoSpaceDE/>
        <w:autoSpaceDN/>
        <w:bidi w:val="0"/>
        <w:adjustRightInd/>
        <w:snapToGrid/>
        <w:ind w:leftChars="900" w:left="2160" w:firstLineChars="200" w:firstLine="480"/>
        <w:textAlignment w:val="baseline"/>
        <w:rPr>
          <w:rFonts w:ascii="Times New Roman" w:eastAsia="宋体" w:cs="Times New Roman" w:hAnsi="Times New Roman" w:hint="eastAsia"/>
          <w:color w:val="auto"/>
          <w:szCs w:val="28"/>
          <w:lang w:eastAsia="zh-CN"/>
          <w:highlight w:val="none"/>
        </w:rPr>
      </w:pPr>
      <w:r>
        <w:rPr>
          <w:rFonts w:ascii="Times New Roman" w:eastAsia="宋体" w:cs="Times New Roman" w:hAnsi="Times New Roman" w:hint="eastAsia"/>
          <w:color w:val="auto"/>
          <w:szCs w:val="28"/>
          <w:highlight w:val="none"/>
        </w:rPr>
        <w:t>广州公路工程集团有限公司</w:t>
      </w:r>
    </w:p>
    <w:p>
      <w:pPr>
        <w:ind w:leftChars="200" w:left="480" w:firstLineChars="0" w:firstLine="0"/>
        <w:rPr>
          <w:rFonts w:cs="Times New Roman" w:hint="eastAsia"/>
          <w:color w:val="auto"/>
          <w:highlight w:val="none"/>
        </w:rPr>
      </w:pPr>
      <w:r>
        <w:rPr>
          <w:rFonts w:eastAsia="黑体" w:cs="Times New Roman" w:hint="eastAsia"/>
          <w:color w:val="auto"/>
          <w:szCs w:val="28"/>
          <w:lang w:val="en-US" w:eastAsia="zh-CN"/>
          <w:highlight w:val="none"/>
        </w:rPr>
        <w:t>本标准</w:t>
      </w:r>
      <w:r>
        <w:rPr>
          <w:rFonts w:eastAsia="黑体" w:cs="Times New Roman"/>
          <w:color w:val="auto"/>
          <w:szCs w:val="28"/>
          <w:highlight w:val="none"/>
        </w:rPr>
        <w:t>主要起草人：</w:t>
      </w:r>
      <w:r>
        <w:rPr>
          <w:rFonts w:cs="Times New Roman"/>
          <w:color w:val="auto"/>
          <w:highlight w:val="none"/>
        </w:rPr>
        <w:t xml:space="preserve"> </w:t>
      </w:r>
      <w:r>
        <w:rPr>
          <w:rFonts w:cs="Times New Roman" w:hint="eastAsia"/>
          <w:color w:val="auto"/>
          <w:highlight w:val="none"/>
        </w:rPr>
        <w:t>安关峰</w:t>
      </w:r>
      <w:r>
        <w:rPr>
          <w:rFonts w:cs="Times New Roman" w:hint="eastAsia"/>
          <w:color w:val="auto"/>
          <w:lang w:val="en-US" w:eastAsia="zh-CN"/>
          <w:highlight w:val="none"/>
        </w:rPr>
        <w:t xml:space="preserve"> </w:t>
      </w:r>
      <w:r>
        <w:rPr>
          <w:rFonts w:cs="Times New Roman" w:hint="eastAsia"/>
          <w:color w:val="auto"/>
          <w:highlight w:val="none"/>
        </w:rPr>
        <w:t>侯照保</w:t>
      </w:r>
      <w:r>
        <w:rPr>
          <w:rFonts w:cs="Times New Roman" w:hint="eastAsia"/>
          <w:color w:val="auto"/>
          <w:lang w:val="en-US" w:eastAsia="zh-CN"/>
          <w:highlight w:val="none"/>
        </w:rPr>
        <w:t xml:space="preserve"> </w:t>
      </w:r>
      <w:r>
        <w:rPr>
          <w:rFonts w:cs="Times New Roman" w:hint="eastAsia"/>
          <w:color w:val="auto"/>
          <w:highlight w:val="none"/>
        </w:rPr>
        <w:t>孙晓立</w:t>
      </w:r>
      <w:r>
        <w:rPr>
          <w:rFonts w:cs="Times New Roman" w:hint="eastAsia"/>
          <w:color w:val="auto"/>
          <w:lang w:val="en-US" w:eastAsia="zh-CN"/>
          <w:highlight w:val="none"/>
        </w:rPr>
        <w:t xml:space="preserve"> </w:t>
      </w:r>
      <w:r>
        <w:rPr>
          <w:rFonts w:cs="Times New Roman" w:hint="eastAsia"/>
          <w:color w:val="auto"/>
          <w:highlight w:val="none"/>
        </w:rPr>
        <w:t>杨</w:t>
      </w:r>
      <w:r>
        <w:rPr>
          <w:rFonts w:cs="Times New Roman" w:hint="eastAsia"/>
          <w:color w:val="auto"/>
          <w:lang w:val="en-US" w:eastAsia="zh-CN"/>
          <w:highlight w:val="none"/>
        </w:rPr>
        <w:t xml:space="preserve">  </w:t>
      </w:r>
      <w:r>
        <w:rPr>
          <w:rFonts w:cs="Times New Roman" w:hint="eastAsia"/>
          <w:color w:val="auto"/>
          <w:highlight w:val="none"/>
        </w:rPr>
        <w:t>军</w:t>
      </w:r>
      <w:r>
        <w:rPr>
          <w:rFonts w:cs="Times New Roman" w:hint="eastAsia"/>
          <w:color w:val="auto"/>
          <w:lang w:val="en-US" w:eastAsia="zh-CN"/>
          <w:highlight w:val="none"/>
        </w:rPr>
        <w:t xml:space="preserve"> </w:t>
      </w:r>
      <w:r>
        <w:rPr>
          <w:rFonts w:cs="Times New Roman" w:hint="eastAsia"/>
          <w:color w:val="auto"/>
          <w:highlight w:val="none"/>
        </w:rPr>
        <w:t>张小琼</w:t>
      </w:r>
    </w:p>
    <w:p>
      <w:pPr>
        <w:keepNext w:val="0"/>
        <w:keepLines w:val="0"/>
        <w:pageBreakBefore w:val="0"/>
        <w:widowControl w:val="0"/>
        <w:kinsoku/>
        <w:wordWrap/>
        <w:overflowPunct/>
        <w:topLinePunct w:val="0"/>
        <w:autoSpaceDE/>
        <w:autoSpaceDN/>
        <w:bidi w:val="0"/>
        <w:adjustRightInd/>
        <w:snapToGrid/>
        <w:ind w:leftChars="1150" w:left="2760" w:firstLineChars="0" w:firstLine="0"/>
        <w:textAlignment w:val="baseline"/>
        <w:rPr>
          <w:rFonts w:cs="Times New Roman" w:hint="eastAsia"/>
          <w:color w:val="auto"/>
          <w:lang w:val="en-US" w:eastAsia="zh-CN"/>
          <w:highlight w:val="none"/>
        </w:rPr>
      </w:pPr>
      <w:r>
        <w:rPr>
          <w:rFonts w:cs="Times New Roman" w:hint="eastAsia"/>
          <w:color w:val="auto"/>
          <w:highlight w:val="none"/>
        </w:rPr>
        <w:t>张林文</w:t>
      </w:r>
      <w:r>
        <w:rPr>
          <w:rFonts w:cs="Times New Roman" w:hint="eastAsia"/>
          <w:color w:val="auto"/>
          <w:lang w:val="en-US" w:eastAsia="zh-CN"/>
          <w:highlight w:val="none"/>
        </w:rPr>
        <w:t xml:space="preserve"> </w:t>
      </w:r>
      <w:r>
        <w:rPr>
          <w:rFonts w:cs="Times New Roman" w:hint="eastAsia"/>
          <w:color w:val="auto"/>
          <w:highlight w:val="none"/>
        </w:rPr>
        <w:t>曾庆成</w:t>
      </w:r>
      <w:r>
        <w:rPr>
          <w:rFonts w:cs="Times New Roman" w:hint="eastAsia"/>
          <w:color w:val="auto"/>
          <w:lang w:val="en-US" w:eastAsia="zh-CN"/>
          <w:highlight w:val="none"/>
        </w:rPr>
        <w:t xml:space="preserve"> </w:t>
      </w:r>
      <w:r>
        <w:rPr>
          <w:rFonts w:cs="Times New Roman" w:hint="eastAsia"/>
          <w:color w:val="auto"/>
          <w:highlight w:val="none"/>
        </w:rPr>
        <w:t>张春雷</w:t>
      </w:r>
      <w:r>
        <w:rPr>
          <w:rFonts w:cs="Times New Roman" w:hint="eastAsia"/>
          <w:color w:val="auto"/>
          <w:lang w:val="en-US" w:eastAsia="zh-CN"/>
          <w:highlight w:val="none"/>
        </w:rPr>
        <w:t xml:space="preserve"> 赵晓梅 </w:t>
      </w:r>
      <w:r>
        <w:rPr>
          <w:rFonts w:cs="Times New Roman" w:hint="eastAsia"/>
          <w:color w:val="auto"/>
          <w:highlight w:val="none"/>
        </w:rPr>
        <w:t>杨</w:t>
      </w:r>
      <w:r>
        <w:rPr>
          <w:rFonts w:cs="Times New Roman" w:hint="eastAsia"/>
          <w:color w:val="auto"/>
          <w:lang w:val="en-US" w:eastAsia="zh-CN"/>
          <w:highlight w:val="none"/>
        </w:rPr>
        <w:t xml:space="preserve">  </w:t>
      </w:r>
      <w:r>
        <w:rPr>
          <w:rFonts w:cs="Times New Roman" w:hint="eastAsia"/>
          <w:color w:val="auto"/>
          <w:highlight w:val="none"/>
        </w:rPr>
        <w:t>勇</w:t>
      </w:r>
      <w:r>
        <w:rPr>
          <w:rFonts w:cs="Times New Roman" w:hint="eastAsia"/>
          <w:color w:val="auto"/>
          <w:lang w:val="en-US" w:eastAsia="zh-CN"/>
          <w:highlight w:val="none"/>
        </w:rPr>
        <w:t xml:space="preserve"> </w:t>
      </w:r>
    </w:p>
    <w:p>
      <w:pPr>
        <w:keepNext w:val="0"/>
        <w:keepLines w:val="0"/>
        <w:pageBreakBefore w:val="0"/>
        <w:widowControl w:val="0"/>
        <w:kinsoku/>
        <w:wordWrap/>
        <w:overflowPunct/>
        <w:topLinePunct w:val="0"/>
        <w:autoSpaceDE/>
        <w:autoSpaceDN/>
        <w:bidi w:val="0"/>
        <w:adjustRightInd/>
        <w:snapToGrid/>
        <w:ind w:leftChars="1150" w:left="2760" w:firstLineChars="0" w:firstLine="0"/>
        <w:textAlignment w:val="baseline"/>
        <w:rPr>
          <w:rFonts w:cs="Times New Roman" w:hint="eastAsia"/>
          <w:color w:val="auto"/>
          <w:highlight w:val="none"/>
        </w:rPr>
      </w:pPr>
      <w:r>
        <w:rPr>
          <w:rFonts w:cs="Times New Roman" w:hint="eastAsia"/>
          <w:color w:val="auto"/>
          <w:highlight w:val="none"/>
        </w:rPr>
        <w:t>乐小刚</w:t>
      </w:r>
      <w:r>
        <w:rPr>
          <w:rFonts w:cs="Times New Roman" w:hint="eastAsia"/>
          <w:color w:val="auto"/>
          <w:lang w:val="en-US" w:eastAsia="zh-CN"/>
          <w:highlight w:val="none"/>
        </w:rPr>
        <w:t xml:space="preserve"> </w:t>
      </w:r>
      <w:r>
        <w:rPr>
          <w:rFonts w:cs="Times New Roman" w:hint="eastAsia"/>
          <w:color w:val="auto"/>
          <w:highlight w:val="none"/>
        </w:rPr>
        <w:t>张</w:t>
      </w:r>
      <w:r>
        <w:rPr>
          <w:rFonts w:cs="Times New Roman" w:hint="eastAsia"/>
          <w:color w:val="auto"/>
          <w:lang w:val="en-US" w:eastAsia="zh-CN"/>
          <w:highlight w:val="none"/>
        </w:rPr>
        <w:t xml:space="preserve">  </w:t>
      </w:r>
      <w:r>
        <w:rPr>
          <w:rFonts w:cs="Times New Roman" w:hint="eastAsia"/>
          <w:color w:val="auto"/>
          <w:highlight w:val="none"/>
        </w:rPr>
        <w:t>震</w:t>
      </w:r>
      <w:r>
        <w:rPr>
          <w:rFonts w:cs="Times New Roman" w:hint="eastAsia"/>
          <w:color w:val="auto"/>
          <w:lang w:val="en-US" w:eastAsia="zh-CN"/>
          <w:highlight w:val="none"/>
        </w:rPr>
        <w:t xml:space="preserve"> </w:t>
      </w:r>
      <w:r>
        <w:rPr>
          <w:rFonts w:cs="Times New Roman" w:hint="eastAsia"/>
          <w:color w:val="auto"/>
          <w:highlight w:val="none"/>
        </w:rPr>
        <w:t>王晓璜</w:t>
      </w:r>
      <w:r>
        <w:rPr>
          <w:rFonts w:cs="Times New Roman" w:hint="eastAsia"/>
          <w:color w:val="auto"/>
          <w:lang w:val="en-US" w:eastAsia="zh-CN"/>
          <w:highlight w:val="none"/>
        </w:rPr>
        <w:t xml:space="preserve"> </w:t>
      </w:r>
      <w:r>
        <w:rPr>
          <w:rFonts w:cs="Times New Roman" w:hint="eastAsia"/>
          <w:color w:val="auto"/>
          <w:highlight w:val="none"/>
        </w:rPr>
        <w:t>何惟煌</w:t>
      </w:r>
      <w:r>
        <w:rPr>
          <w:rFonts w:cs="Times New Roman" w:hint="eastAsia"/>
          <w:color w:val="auto"/>
          <w:lang w:val="en-US" w:eastAsia="zh-CN"/>
          <w:highlight w:val="none"/>
        </w:rPr>
        <w:t xml:space="preserve"> </w:t>
      </w:r>
      <w:r>
        <w:rPr>
          <w:rFonts w:cs="Times New Roman" w:hint="eastAsia"/>
          <w:color w:val="auto"/>
          <w:highlight w:val="none"/>
        </w:rPr>
        <w:t>张占峰</w:t>
      </w:r>
    </w:p>
    <w:p>
      <w:pPr>
        <w:keepNext w:val="0"/>
        <w:keepLines w:val="0"/>
        <w:pageBreakBefore w:val="0"/>
        <w:widowControl w:val="0"/>
        <w:kinsoku/>
        <w:wordWrap/>
        <w:overflowPunct/>
        <w:topLinePunct w:val="0"/>
        <w:autoSpaceDE/>
        <w:autoSpaceDN/>
        <w:bidi w:val="0"/>
        <w:adjustRightInd/>
        <w:snapToGrid/>
        <w:ind w:leftChars="1150" w:left="2760" w:firstLineChars="0" w:firstLine="0"/>
        <w:textAlignment w:val="baseline"/>
        <w:rPr>
          <w:rFonts w:cs="Times New Roman" w:hint="eastAsia"/>
          <w:color w:val="auto"/>
          <w:highlight w:val="none"/>
        </w:rPr>
      </w:pPr>
      <w:r>
        <w:rPr>
          <w:rFonts w:cs="Times New Roman" w:hint="eastAsia"/>
          <w:color w:val="auto"/>
          <w:highlight w:val="none"/>
        </w:rPr>
        <w:t>谭</w:t>
      </w:r>
      <w:r>
        <w:rPr>
          <w:rFonts w:cs="Times New Roman" w:hint="eastAsia"/>
          <w:color w:val="auto"/>
          <w:lang w:val="en-US" w:eastAsia="zh-CN"/>
          <w:highlight w:val="none"/>
        </w:rPr>
        <w:t xml:space="preserve">  </w:t>
      </w:r>
      <w:r>
        <w:rPr>
          <w:rFonts w:cs="Times New Roman" w:hint="eastAsia"/>
          <w:color w:val="auto"/>
          <w:highlight w:val="none"/>
        </w:rPr>
        <w:t>成</w:t>
      </w:r>
      <w:r>
        <w:rPr>
          <w:rFonts w:cs="Times New Roman" w:hint="eastAsia"/>
          <w:color w:val="auto"/>
          <w:lang w:val="en-US" w:eastAsia="zh-CN"/>
          <w:highlight w:val="none"/>
        </w:rPr>
        <w:t xml:space="preserve"> </w:t>
      </w:r>
      <w:r>
        <w:rPr>
          <w:rFonts w:cs="Times New Roman" w:hint="eastAsia"/>
          <w:color w:val="auto"/>
          <w:highlight w:val="none"/>
        </w:rPr>
        <w:t>凌</w:t>
      </w:r>
      <w:r>
        <w:rPr>
          <w:rFonts w:cs="Times New Roman" w:hint="eastAsia"/>
          <w:color w:val="auto"/>
          <w:lang w:val="en-US" w:eastAsia="zh-CN"/>
          <w:highlight w:val="none"/>
        </w:rPr>
        <w:t xml:space="preserve">  </w:t>
      </w:r>
      <w:r>
        <w:rPr>
          <w:rFonts w:cs="Times New Roman" w:hint="eastAsia"/>
          <w:color w:val="auto"/>
          <w:highlight w:val="none"/>
        </w:rPr>
        <w:t>敏</w:t>
      </w:r>
      <w:r>
        <w:rPr>
          <w:rFonts w:cs="Times New Roman" w:hint="eastAsia"/>
          <w:color w:val="auto"/>
          <w:lang w:val="en-US" w:eastAsia="zh-CN"/>
          <w:highlight w:val="none"/>
        </w:rPr>
        <w:t xml:space="preserve"> </w:t>
      </w:r>
      <w:r>
        <w:rPr>
          <w:rFonts w:cs="Times New Roman" w:hint="eastAsia"/>
          <w:color w:val="auto"/>
          <w:highlight w:val="none"/>
        </w:rPr>
        <w:t>冯伟文</w:t>
      </w:r>
      <w:r>
        <w:rPr>
          <w:rFonts w:cs="Times New Roman" w:hint="eastAsia"/>
          <w:color w:val="auto"/>
          <w:lang w:val="en-US" w:eastAsia="zh-CN"/>
          <w:highlight w:val="none"/>
        </w:rPr>
        <w:t xml:space="preserve"> </w:t>
      </w:r>
      <w:r>
        <w:rPr>
          <w:rFonts w:cs="Times New Roman" w:hint="eastAsia"/>
          <w:color w:val="auto"/>
          <w:highlight w:val="none"/>
        </w:rPr>
        <w:t>叶嘉彬</w:t>
      </w:r>
      <w:r>
        <w:rPr>
          <w:rFonts w:cs="Times New Roman" w:hint="eastAsia"/>
          <w:color w:val="auto"/>
          <w:lang w:val="en-US" w:eastAsia="zh-CN"/>
          <w:highlight w:val="none"/>
        </w:rPr>
        <w:t xml:space="preserve"> </w:t>
      </w:r>
      <w:r>
        <w:rPr>
          <w:rFonts w:cs="Times New Roman" w:hint="eastAsia"/>
          <w:color w:val="auto"/>
          <w:highlight w:val="none"/>
        </w:rPr>
        <w:t>薛晓杰</w:t>
      </w:r>
    </w:p>
    <w:p>
      <w:pPr>
        <w:keepNext w:val="0"/>
        <w:keepLines w:val="0"/>
        <w:pageBreakBefore w:val="0"/>
        <w:widowControl w:val="0"/>
        <w:kinsoku/>
        <w:wordWrap/>
        <w:overflowPunct/>
        <w:topLinePunct w:val="0"/>
        <w:autoSpaceDE/>
        <w:autoSpaceDN/>
        <w:bidi w:val="0"/>
        <w:adjustRightInd/>
        <w:snapToGrid/>
        <w:ind w:leftChars="1150" w:left="2760" w:firstLineChars="0" w:firstLine="0"/>
        <w:textAlignment w:val="baseline"/>
        <w:rPr>
          <w:rFonts w:cs="Times New Roman" w:hint="eastAsia"/>
          <w:color w:val="auto"/>
          <w:highlight w:val="none"/>
        </w:rPr>
      </w:pPr>
      <w:r>
        <w:rPr>
          <w:rFonts w:cs="Times New Roman" w:hint="eastAsia"/>
          <w:color w:val="auto"/>
          <w:highlight w:val="none"/>
        </w:rPr>
        <w:t>欧</w:t>
      </w:r>
      <w:r>
        <w:rPr>
          <w:rFonts w:cs="Times New Roman" w:hint="eastAsia"/>
          <w:color w:val="auto"/>
          <w:lang w:val="en-US" w:eastAsia="zh-CN"/>
          <w:highlight w:val="none"/>
        </w:rPr>
        <w:t xml:space="preserve">  </w:t>
      </w:r>
      <w:r>
        <w:rPr>
          <w:rFonts w:cs="Times New Roman" w:hint="eastAsia"/>
          <w:color w:val="auto"/>
          <w:highlight w:val="none"/>
        </w:rPr>
        <w:t>敏</w:t>
      </w:r>
      <w:r>
        <w:rPr>
          <w:rFonts w:cs="Times New Roman" w:hint="eastAsia"/>
          <w:color w:val="auto"/>
          <w:lang w:val="en-US" w:eastAsia="zh-CN"/>
          <w:highlight w:val="none"/>
        </w:rPr>
        <w:t xml:space="preserve"> </w:t>
      </w:r>
      <w:r>
        <w:rPr>
          <w:rFonts w:cs="Times New Roman" w:hint="eastAsia"/>
          <w:color w:val="auto"/>
          <w:highlight w:val="none"/>
        </w:rPr>
        <w:t>王斯聪</w:t>
      </w:r>
      <w:r>
        <w:rPr>
          <w:rFonts w:cs="Times New Roman" w:hint="eastAsia"/>
          <w:color w:val="auto"/>
          <w:lang w:val="en-US" w:eastAsia="zh-CN"/>
          <w:highlight w:val="none"/>
        </w:rPr>
        <w:t xml:space="preserve"> </w:t>
      </w:r>
      <w:r>
        <w:rPr>
          <w:rFonts w:cs="Times New Roman" w:hint="eastAsia"/>
          <w:color w:val="auto"/>
          <w:highlight w:val="none"/>
        </w:rPr>
        <w:t>温育希</w:t>
      </w:r>
      <w:r>
        <w:rPr>
          <w:rFonts w:cs="Times New Roman" w:hint="eastAsia"/>
          <w:color w:val="auto"/>
          <w:lang w:val="en-US" w:eastAsia="zh-CN"/>
          <w:highlight w:val="none"/>
        </w:rPr>
        <w:t xml:space="preserve"> </w:t>
      </w:r>
      <w:r>
        <w:rPr>
          <w:rFonts w:cs="Times New Roman" w:hint="eastAsia"/>
          <w:color w:val="auto"/>
          <w:highlight w:val="none"/>
        </w:rPr>
        <w:t>黄</w:t>
      </w:r>
      <w:r>
        <w:rPr>
          <w:rFonts w:cs="Times New Roman" w:hint="eastAsia"/>
          <w:color w:val="auto"/>
          <w:lang w:val="en-US" w:eastAsia="zh-CN"/>
          <w:highlight w:val="none"/>
        </w:rPr>
        <w:t xml:space="preserve">  </w:t>
      </w:r>
      <w:r>
        <w:rPr>
          <w:rFonts w:cs="Times New Roman" w:hint="eastAsia"/>
          <w:color w:val="auto"/>
          <w:highlight w:val="none"/>
        </w:rPr>
        <w:t>鹏</w:t>
      </w:r>
      <w:r>
        <w:rPr>
          <w:rFonts w:cs="Times New Roman" w:hint="eastAsia"/>
          <w:color w:val="auto"/>
          <w:lang w:val="en-US" w:eastAsia="zh-CN"/>
          <w:highlight w:val="none"/>
        </w:rPr>
        <w:t xml:space="preserve"> </w:t>
      </w:r>
      <w:r>
        <w:rPr>
          <w:rFonts w:cs="Times New Roman" w:hint="eastAsia"/>
          <w:color w:val="auto"/>
          <w:highlight w:val="none"/>
        </w:rPr>
        <w:t>黄伟基</w:t>
      </w:r>
    </w:p>
    <w:p>
      <w:pPr>
        <w:keepNext w:val="0"/>
        <w:keepLines w:val="0"/>
        <w:pageBreakBefore w:val="0"/>
        <w:widowControl w:val="0"/>
        <w:kinsoku/>
        <w:wordWrap/>
        <w:overflowPunct/>
        <w:topLinePunct w:val="0"/>
        <w:autoSpaceDE/>
        <w:autoSpaceDN/>
        <w:bidi w:val="0"/>
        <w:adjustRightInd/>
        <w:snapToGrid/>
        <w:ind w:leftChars="1150" w:left="2760" w:firstLineChars="0" w:firstLine="0"/>
        <w:textAlignment w:val="baseline"/>
        <w:rPr>
          <w:rFonts w:cs="Times New Roman"/>
          <w:color w:val="auto"/>
          <w:highlight w:val="none"/>
        </w:rPr>
      </w:pPr>
      <w:r>
        <w:rPr>
          <w:rFonts w:cs="Times New Roman" w:hint="eastAsia"/>
          <w:color w:val="auto"/>
          <w:highlight w:val="none"/>
        </w:rPr>
        <w:t>李建明</w:t>
      </w:r>
      <w:r>
        <w:rPr>
          <w:rFonts w:cs="Times New Roman" w:hint="eastAsia"/>
          <w:color w:val="auto"/>
          <w:lang w:val="en-US" w:eastAsia="zh-CN"/>
          <w:highlight w:val="none"/>
        </w:rPr>
        <w:t xml:space="preserve"> </w:t>
      </w:r>
      <w:r>
        <w:rPr>
          <w:rFonts w:cs="Times New Roman" w:hint="eastAsia"/>
          <w:color w:val="auto"/>
          <w:highlight w:val="none"/>
        </w:rPr>
        <w:t>余汉国</w:t>
      </w:r>
      <w:r>
        <w:rPr>
          <w:rFonts w:cs="Times New Roman" w:hint="eastAsia"/>
          <w:color w:val="auto"/>
          <w:lang w:val="en-US" w:eastAsia="zh-CN"/>
          <w:highlight w:val="none"/>
        </w:rPr>
        <w:t xml:space="preserve"> </w:t>
      </w:r>
      <w:r>
        <w:rPr>
          <w:rFonts w:cs="Times New Roman" w:hint="eastAsia"/>
          <w:color w:val="auto"/>
          <w:highlight w:val="none"/>
        </w:rPr>
        <w:t>熊茜文</w:t>
      </w:r>
      <w:r>
        <w:rPr>
          <w:rFonts w:cs="Times New Roman" w:hint="eastAsia"/>
          <w:color w:val="auto"/>
          <w:lang w:val="en-US" w:eastAsia="zh-CN"/>
          <w:highlight w:val="none"/>
        </w:rPr>
        <w:t xml:space="preserve"> </w:t>
      </w:r>
      <w:r>
        <w:rPr>
          <w:rFonts w:cs="Times New Roman" w:hint="eastAsia"/>
          <w:color w:val="auto"/>
          <w:highlight w:val="none"/>
        </w:rPr>
        <w:t>杨创捷</w:t>
      </w:r>
    </w:p>
    <w:p>
      <w:pPr>
        <w:ind w:leftChars="200" w:left="480" w:firstLineChars="0" w:firstLine="0"/>
        <w:rPr>
          <w:rFonts w:cs="Times New Roman"/>
          <w:color w:val="auto"/>
          <w:sz w:val="28"/>
          <w:highlight w:val="none"/>
        </w:rPr>
      </w:pPr>
      <w:r>
        <w:rPr>
          <w:rFonts w:eastAsia="黑体" w:cs="Times New Roman" w:hint="eastAsia"/>
          <w:color w:val="auto"/>
          <w:szCs w:val="28"/>
          <w:lang w:val="en-US" w:eastAsia="zh-CN"/>
          <w:highlight w:val="none"/>
        </w:rPr>
        <w:t>本标准</w:t>
      </w:r>
      <w:r>
        <w:rPr>
          <w:rFonts w:eastAsia="黑体" w:cs="Times New Roman"/>
          <w:color w:val="auto"/>
          <w:szCs w:val="28"/>
          <w:highlight w:val="none"/>
        </w:rPr>
        <w:t>主要审查人</w:t>
      </w:r>
      <w:r>
        <w:rPr>
          <w:rFonts w:eastAsia="黑体" w:cs="Times New Roman" w:hint="eastAsia"/>
          <w:color w:val="auto"/>
          <w:szCs w:val="28"/>
          <w:lang w:val="en-US" w:eastAsia="zh-CN"/>
          <w:highlight w:val="none"/>
        </w:rPr>
        <w:t>员</w:t>
      </w:r>
      <w:r>
        <w:rPr>
          <w:rFonts w:eastAsia="黑体" w:cs="Times New Roman"/>
          <w:color w:val="auto"/>
          <w:szCs w:val="28"/>
          <w:highlight w:val="none"/>
        </w:rPr>
        <w:t>：</w:t>
      </w:r>
      <w:r>
        <w:rPr>
          <w:rFonts w:cs="Times New Roman"/>
          <w:color w:val="auto"/>
          <w:highlight w:val="none"/>
        </w:rPr>
        <w:t xml:space="preserve"> </w:t>
      </w:r>
    </w:p>
    <w:p>
      <w:pPr>
        <w:ind w:firstLineChars="0" w:firstLine="0"/>
        <w:jc w:val="center"/>
        <w:rPr>
          <w:rFonts w:eastAsia="黑体" w:cs="Times New Roman"/>
          <w:b/>
          <w:color w:val="auto"/>
          <w:sz w:val="32"/>
          <w:szCs w:val="32"/>
          <w:highlight w:val="none"/>
        </w:rPr>
      </w:pPr>
    </w:p>
    <w:p>
      <w:pPr>
        <w:ind w:firstLineChars="0" w:firstLine="0"/>
        <w:rPr>
          <w:rFonts w:cs="Times New Roman"/>
          <w:color w:val="auto"/>
          <w:szCs w:val="28"/>
          <w:highlight w:val="none"/>
        </w:rPr>
      </w:pPr>
    </w:p>
    <w:p>
      <w:pPr>
        <w:ind w:left="2400" w:firstLineChars="0" w:firstLine="0"/>
        <w:rPr>
          <w:rFonts w:cs="Times New Roman"/>
          <w:color w:val="auto"/>
          <w:kern w:val="0"/>
          <w:szCs w:val="32"/>
          <w:highlight w:val="none"/>
        </w:rPr>
      </w:pPr>
      <w:r>
        <w:rPr>
          <w:rFonts w:cs="Times New Roman"/>
          <w:color w:val="auto"/>
          <w:kern w:val="0"/>
          <w:szCs w:val="32"/>
          <w:highlight w:val="none"/>
        </w:rPr>
        <w:br w:type="page"/>
      </w:r>
    </w:p>
    <w:p>
      <w:pPr>
        <w:pStyle w:val="29"/>
        <w:tabs>
          <w:tab w:val="right" w:leader="dot" w:pos="9628"/>
        </w:tabs>
        <w:ind w:firstLineChars="0" w:firstLine="0"/>
        <w:jc w:val="center"/>
        <w:rPr>
          <w:rFonts w:cs="Times New Roman"/>
          <w:b w:val="0"/>
          <w:color w:val="auto"/>
          <w:kern w:val="0"/>
          <w:sz w:val="32"/>
          <w:szCs w:val="32"/>
          <w:highlight w:val="none"/>
        </w:rPr>
      </w:pPr>
      <w:bookmarkStart w:id="2" w:name="OLE_LINK23"/>
    </w:p>
    <w:p>
      <w:pPr>
        <w:keepNext w:val="0"/>
        <w:keepLines w:val="0"/>
        <w:pageBreakBefore w:val="0"/>
        <w:widowControl w:val="0"/>
        <w:tabs>
          <w:tab w:val="left" w:pos="1134"/>
        </w:tabs>
        <w:kinsoku/>
        <w:wordWrap/>
        <w:overflowPunct/>
        <w:topLinePunct w:val="0"/>
        <w:bidi w:val="0"/>
        <w:snapToGrid/>
        <w:spacing w:line="240" w:lineRule="auto"/>
        <w:ind w:firstLineChars="0" w:firstLine="0"/>
        <w:jc w:val="center"/>
        <w:rPr>
          <w:rFonts w:eastAsia="仿宋" w:cs="Times New Roman"/>
          <w:b/>
          <w:color w:val="auto"/>
          <w:kern w:val="0"/>
          <w:sz w:val="32"/>
          <w:szCs w:val="30"/>
          <w:highlight w:val="none"/>
        </w:rPr>
      </w:pPr>
      <w:r>
        <w:rPr>
          <w:rFonts w:eastAsia="仿宋" w:cs="Times New Roman"/>
          <w:b/>
          <w:color w:val="auto"/>
          <w:kern w:val="0"/>
          <w:sz w:val="32"/>
          <w:szCs w:val="30"/>
          <w:highlight w:val="none"/>
        </w:rPr>
        <w:t>目　　次</w:t>
      </w:r>
    </w:p>
    <w:p>
      <w:pPr>
        <w:pStyle w:val="29"/>
        <w:tabs>
          <w:tab w:val="right" w:leader="dot" w:pos="9072"/>
        </w:tabs>
        <w:ind w:firstLineChars="0" w:firstLine="0"/>
        <w:rPr>
          <w:highlight w:val="none"/>
        </w:rPr>
      </w:pPr>
      <w:bookmarkEnd w:id="2"/>
      <w:r>
        <w:rPr>
          <w:rFonts w:cs="Times New Roman"/>
          <w:color w:val="auto"/>
          <w:kern w:val="0"/>
          <w:sz w:val="28"/>
          <w:szCs w:val="28"/>
          <w:highlight w:val="none"/>
        </w:rPr>
        <w:fldChar w:fldCharType="begin"/>
      </w:r>
      <w:r>
        <w:rPr>
          <w:rFonts w:cs="Times New Roman"/>
          <w:color w:val="auto"/>
          <w:kern w:val="0"/>
          <w:sz w:val="28"/>
          <w:szCs w:val="28"/>
          <w:highlight w:val="none"/>
        </w:rPr>
        <w:instrText xml:space="preserve"> TOC \o "1-2" \h \z \u </w:instrText>
      </w:r>
      <w:r>
        <w:rPr>
          <w:rFonts w:cs="Times New Roman"/>
          <w:color w:val="auto"/>
          <w:kern w:val="0"/>
          <w:sz w:val="28"/>
          <w:szCs w:val="28"/>
          <w:highlight w:val="none"/>
        </w:rPr>
        <w:fldChar w:fldCharType="separate"/>
      </w:r>
      <w:r>
        <w:rPr>
          <w:rFonts w:cs="Times New Roman"/>
          <w:color w:val="auto"/>
          <w:kern w:val="0"/>
          <w:szCs w:val="28"/>
          <w:highlight w:val="none"/>
        </w:rPr>
        <w:fldChar w:fldCharType="begin"/>
      </w:r>
      <w:r>
        <w:rPr>
          <w:rFonts w:cs="Times New Roman"/>
          <w:kern w:val="0"/>
          <w:szCs w:val="28"/>
          <w:highlight w:val="none"/>
        </w:rPr>
        <w:instrText xml:space="preserve"> HYPERLINK \l _Toc1817 </w:instrText>
      </w:r>
      <w:r>
        <w:rPr>
          <w:rFonts w:cs="Times New Roman"/>
          <w:kern w:val="0"/>
          <w:szCs w:val="28"/>
          <w:highlight w:val="none"/>
        </w:rPr>
        <w:fldChar w:fldCharType="separate"/>
      </w:r>
      <w:r>
        <w:rPr>
          <w:rFonts w:cs="Times New Roman"/>
          <w:highlight w:val="none"/>
        </w:rPr>
        <w:t>1　总　　则</w:t>
      </w:r>
      <w:r>
        <w:rPr>
          <w:highlight w:val="none"/>
        </w:rPr>
        <w:tab/>
      </w:r>
      <w:r>
        <w:rPr>
          <w:highlight w:val="none"/>
        </w:rPr>
        <w:fldChar w:fldCharType="begin"/>
      </w:r>
      <w:r>
        <w:rPr>
          <w:highlight w:val="none"/>
        </w:rPr>
        <w:instrText xml:space="preserve"> PAGEREF _Toc1817 \h </w:instrText>
      </w:r>
      <w:r>
        <w:rPr>
          <w:highlight w:val="none"/>
        </w:rPr>
        <w:fldChar w:fldCharType="separate"/>
      </w:r>
      <w:r>
        <w:rPr>
          <w:highlight w:val="none"/>
        </w:rPr>
        <w:t>1</w:t>
      </w:r>
      <w:r>
        <w:rPr>
          <w:highlight w:val="none"/>
        </w:rPr>
        <w:fldChar w:fldCharType="end"/>
      </w:r>
      <w:r>
        <w:rPr>
          <w:rFonts w:cs="Times New Roman"/>
          <w:color w:val="auto"/>
          <w:kern w:val="0"/>
          <w:szCs w:val="28"/>
          <w:highlight w:val="none"/>
        </w:rPr>
        <w:fldChar w:fldCharType="end"/>
      </w:r>
    </w:p>
    <w:p>
      <w:pPr>
        <w:pStyle w:val="29"/>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_Toc13769 </w:instrText>
      </w:r>
      <w:r>
        <w:rPr>
          <w:rFonts w:cs="Times New Roman"/>
          <w:kern w:val="0"/>
          <w:szCs w:val="28"/>
          <w:highlight w:val="none"/>
        </w:rPr>
        <w:fldChar w:fldCharType="separate"/>
      </w:r>
      <w:r>
        <w:rPr>
          <w:rFonts w:cs="Times New Roman"/>
          <w:lang w:val="el-GR"/>
          <w:highlight w:val="none"/>
        </w:rPr>
        <w:t>2　术语</w:t>
      </w:r>
      <w:r>
        <w:rPr>
          <w:rFonts w:cs="Times New Roman" w:hint="eastAsia"/>
          <w:highlight w:val="none"/>
        </w:rPr>
        <w:t>和</w:t>
      </w:r>
      <w:r>
        <w:rPr>
          <w:rFonts w:cs="Times New Roman"/>
          <w:lang w:val="el-GR"/>
          <w:highlight w:val="none"/>
        </w:rPr>
        <w:t>符号</w:t>
      </w:r>
      <w:r>
        <w:rPr>
          <w:highlight w:val="none"/>
        </w:rPr>
        <w:tab/>
      </w:r>
      <w:r>
        <w:rPr>
          <w:highlight w:val="none"/>
        </w:rPr>
        <w:fldChar w:fldCharType="begin"/>
      </w:r>
      <w:r>
        <w:rPr>
          <w:highlight w:val="none"/>
        </w:rPr>
        <w:instrText xml:space="preserve"> PAGEREF _Toc13769 \h </w:instrText>
      </w:r>
      <w:r>
        <w:rPr>
          <w:highlight w:val="none"/>
        </w:rPr>
        <w:fldChar w:fldCharType="separate"/>
      </w:r>
      <w:r>
        <w:rPr>
          <w:highlight w:val="none"/>
        </w:rPr>
        <w:t>2</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_Toc12958 </w:instrText>
      </w:r>
      <w:r>
        <w:rPr>
          <w:rFonts w:cs="Times New Roman"/>
          <w:kern w:val="0"/>
          <w:szCs w:val="28"/>
          <w:highlight w:val="none"/>
        </w:rPr>
        <w:fldChar w:fldCharType="separate"/>
      </w:r>
      <w:r>
        <w:rPr>
          <w:rFonts w:ascii="Times New Roman" w:cs="Times New Roman" w:hAnsi="Times New Roman"/>
          <w:highlight w:val="none"/>
        </w:rPr>
        <w:t>2.1　术语</w:t>
      </w:r>
      <w:r>
        <w:rPr>
          <w:highlight w:val="none"/>
        </w:rPr>
        <w:tab/>
      </w:r>
      <w:r>
        <w:rPr>
          <w:highlight w:val="none"/>
        </w:rPr>
        <w:fldChar w:fldCharType="begin"/>
      </w:r>
      <w:r>
        <w:rPr>
          <w:highlight w:val="none"/>
        </w:rPr>
        <w:instrText xml:space="preserve"> PAGEREF _Toc12958 \h </w:instrText>
      </w:r>
      <w:r>
        <w:rPr>
          <w:highlight w:val="none"/>
        </w:rPr>
        <w:fldChar w:fldCharType="separate"/>
      </w:r>
      <w:r>
        <w:rPr>
          <w:highlight w:val="none"/>
        </w:rPr>
        <w:t>2</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_Toc29408 </w:instrText>
      </w:r>
      <w:r>
        <w:rPr>
          <w:rFonts w:cs="Times New Roman"/>
          <w:kern w:val="0"/>
          <w:szCs w:val="28"/>
          <w:highlight w:val="none"/>
        </w:rPr>
        <w:fldChar w:fldCharType="separate"/>
      </w:r>
      <w:r>
        <w:rPr>
          <w:rFonts w:ascii="Times New Roman" w:cs="Times New Roman" w:hAnsi="Times New Roman"/>
          <w:highlight w:val="none"/>
        </w:rPr>
        <w:t>2.2　符号</w:t>
      </w:r>
      <w:r>
        <w:rPr>
          <w:highlight w:val="none"/>
        </w:rPr>
        <w:tab/>
      </w:r>
      <w:r>
        <w:rPr>
          <w:highlight w:val="none"/>
        </w:rPr>
        <w:fldChar w:fldCharType="begin"/>
      </w:r>
      <w:r>
        <w:rPr>
          <w:highlight w:val="none"/>
        </w:rPr>
        <w:instrText xml:space="preserve"> PAGEREF _Toc29408 \h </w:instrText>
      </w:r>
      <w:r>
        <w:rPr>
          <w:highlight w:val="none"/>
        </w:rPr>
        <w:fldChar w:fldCharType="separate"/>
      </w:r>
      <w:r>
        <w:rPr>
          <w:highlight w:val="none"/>
        </w:rPr>
        <w:t>4</w:t>
      </w:r>
      <w:r>
        <w:rPr>
          <w:highlight w:val="none"/>
        </w:rPr>
        <w:fldChar w:fldCharType="end"/>
      </w:r>
      <w:r>
        <w:rPr>
          <w:rFonts w:cs="Times New Roman"/>
          <w:color w:val="auto"/>
          <w:kern w:val="0"/>
          <w:szCs w:val="28"/>
          <w:highlight w:val="none"/>
        </w:rPr>
        <w:fldChar w:fldCharType="end"/>
      </w:r>
    </w:p>
    <w:p>
      <w:pPr>
        <w:pStyle w:val="29"/>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_Toc22925 </w:instrText>
      </w:r>
      <w:r>
        <w:rPr>
          <w:rFonts w:cs="Times New Roman"/>
          <w:kern w:val="0"/>
          <w:szCs w:val="28"/>
          <w:highlight w:val="none"/>
        </w:rPr>
        <w:fldChar w:fldCharType="separate"/>
      </w:r>
      <w:r>
        <w:rPr>
          <w:rFonts w:cs="Times New Roman"/>
          <w:lang w:val="el-GR"/>
          <w:highlight w:val="none"/>
        </w:rPr>
        <w:t>3　基本规定</w:t>
      </w:r>
      <w:r>
        <w:rPr>
          <w:highlight w:val="none"/>
        </w:rPr>
        <w:tab/>
      </w:r>
      <w:r>
        <w:rPr>
          <w:highlight w:val="none"/>
        </w:rPr>
        <w:fldChar w:fldCharType="begin"/>
      </w:r>
      <w:r>
        <w:rPr>
          <w:highlight w:val="none"/>
        </w:rPr>
        <w:instrText xml:space="preserve"> PAGEREF _Toc22925 \h </w:instrText>
      </w:r>
      <w:r>
        <w:rPr>
          <w:highlight w:val="none"/>
        </w:rPr>
        <w:fldChar w:fldCharType="separate"/>
      </w:r>
      <w:r>
        <w:rPr>
          <w:highlight w:val="none"/>
        </w:rPr>
        <w:t>7</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_Toc3103 </w:instrText>
      </w:r>
      <w:r>
        <w:rPr>
          <w:rFonts w:cs="Times New Roman"/>
          <w:kern w:val="0"/>
          <w:szCs w:val="28"/>
          <w:highlight w:val="none"/>
        </w:rPr>
        <w:fldChar w:fldCharType="separate"/>
      </w:r>
      <w:r>
        <w:rPr>
          <w:rFonts w:ascii="Times New Roman" w:cs="Times New Roman" w:hAnsi="Times New Roman"/>
          <w:highlight w:val="none"/>
        </w:rPr>
        <w:t>3.1　检测分类与检测方法</w:t>
      </w:r>
      <w:r>
        <w:rPr>
          <w:highlight w:val="none"/>
        </w:rPr>
        <w:tab/>
      </w:r>
      <w:r>
        <w:rPr>
          <w:highlight w:val="none"/>
        </w:rPr>
        <w:fldChar w:fldCharType="begin"/>
      </w:r>
      <w:r>
        <w:rPr>
          <w:highlight w:val="none"/>
        </w:rPr>
        <w:instrText xml:space="preserve"> PAGEREF _Toc3103 \h </w:instrText>
      </w:r>
      <w:r>
        <w:rPr>
          <w:highlight w:val="none"/>
        </w:rPr>
        <w:fldChar w:fldCharType="separate"/>
      </w:r>
      <w:r>
        <w:rPr>
          <w:highlight w:val="none"/>
        </w:rPr>
        <w:t>7</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_Toc27087 </w:instrText>
      </w:r>
      <w:r>
        <w:rPr>
          <w:rFonts w:cs="Times New Roman"/>
          <w:kern w:val="0"/>
          <w:szCs w:val="28"/>
          <w:highlight w:val="none"/>
        </w:rPr>
        <w:fldChar w:fldCharType="separate"/>
      </w:r>
      <w:r>
        <w:rPr>
          <w:rFonts w:ascii="Times New Roman" w:cs="Times New Roman" w:hAnsi="Times New Roman"/>
          <w:highlight w:val="none"/>
        </w:rPr>
        <w:t>3.2　检测</w:t>
      </w:r>
      <w:r>
        <w:rPr>
          <w:rFonts w:ascii="Times New Roman" w:cs="Times New Roman" w:hAnsi="Times New Roman" w:hint="eastAsia"/>
          <w:lang w:val="en-US" w:eastAsia="zh-CN"/>
          <w:highlight w:val="none"/>
        </w:rPr>
        <w:t>准备</w:t>
      </w:r>
      <w:r>
        <w:rPr>
          <w:highlight w:val="none"/>
        </w:rPr>
        <w:tab/>
      </w:r>
      <w:r>
        <w:rPr>
          <w:highlight w:val="none"/>
        </w:rPr>
        <w:fldChar w:fldCharType="begin"/>
      </w:r>
      <w:r>
        <w:rPr>
          <w:highlight w:val="none"/>
        </w:rPr>
        <w:instrText xml:space="preserve"> PAGEREF _Toc27087 \h </w:instrText>
      </w:r>
      <w:r>
        <w:rPr>
          <w:highlight w:val="none"/>
        </w:rPr>
        <w:fldChar w:fldCharType="separate"/>
      </w:r>
      <w:r>
        <w:rPr>
          <w:highlight w:val="none"/>
        </w:rPr>
        <w:t>9</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_Toc13563 </w:instrText>
      </w:r>
      <w:r>
        <w:rPr>
          <w:rFonts w:cs="Times New Roman"/>
          <w:kern w:val="0"/>
          <w:szCs w:val="28"/>
          <w:highlight w:val="none"/>
        </w:rPr>
        <w:fldChar w:fldCharType="separate"/>
      </w:r>
      <w:r>
        <w:rPr>
          <w:rFonts w:ascii="Times New Roman" w:cs="Times New Roman" w:hAnsi="Times New Roman"/>
          <w:highlight w:val="none"/>
        </w:rPr>
        <w:t>3.3　检测报告</w:t>
      </w:r>
      <w:r>
        <w:rPr>
          <w:highlight w:val="none"/>
        </w:rPr>
        <w:tab/>
      </w:r>
      <w:r>
        <w:rPr>
          <w:highlight w:val="none"/>
        </w:rPr>
        <w:fldChar w:fldCharType="begin"/>
      </w:r>
      <w:r>
        <w:rPr>
          <w:highlight w:val="none"/>
        </w:rPr>
        <w:instrText xml:space="preserve"> PAGEREF _Toc13563 \h </w:instrText>
      </w:r>
      <w:r>
        <w:rPr>
          <w:highlight w:val="none"/>
        </w:rPr>
        <w:fldChar w:fldCharType="separate"/>
      </w:r>
      <w:r>
        <w:rPr>
          <w:highlight w:val="none"/>
        </w:rPr>
        <w:t>10</w:t>
      </w:r>
      <w:r>
        <w:rPr>
          <w:highlight w:val="none"/>
        </w:rPr>
        <w:fldChar w:fldCharType="end"/>
      </w:r>
      <w:r>
        <w:rPr>
          <w:rFonts w:cs="Times New Roman"/>
          <w:color w:val="auto"/>
          <w:kern w:val="0"/>
          <w:szCs w:val="28"/>
          <w:highlight w:val="none"/>
        </w:rPr>
        <w:fldChar w:fldCharType="end"/>
      </w:r>
    </w:p>
    <w:p>
      <w:pPr>
        <w:pStyle w:val="29"/>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_Toc6511 </w:instrText>
      </w:r>
      <w:r>
        <w:rPr>
          <w:rFonts w:cs="Times New Roman"/>
          <w:kern w:val="0"/>
          <w:szCs w:val="28"/>
          <w:highlight w:val="none"/>
        </w:rPr>
        <w:fldChar w:fldCharType="separate"/>
      </w:r>
      <w:r>
        <w:rPr>
          <w:rFonts w:cs="Times New Roman"/>
          <w:highlight w:val="none"/>
        </w:rPr>
        <w:t>4　内窥镜法</w:t>
      </w:r>
      <w:r>
        <w:rPr>
          <w:highlight w:val="none"/>
        </w:rPr>
        <w:tab/>
      </w:r>
      <w:r>
        <w:rPr>
          <w:highlight w:val="none"/>
        </w:rPr>
        <w:fldChar w:fldCharType="begin"/>
      </w:r>
      <w:r>
        <w:rPr>
          <w:highlight w:val="none"/>
        </w:rPr>
        <w:instrText xml:space="preserve"> PAGEREF _Toc6511 \h </w:instrText>
      </w:r>
      <w:r>
        <w:rPr>
          <w:highlight w:val="none"/>
        </w:rPr>
        <w:fldChar w:fldCharType="separate"/>
      </w:r>
      <w:r>
        <w:rPr>
          <w:highlight w:val="none"/>
        </w:rPr>
        <w:t>12</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_Toc535 </w:instrText>
      </w:r>
      <w:r>
        <w:rPr>
          <w:rFonts w:cs="Times New Roman"/>
          <w:kern w:val="0"/>
          <w:szCs w:val="28"/>
          <w:highlight w:val="none"/>
        </w:rPr>
        <w:fldChar w:fldCharType="separate"/>
      </w:r>
      <w:r>
        <w:rPr>
          <w:rFonts w:ascii="Times New Roman" w:cs="Times New Roman" w:hAnsi="Times New Roman"/>
          <w:highlight w:val="none"/>
        </w:rPr>
        <w:t>4.1　一般规定</w:t>
      </w:r>
      <w:r>
        <w:rPr>
          <w:highlight w:val="none"/>
        </w:rPr>
        <w:tab/>
      </w:r>
      <w:r>
        <w:rPr>
          <w:highlight w:val="none"/>
        </w:rPr>
        <w:fldChar w:fldCharType="begin"/>
      </w:r>
      <w:r>
        <w:rPr>
          <w:highlight w:val="none"/>
        </w:rPr>
        <w:instrText xml:space="preserve"> PAGEREF _Toc535 \h </w:instrText>
      </w:r>
      <w:r>
        <w:rPr>
          <w:highlight w:val="none"/>
        </w:rPr>
        <w:fldChar w:fldCharType="separate"/>
      </w:r>
      <w:r>
        <w:rPr>
          <w:highlight w:val="none"/>
        </w:rPr>
        <w:t>12</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_Toc3651 </w:instrText>
      </w:r>
      <w:r>
        <w:rPr>
          <w:rFonts w:cs="Times New Roman"/>
          <w:kern w:val="0"/>
          <w:szCs w:val="28"/>
          <w:highlight w:val="none"/>
        </w:rPr>
        <w:fldChar w:fldCharType="separate"/>
      </w:r>
      <w:r>
        <w:rPr>
          <w:rFonts w:ascii="Times New Roman" w:cs="Times New Roman" w:hAnsi="Times New Roman"/>
          <w:highlight w:val="none"/>
        </w:rPr>
        <w:t>4.2　检测设备</w:t>
      </w:r>
      <w:r>
        <w:rPr>
          <w:highlight w:val="none"/>
        </w:rPr>
        <w:tab/>
      </w:r>
      <w:r>
        <w:rPr>
          <w:highlight w:val="none"/>
        </w:rPr>
        <w:fldChar w:fldCharType="begin"/>
      </w:r>
      <w:r>
        <w:rPr>
          <w:highlight w:val="none"/>
        </w:rPr>
        <w:instrText xml:space="preserve"> PAGEREF _Toc3651 \h </w:instrText>
      </w:r>
      <w:r>
        <w:rPr>
          <w:highlight w:val="none"/>
        </w:rPr>
        <w:fldChar w:fldCharType="separate"/>
      </w:r>
      <w:r>
        <w:rPr>
          <w:highlight w:val="none"/>
        </w:rPr>
        <w:t>12</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_Toc30684 </w:instrText>
      </w:r>
      <w:r>
        <w:rPr>
          <w:rFonts w:cs="Times New Roman"/>
          <w:kern w:val="0"/>
          <w:szCs w:val="28"/>
          <w:highlight w:val="none"/>
        </w:rPr>
        <w:fldChar w:fldCharType="separate"/>
      </w:r>
      <w:r>
        <w:rPr>
          <w:rFonts w:ascii="Times New Roman" w:cs="Times New Roman" w:hAnsi="Times New Roman"/>
          <w:highlight w:val="none"/>
        </w:rPr>
        <w:t>4.3　检测</w:t>
      </w:r>
      <w:r>
        <w:rPr>
          <w:highlight w:val="none"/>
        </w:rPr>
        <w:tab/>
      </w:r>
      <w:r>
        <w:rPr>
          <w:highlight w:val="none"/>
        </w:rPr>
        <w:fldChar w:fldCharType="begin"/>
      </w:r>
      <w:r>
        <w:rPr>
          <w:highlight w:val="none"/>
        </w:rPr>
        <w:instrText xml:space="preserve"> PAGEREF _Toc30684 \h </w:instrText>
      </w:r>
      <w:r>
        <w:rPr>
          <w:highlight w:val="none"/>
        </w:rPr>
        <w:fldChar w:fldCharType="separate"/>
      </w:r>
      <w:r>
        <w:rPr>
          <w:highlight w:val="none"/>
        </w:rPr>
        <w:t>13</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_Toc20403 </w:instrText>
      </w:r>
      <w:r>
        <w:rPr>
          <w:rFonts w:cs="Times New Roman"/>
          <w:kern w:val="0"/>
          <w:szCs w:val="28"/>
          <w:highlight w:val="none"/>
        </w:rPr>
        <w:fldChar w:fldCharType="separate"/>
      </w:r>
      <w:r>
        <w:rPr>
          <w:rFonts w:ascii="Times New Roman" w:cs="Times New Roman" w:hAnsi="Times New Roman"/>
          <w:highlight w:val="none"/>
        </w:rPr>
        <w:t>4.4　评定</w:t>
      </w:r>
      <w:r>
        <w:rPr>
          <w:highlight w:val="none"/>
        </w:rPr>
        <w:tab/>
      </w:r>
      <w:r>
        <w:rPr>
          <w:highlight w:val="none"/>
        </w:rPr>
        <w:fldChar w:fldCharType="begin"/>
      </w:r>
      <w:r>
        <w:rPr>
          <w:highlight w:val="none"/>
        </w:rPr>
        <w:instrText xml:space="preserve"> PAGEREF _Toc20403 \h </w:instrText>
      </w:r>
      <w:r>
        <w:rPr>
          <w:highlight w:val="none"/>
        </w:rPr>
        <w:fldChar w:fldCharType="separate"/>
      </w:r>
      <w:r>
        <w:rPr>
          <w:highlight w:val="none"/>
        </w:rPr>
        <w:t>14</w:t>
      </w:r>
      <w:r>
        <w:rPr>
          <w:highlight w:val="none"/>
        </w:rPr>
        <w:fldChar w:fldCharType="end"/>
      </w:r>
      <w:r>
        <w:rPr>
          <w:rFonts w:cs="Times New Roman"/>
          <w:color w:val="auto"/>
          <w:kern w:val="0"/>
          <w:szCs w:val="28"/>
          <w:highlight w:val="none"/>
        </w:rPr>
        <w:fldChar w:fldCharType="end"/>
      </w:r>
    </w:p>
    <w:p>
      <w:pPr>
        <w:pStyle w:val="29"/>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_Toc22027 </w:instrText>
      </w:r>
      <w:r>
        <w:rPr>
          <w:rFonts w:cs="Times New Roman"/>
          <w:kern w:val="0"/>
          <w:szCs w:val="28"/>
          <w:highlight w:val="none"/>
        </w:rPr>
        <w:fldChar w:fldCharType="separate"/>
      </w:r>
      <w:r>
        <w:rPr>
          <w:rFonts w:cs="Times New Roman"/>
          <w:highlight w:val="none"/>
        </w:rPr>
        <w:t>5</w:t>
      </w:r>
      <w:r>
        <w:rPr>
          <w:rFonts w:cs="Times New Roman"/>
          <w:lang w:val="el-GR"/>
          <w:highlight w:val="none"/>
        </w:rPr>
        <w:t>　阻尼传感器法</w:t>
      </w:r>
      <w:r>
        <w:rPr>
          <w:highlight w:val="none"/>
        </w:rPr>
        <w:tab/>
      </w:r>
      <w:r>
        <w:rPr>
          <w:highlight w:val="none"/>
        </w:rPr>
        <w:fldChar w:fldCharType="begin"/>
      </w:r>
      <w:r>
        <w:rPr>
          <w:highlight w:val="none"/>
        </w:rPr>
        <w:instrText xml:space="preserve"> PAGEREF _Toc22027 \h </w:instrText>
      </w:r>
      <w:r>
        <w:rPr>
          <w:highlight w:val="none"/>
        </w:rPr>
        <w:fldChar w:fldCharType="separate"/>
      </w:r>
      <w:r>
        <w:rPr>
          <w:highlight w:val="none"/>
        </w:rPr>
        <w:t>16</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_Toc5087 </w:instrText>
      </w:r>
      <w:r>
        <w:rPr>
          <w:rFonts w:cs="Times New Roman"/>
          <w:kern w:val="0"/>
          <w:szCs w:val="28"/>
          <w:highlight w:val="none"/>
        </w:rPr>
        <w:fldChar w:fldCharType="separate"/>
      </w:r>
      <w:r>
        <w:rPr>
          <w:rFonts w:ascii="Times New Roman" w:cs="Times New Roman" w:hAnsi="Times New Roman"/>
          <w:highlight w:val="none"/>
        </w:rPr>
        <w:t>5.1　一般规定</w:t>
      </w:r>
      <w:r>
        <w:rPr>
          <w:highlight w:val="none"/>
        </w:rPr>
        <w:tab/>
      </w:r>
      <w:r>
        <w:rPr>
          <w:highlight w:val="none"/>
        </w:rPr>
        <w:fldChar w:fldCharType="begin"/>
      </w:r>
      <w:r>
        <w:rPr>
          <w:highlight w:val="none"/>
        </w:rPr>
        <w:instrText xml:space="preserve"> PAGEREF _Toc5087 \h </w:instrText>
      </w:r>
      <w:r>
        <w:rPr>
          <w:highlight w:val="none"/>
        </w:rPr>
        <w:fldChar w:fldCharType="separate"/>
      </w:r>
      <w:r>
        <w:rPr>
          <w:highlight w:val="none"/>
        </w:rPr>
        <w:t>16</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_Toc14459 </w:instrText>
      </w:r>
      <w:r>
        <w:rPr>
          <w:rFonts w:cs="Times New Roman"/>
          <w:kern w:val="0"/>
          <w:szCs w:val="28"/>
          <w:highlight w:val="none"/>
        </w:rPr>
        <w:fldChar w:fldCharType="separate"/>
      </w:r>
      <w:r>
        <w:rPr>
          <w:rFonts w:ascii="Times New Roman" w:cs="Times New Roman" w:hAnsi="Times New Roman"/>
          <w:highlight w:val="none"/>
        </w:rPr>
        <w:t>5.2　检测设备</w:t>
      </w:r>
      <w:r>
        <w:rPr>
          <w:highlight w:val="none"/>
        </w:rPr>
        <w:tab/>
      </w:r>
      <w:r>
        <w:rPr>
          <w:highlight w:val="none"/>
        </w:rPr>
        <w:fldChar w:fldCharType="begin"/>
      </w:r>
      <w:r>
        <w:rPr>
          <w:highlight w:val="none"/>
        </w:rPr>
        <w:instrText xml:space="preserve"> PAGEREF _Toc14459 \h </w:instrText>
      </w:r>
      <w:r>
        <w:rPr>
          <w:highlight w:val="none"/>
        </w:rPr>
        <w:fldChar w:fldCharType="separate"/>
      </w:r>
      <w:r>
        <w:rPr>
          <w:highlight w:val="none"/>
        </w:rPr>
        <w:t>16</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_Toc32327 </w:instrText>
      </w:r>
      <w:r>
        <w:rPr>
          <w:rFonts w:cs="Times New Roman"/>
          <w:kern w:val="0"/>
          <w:szCs w:val="28"/>
          <w:highlight w:val="none"/>
        </w:rPr>
        <w:fldChar w:fldCharType="separate"/>
      </w:r>
      <w:r>
        <w:rPr>
          <w:rFonts w:ascii="Times New Roman" w:cs="Times New Roman" w:hAnsi="Times New Roman"/>
          <w:highlight w:val="none"/>
        </w:rPr>
        <w:t>5.3　检测</w:t>
      </w:r>
      <w:r>
        <w:rPr>
          <w:highlight w:val="none"/>
        </w:rPr>
        <w:tab/>
      </w:r>
      <w:r>
        <w:rPr>
          <w:highlight w:val="none"/>
        </w:rPr>
        <w:fldChar w:fldCharType="begin"/>
      </w:r>
      <w:r>
        <w:rPr>
          <w:highlight w:val="none"/>
        </w:rPr>
        <w:instrText xml:space="preserve"> PAGEREF _Toc32327 \h </w:instrText>
      </w:r>
      <w:r>
        <w:rPr>
          <w:highlight w:val="none"/>
        </w:rPr>
        <w:fldChar w:fldCharType="separate"/>
      </w:r>
      <w:r>
        <w:rPr>
          <w:highlight w:val="none"/>
        </w:rPr>
        <w:t>17</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_Toc26676 </w:instrText>
      </w:r>
      <w:r>
        <w:rPr>
          <w:rFonts w:cs="Times New Roman"/>
          <w:kern w:val="0"/>
          <w:szCs w:val="28"/>
          <w:highlight w:val="none"/>
        </w:rPr>
        <w:fldChar w:fldCharType="separate"/>
      </w:r>
      <w:r>
        <w:rPr>
          <w:rFonts w:ascii="Times New Roman" w:cs="Times New Roman" w:hAnsi="Times New Roman"/>
          <w:highlight w:val="none"/>
        </w:rPr>
        <w:t>5.4　评定</w:t>
      </w:r>
      <w:r>
        <w:rPr>
          <w:highlight w:val="none"/>
        </w:rPr>
        <w:tab/>
      </w:r>
      <w:r>
        <w:rPr>
          <w:highlight w:val="none"/>
        </w:rPr>
        <w:fldChar w:fldCharType="begin"/>
      </w:r>
      <w:r>
        <w:rPr>
          <w:highlight w:val="none"/>
        </w:rPr>
        <w:instrText xml:space="preserve"> PAGEREF _Toc26676 \h </w:instrText>
      </w:r>
      <w:r>
        <w:rPr>
          <w:highlight w:val="none"/>
        </w:rPr>
        <w:fldChar w:fldCharType="separate"/>
      </w:r>
      <w:r>
        <w:rPr>
          <w:highlight w:val="none"/>
        </w:rPr>
        <w:t>18</w:t>
      </w:r>
      <w:r>
        <w:rPr>
          <w:highlight w:val="none"/>
        </w:rPr>
        <w:fldChar w:fldCharType="end"/>
      </w:r>
      <w:r>
        <w:rPr>
          <w:rFonts w:cs="Times New Roman"/>
          <w:color w:val="auto"/>
          <w:kern w:val="0"/>
          <w:szCs w:val="28"/>
          <w:highlight w:val="none"/>
        </w:rPr>
        <w:fldChar w:fldCharType="end"/>
      </w:r>
    </w:p>
    <w:p>
      <w:pPr>
        <w:pStyle w:val="29"/>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_Toc13804 </w:instrText>
      </w:r>
      <w:r>
        <w:rPr>
          <w:rFonts w:cs="Times New Roman"/>
          <w:kern w:val="0"/>
          <w:szCs w:val="28"/>
          <w:highlight w:val="none"/>
        </w:rPr>
        <w:fldChar w:fldCharType="separate"/>
      </w:r>
      <w:r>
        <w:rPr>
          <w:rFonts w:cs="Times New Roman"/>
          <w:highlight w:val="none"/>
        </w:rPr>
        <w:t>6　芯片法</w:t>
      </w:r>
      <w:r>
        <w:rPr>
          <w:highlight w:val="none"/>
        </w:rPr>
        <w:tab/>
      </w:r>
      <w:r>
        <w:rPr>
          <w:highlight w:val="none"/>
        </w:rPr>
        <w:fldChar w:fldCharType="begin"/>
      </w:r>
      <w:r>
        <w:rPr>
          <w:highlight w:val="none"/>
        </w:rPr>
        <w:instrText xml:space="preserve"> PAGEREF _Toc13804 \h </w:instrText>
      </w:r>
      <w:r>
        <w:rPr>
          <w:highlight w:val="none"/>
        </w:rPr>
        <w:fldChar w:fldCharType="separate"/>
      </w:r>
      <w:r>
        <w:rPr>
          <w:highlight w:val="none"/>
        </w:rPr>
        <w:t>20</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_Toc12793 </w:instrText>
      </w:r>
      <w:r>
        <w:rPr>
          <w:rFonts w:cs="Times New Roman"/>
          <w:kern w:val="0"/>
          <w:szCs w:val="28"/>
          <w:highlight w:val="none"/>
        </w:rPr>
        <w:fldChar w:fldCharType="separate"/>
      </w:r>
      <w:r>
        <w:rPr>
          <w:rFonts w:ascii="Times New Roman" w:cs="Times New Roman" w:hAnsi="Times New Roman"/>
          <w:highlight w:val="none"/>
        </w:rPr>
        <w:t>6.1　一般规定</w:t>
      </w:r>
      <w:r>
        <w:rPr>
          <w:highlight w:val="none"/>
        </w:rPr>
        <w:tab/>
      </w:r>
      <w:r>
        <w:rPr>
          <w:highlight w:val="none"/>
        </w:rPr>
        <w:fldChar w:fldCharType="begin"/>
      </w:r>
      <w:r>
        <w:rPr>
          <w:highlight w:val="none"/>
        </w:rPr>
        <w:instrText xml:space="preserve"> PAGEREF _Toc12793 \h </w:instrText>
      </w:r>
      <w:r>
        <w:rPr>
          <w:highlight w:val="none"/>
        </w:rPr>
        <w:fldChar w:fldCharType="separate"/>
      </w:r>
      <w:r>
        <w:rPr>
          <w:highlight w:val="none"/>
        </w:rPr>
        <w:t>20</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_Toc14116 </w:instrText>
      </w:r>
      <w:r>
        <w:rPr>
          <w:rFonts w:cs="Times New Roman"/>
          <w:kern w:val="0"/>
          <w:szCs w:val="28"/>
          <w:highlight w:val="none"/>
        </w:rPr>
        <w:fldChar w:fldCharType="separate"/>
      </w:r>
      <w:r>
        <w:rPr>
          <w:rFonts w:ascii="Times New Roman" w:cs="Times New Roman" w:hAnsi="Times New Roman"/>
          <w:highlight w:val="none"/>
        </w:rPr>
        <w:t>6.2　检测设备</w:t>
      </w:r>
      <w:r>
        <w:rPr>
          <w:highlight w:val="none"/>
        </w:rPr>
        <w:tab/>
      </w:r>
      <w:r>
        <w:rPr>
          <w:highlight w:val="none"/>
        </w:rPr>
        <w:fldChar w:fldCharType="begin"/>
      </w:r>
      <w:r>
        <w:rPr>
          <w:highlight w:val="none"/>
        </w:rPr>
        <w:instrText xml:space="preserve"> PAGEREF _Toc14116 \h </w:instrText>
      </w:r>
      <w:r>
        <w:rPr>
          <w:highlight w:val="none"/>
        </w:rPr>
        <w:fldChar w:fldCharType="separate"/>
      </w:r>
      <w:r>
        <w:rPr>
          <w:highlight w:val="none"/>
        </w:rPr>
        <w:t>20</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_Toc227 </w:instrText>
      </w:r>
      <w:r>
        <w:rPr>
          <w:rFonts w:cs="Times New Roman"/>
          <w:kern w:val="0"/>
          <w:szCs w:val="28"/>
          <w:highlight w:val="none"/>
        </w:rPr>
        <w:fldChar w:fldCharType="separate"/>
      </w:r>
      <w:r>
        <w:rPr>
          <w:rFonts w:ascii="Times New Roman" w:cs="Times New Roman" w:hAnsi="Times New Roman"/>
          <w:highlight w:val="none"/>
        </w:rPr>
        <w:t>6.3　检测</w:t>
      </w:r>
      <w:r>
        <w:rPr>
          <w:highlight w:val="none"/>
        </w:rPr>
        <w:tab/>
      </w:r>
      <w:r>
        <w:rPr>
          <w:highlight w:val="none"/>
        </w:rPr>
        <w:fldChar w:fldCharType="begin"/>
      </w:r>
      <w:r>
        <w:rPr>
          <w:highlight w:val="none"/>
        </w:rPr>
        <w:instrText xml:space="preserve"> PAGEREF _Toc227 \h </w:instrText>
      </w:r>
      <w:r>
        <w:rPr>
          <w:highlight w:val="none"/>
        </w:rPr>
        <w:fldChar w:fldCharType="separate"/>
      </w:r>
      <w:r>
        <w:rPr>
          <w:highlight w:val="none"/>
        </w:rPr>
        <w:t>21</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_Toc2129 </w:instrText>
      </w:r>
      <w:r>
        <w:rPr>
          <w:rFonts w:cs="Times New Roman"/>
          <w:kern w:val="0"/>
          <w:szCs w:val="28"/>
          <w:highlight w:val="none"/>
        </w:rPr>
        <w:fldChar w:fldCharType="separate"/>
      </w:r>
      <w:r>
        <w:rPr>
          <w:rFonts w:ascii="Times New Roman" w:cs="Times New Roman" w:hAnsi="Times New Roman"/>
          <w:highlight w:val="none"/>
        </w:rPr>
        <w:t>6.4　评定</w:t>
      </w:r>
      <w:r>
        <w:rPr>
          <w:highlight w:val="none"/>
        </w:rPr>
        <w:tab/>
      </w:r>
      <w:r>
        <w:rPr>
          <w:highlight w:val="none"/>
        </w:rPr>
        <w:fldChar w:fldCharType="begin"/>
      </w:r>
      <w:r>
        <w:rPr>
          <w:highlight w:val="none"/>
        </w:rPr>
        <w:instrText xml:space="preserve"> PAGEREF _Toc2129 \h </w:instrText>
      </w:r>
      <w:r>
        <w:rPr>
          <w:highlight w:val="none"/>
        </w:rPr>
        <w:fldChar w:fldCharType="separate"/>
      </w:r>
      <w:r>
        <w:rPr>
          <w:highlight w:val="none"/>
        </w:rPr>
        <w:t>21</w:t>
      </w:r>
      <w:r>
        <w:rPr>
          <w:highlight w:val="none"/>
        </w:rPr>
        <w:fldChar w:fldCharType="end"/>
      </w:r>
      <w:r>
        <w:rPr>
          <w:rFonts w:cs="Times New Roman"/>
          <w:color w:val="auto"/>
          <w:kern w:val="0"/>
          <w:szCs w:val="28"/>
          <w:highlight w:val="none"/>
        </w:rPr>
        <w:fldChar w:fldCharType="end"/>
      </w:r>
    </w:p>
    <w:p>
      <w:pPr>
        <w:pStyle w:val="29"/>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_Toc12981 </w:instrText>
      </w:r>
      <w:r>
        <w:rPr>
          <w:rFonts w:cs="Times New Roman"/>
          <w:kern w:val="0"/>
          <w:szCs w:val="28"/>
          <w:highlight w:val="none"/>
        </w:rPr>
        <w:fldChar w:fldCharType="separate"/>
      </w:r>
      <w:r>
        <w:rPr>
          <w:rFonts w:cs="Times New Roman"/>
          <w:highlight w:val="none"/>
        </w:rPr>
        <w:t>7</w:t>
      </w:r>
      <w:r>
        <w:rPr>
          <w:rFonts w:cs="Times New Roman"/>
          <w:lang w:val="el-GR"/>
          <w:highlight w:val="none"/>
        </w:rPr>
        <w:t>　电阻率法</w:t>
      </w:r>
      <w:r>
        <w:rPr>
          <w:highlight w:val="none"/>
        </w:rPr>
        <w:tab/>
      </w:r>
      <w:r>
        <w:rPr>
          <w:highlight w:val="none"/>
        </w:rPr>
        <w:fldChar w:fldCharType="begin"/>
      </w:r>
      <w:r>
        <w:rPr>
          <w:highlight w:val="none"/>
        </w:rPr>
        <w:instrText xml:space="preserve"> PAGEREF _Toc12981 \h </w:instrText>
      </w:r>
      <w:r>
        <w:rPr>
          <w:highlight w:val="none"/>
        </w:rPr>
        <w:fldChar w:fldCharType="separate"/>
      </w:r>
      <w:r>
        <w:rPr>
          <w:highlight w:val="none"/>
        </w:rPr>
        <w:t>23</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_Toc25972 </w:instrText>
      </w:r>
      <w:r>
        <w:rPr>
          <w:rFonts w:cs="Times New Roman"/>
          <w:kern w:val="0"/>
          <w:szCs w:val="28"/>
          <w:highlight w:val="none"/>
        </w:rPr>
        <w:fldChar w:fldCharType="separate"/>
      </w:r>
      <w:r>
        <w:rPr>
          <w:rFonts w:ascii="Times New Roman" w:cs="Times New Roman" w:hAnsi="Times New Roman"/>
          <w:highlight w:val="none"/>
        </w:rPr>
        <w:t>7.1　一般规定</w:t>
      </w:r>
      <w:r>
        <w:rPr>
          <w:highlight w:val="none"/>
        </w:rPr>
        <w:tab/>
      </w:r>
      <w:r>
        <w:rPr>
          <w:highlight w:val="none"/>
        </w:rPr>
        <w:fldChar w:fldCharType="begin"/>
      </w:r>
      <w:r>
        <w:rPr>
          <w:highlight w:val="none"/>
        </w:rPr>
        <w:instrText xml:space="preserve"> PAGEREF _Toc25972 \h </w:instrText>
      </w:r>
      <w:r>
        <w:rPr>
          <w:highlight w:val="none"/>
        </w:rPr>
        <w:fldChar w:fldCharType="separate"/>
      </w:r>
      <w:r>
        <w:rPr>
          <w:highlight w:val="none"/>
        </w:rPr>
        <w:t>23</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_Toc7077 </w:instrText>
      </w:r>
      <w:r>
        <w:rPr>
          <w:rFonts w:cs="Times New Roman"/>
          <w:kern w:val="0"/>
          <w:szCs w:val="28"/>
          <w:highlight w:val="none"/>
        </w:rPr>
        <w:fldChar w:fldCharType="separate"/>
      </w:r>
      <w:r>
        <w:rPr>
          <w:rFonts w:ascii="Times New Roman" w:cs="Times New Roman" w:hAnsi="Times New Roman"/>
          <w:highlight w:val="none"/>
        </w:rPr>
        <w:t>7.2　检测设备</w:t>
      </w:r>
      <w:r>
        <w:rPr>
          <w:highlight w:val="none"/>
        </w:rPr>
        <w:tab/>
      </w:r>
      <w:r>
        <w:rPr>
          <w:highlight w:val="none"/>
        </w:rPr>
        <w:fldChar w:fldCharType="begin"/>
      </w:r>
      <w:r>
        <w:rPr>
          <w:highlight w:val="none"/>
        </w:rPr>
        <w:instrText xml:space="preserve"> PAGEREF _Toc7077 \h </w:instrText>
      </w:r>
      <w:r>
        <w:rPr>
          <w:highlight w:val="none"/>
        </w:rPr>
        <w:fldChar w:fldCharType="separate"/>
      </w:r>
      <w:r>
        <w:rPr>
          <w:highlight w:val="none"/>
        </w:rPr>
        <w:t>23</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_Toc8504 </w:instrText>
      </w:r>
      <w:r>
        <w:rPr>
          <w:rFonts w:cs="Times New Roman"/>
          <w:kern w:val="0"/>
          <w:szCs w:val="28"/>
          <w:highlight w:val="none"/>
        </w:rPr>
        <w:fldChar w:fldCharType="separate"/>
      </w:r>
      <w:r>
        <w:rPr>
          <w:rFonts w:ascii="Times New Roman" w:cs="Times New Roman" w:hAnsi="Times New Roman"/>
          <w:highlight w:val="none"/>
        </w:rPr>
        <w:t>7.3　检测</w:t>
      </w:r>
      <w:r>
        <w:rPr>
          <w:highlight w:val="none"/>
        </w:rPr>
        <w:tab/>
      </w:r>
      <w:r>
        <w:rPr>
          <w:highlight w:val="none"/>
        </w:rPr>
        <w:fldChar w:fldCharType="begin"/>
      </w:r>
      <w:r>
        <w:rPr>
          <w:highlight w:val="none"/>
        </w:rPr>
        <w:instrText xml:space="preserve"> PAGEREF _Toc8504 \h </w:instrText>
      </w:r>
      <w:r>
        <w:rPr>
          <w:highlight w:val="none"/>
        </w:rPr>
        <w:fldChar w:fldCharType="separate"/>
      </w:r>
      <w:r>
        <w:rPr>
          <w:highlight w:val="none"/>
        </w:rPr>
        <w:t>23</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_Toc7612 </w:instrText>
      </w:r>
      <w:r>
        <w:rPr>
          <w:rFonts w:cs="Times New Roman"/>
          <w:kern w:val="0"/>
          <w:szCs w:val="28"/>
          <w:highlight w:val="none"/>
        </w:rPr>
        <w:fldChar w:fldCharType="separate"/>
      </w:r>
      <w:r>
        <w:rPr>
          <w:rFonts w:ascii="Times New Roman" w:cs="Times New Roman" w:hAnsi="Times New Roman"/>
          <w:highlight w:val="none"/>
        </w:rPr>
        <w:t>7.4　评定</w:t>
      </w:r>
      <w:r>
        <w:rPr>
          <w:highlight w:val="none"/>
        </w:rPr>
        <w:tab/>
      </w:r>
      <w:r>
        <w:rPr>
          <w:highlight w:val="none"/>
        </w:rPr>
        <w:fldChar w:fldCharType="begin"/>
      </w:r>
      <w:r>
        <w:rPr>
          <w:highlight w:val="none"/>
        </w:rPr>
        <w:instrText xml:space="preserve"> PAGEREF _Toc7612 \h </w:instrText>
      </w:r>
      <w:r>
        <w:rPr>
          <w:highlight w:val="none"/>
        </w:rPr>
        <w:fldChar w:fldCharType="separate"/>
      </w:r>
      <w:r>
        <w:rPr>
          <w:highlight w:val="none"/>
        </w:rPr>
        <w:t>24</w:t>
      </w:r>
      <w:r>
        <w:rPr>
          <w:highlight w:val="none"/>
        </w:rPr>
        <w:fldChar w:fldCharType="end"/>
      </w:r>
      <w:r>
        <w:rPr>
          <w:rFonts w:cs="Times New Roman"/>
          <w:color w:val="auto"/>
          <w:kern w:val="0"/>
          <w:szCs w:val="28"/>
          <w:highlight w:val="none"/>
        </w:rPr>
        <w:fldChar w:fldCharType="end"/>
      </w:r>
    </w:p>
    <w:p>
      <w:pPr>
        <w:pStyle w:val="29"/>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_Toc12133 </w:instrText>
      </w:r>
      <w:r>
        <w:rPr>
          <w:rFonts w:cs="Times New Roman"/>
          <w:kern w:val="0"/>
          <w:szCs w:val="28"/>
          <w:highlight w:val="none"/>
        </w:rPr>
        <w:fldChar w:fldCharType="separate"/>
      </w:r>
      <w:r>
        <w:rPr>
          <w:rFonts w:cs="Times New Roman"/>
          <w:highlight w:val="none"/>
        </w:rPr>
        <w:t>8</w:t>
      </w:r>
      <w:r>
        <w:rPr>
          <w:rFonts w:cs="Times New Roman"/>
          <w:lang w:val="el-GR"/>
          <w:highlight w:val="none"/>
        </w:rPr>
        <w:t>　电</w:t>
      </w:r>
      <w:r>
        <w:rPr>
          <w:rFonts w:cs="Times New Roman"/>
          <w:highlight w:val="none"/>
        </w:rPr>
        <w:t>容</w:t>
      </w:r>
      <w:r>
        <w:rPr>
          <w:rFonts w:cs="Times New Roman"/>
          <w:lang w:val="el-GR"/>
          <w:highlight w:val="none"/>
        </w:rPr>
        <w:t>法</w:t>
      </w:r>
      <w:r>
        <w:rPr>
          <w:highlight w:val="none"/>
        </w:rPr>
        <w:tab/>
      </w:r>
      <w:r>
        <w:rPr>
          <w:highlight w:val="none"/>
        </w:rPr>
        <w:fldChar w:fldCharType="begin"/>
      </w:r>
      <w:r>
        <w:rPr>
          <w:highlight w:val="none"/>
        </w:rPr>
        <w:instrText xml:space="preserve"> PAGEREF _Toc12133 \h </w:instrText>
      </w:r>
      <w:r>
        <w:rPr>
          <w:highlight w:val="none"/>
        </w:rPr>
        <w:fldChar w:fldCharType="separate"/>
      </w:r>
      <w:r>
        <w:rPr>
          <w:highlight w:val="none"/>
        </w:rPr>
        <w:t>26</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_Toc6144 </w:instrText>
      </w:r>
      <w:r>
        <w:rPr>
          <w:rFonts w:cs="Times New Roman"/>
          <w:kern w:val="0"/>
          <w:szCs w:val="28"/>
          <w:highlight w:val="none"/>
        </w:rPr>
        <w:fldChar w:fldCharType="separate"/>
      </w:r>
      <w:r>
        <w:rPr>
          <w:rFonts w:ascii="Times New Roman" w:cs="Times New Roman" w:hAnsi="Times New Roman"/>
          <w:highlight w:val="none"/>
        </w:rPr>
        <w:t>8.1　一般规定</w:t>
      </w:r>
      <w:r>
        <w:rPr>
          <w:highlight w:val="none"/>
        </w:rPr>
        <w:tab/>
      </w:r>
      <w:r>
        <w:rPr>
          <w:highlight w:val="none"/>
        </w:rPr>
        <w:fldChar w:fldCharType="begin"/>
      </w:r>
      <w:r>
        <w:rPr>
          <w:highlight w:val="none"/>
        </w:rPr>
        <w:instrText xml:space="preserve"> PAGEREF _Toc6144 \h </w:instrText>
      </w:r>
      <w:r>
        <w:rPr>
          <w:highlight w:val="none"/>
        </w:rPr>
        <w:fldChar w:fldCharType="separate"/>
      </w:r>
      <w:r>
        <w:rPr>
          <w:highlight w:val="none"/>
        </w:rPr>
        <w:t>26</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_Toc11227 </w:instrText>
      </w:r>
      <w:r>
        <w:rPr>
          <w:rFonts w:cs="Times New Roman"/>
          <w:kern w:val="0"/>
          <w:szCs w:val="28"/>
          <w:highlight w:val="none"/>
        </w:rPr>
        <w:fldChar w:fldCharType="separate"/>
      </w:r>
      <w:r>
        <w:rPr>
          <w:rFonts w:ascii="Times New Roman" w:cs="Times New Roman" w:hAnsi="Times New Roman"/>
          <w:highlight w:val="none"/>
        </w:rPr>
        <w:t>8.2　检测设备</w:t>
      </w:r>
      <w:r>
        <w:rPr>
          <w:highlight w:val="none"/>
        </w:rPr>
        <w:tab/>
      </w:r>
      <w:r>
        <w:rPr>
          <w:highlight w:val="none"/>
        </w:rPr>
        <w:fldChar w:fldCharType="begin"/>
      </w:r>
      <w:r>
        <w:rPr>
          <w:highlight w:val="none"/>
        </w:rPr>
        <w:instrText xml:space="preserve"> PAGEREF _Toc11227 \h </w:instrText>
      </w:r>
      <w:r>
        <w:rPr>
          <w:highlight w:val="none"/>
        </w:rPr>
        <w:fldChar w:fldCharType="separate"/>
      </w:r>
      <w:r>
        <w:rPr>
          <w:highlight w:val="none"/>
        </w:rPr>
        <w:t>26</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_Toc21495 </w:instrText>
      </w:r>
      <w:r>
        <w:rPr>
          <w:rFonts w:cs="Times New Roman"/>
          <w:kern w:val="0"/>
          <w:szCs w:val="28"/>
          <w:highlight w:val="none"/>
        </w:rPr>
        <w:fldChar w:fldCharType="separate"/>
      </w:r>
      <w:r>
        <w:rPr>
          <w:rFonts w:ascii="Times New Roman" w:cs="Times New Roman" w:hAnsi="Times New Roman"/>
          <w:highlight w:val="none"/>
        </w:rPr>
        <w:t>8.3　检测</w:t>
      </w:r>
      <w:r>
        <w:rPr>
          <w:highlight w:val="none"/>
        </w:rPr>
        <w:tab/>
      </w:r>
      <w:r>
        <w:rPr>
          <w:highlight w:val="none"/>
        </w:rPr>
        <w:fldChar w:fldCharType="begin"/>
      </w:r>
      <w:r>
        <w:rPr>
          <w:highlight w:val="none"/>
        </w:rPr>
        <w:instrText xml:space="preserve"> PAGEREF _Toc21495 \h </w:instrText>
      </w:r>
      <w:r>
        <w:rPr>
          <w:highlight w:val="none"/>
        </w:rPr>
        <w:fldChar w:fldCharType="separate"/>
      </w:r>
      <w:r>
        <w:rPr>
          <w:highlight w:val="none"/>
        </w:rPr>
        <w:t>26</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_Toc2698 </w:instrText>
      </w:r>
      <w:r>
        <w:rPr>
          <w:rFonts w:cs="Times New Roman"/>
          <w:kern w:val="0"/>
          <w:szCs w:val="28"/>
          <w:highlight w:val="none"/>
        </w:rPr>
        <w:fldChar w:fldCharType="separate"/>
      </w:r>
      <w:r>
        <w:rPr>
          <w:rFonts w:ascii="Times New Roman" w:cs="Times New Roman" w:hAnsi="Times New Roman"/>
          <w:highlight w:val="none"/>
        </w:rPr>
        <w:t>8.4　评定</w:t>
      </w:r>
      <w:r>
        <w:rPr>
          <w:highlight w:val="none"/>
        </w:rPr>
        <w:tab/>
      </w:r>
      <w:r>
        <w:rPr>
          <w:highlight w:val="none"/>
        </w:rPr>
        <w:fldChar w:fldCharType="begin"/>
      </w:r>
      <w:r>
        <w:rPr>
          <w:highlight w:val="none"/>
        </w:rPr>
        <w:instrText xml:space="preserve"> PAGEREF _Toc2698 \h </w:instrText>
      </w:r>
      <w:r>
        <w:rPr>
          <w:highlight w:val="none"/>
        </w:rPr>
        <w:fldChar w:fldCharType="separate"/>
      </w:r>
      <w:r>
        <w:rPr>
          <w:highlight w:val="none"/>
        </w:rPr>
        <w:t>27</w:t>
      </w:r>
      <w:r>
        <w:rPr>
          <w:highlight w:val="none"/>
        </w:rPr>
        <w:fldChar w:fldCharType="end"/>
      </w:r>
      <w:r>
        <w:rPr>
          <w:rFonts w:cs="Times New Roman"/>
          <w:color w:val="auto"/>
          <w:kern w:val="0"/>
          <w:szCs w:val="28"/>
          <w:highlight w:val="none"/>
        </w:rPr>
        <w:fldChar w:fldCharType="end"/>
      </w:r>
    </w:p>
    <w:p>
      <w:pPr>
        <w:pStyle w:val="29"/>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_Toc3150 </w:instrText>
      </w:r>
      <w:r>
        <w:rPr>
          <w:rFonts w:cs="Times New Roman"/>
          <w:kern w:val="0"/>
          <w:szCs w:val="28"/>
          <w:highlight w:val="none"/>
        </w:rPr>
        <w:fldChar w:fldCharType="separate"/>
      </w:r>
      <w:r>
        <w:rPr>
          <w:rFonts w:cs="Times New Roman"/>
          <w:highlight w:val="none"/>
        </w:rPr>
        <w:t>9</w:t>
      </w:r>
      <w:r>
        <w:rPr>
          <w:rFonts w:cs="Times New Roman"/>
          <w:lang w:val="el-GR"/>
          <w:highlight w:val="none"/>
        </w:rPr>
        <w:t>　</w:t>
      </w:r>
      <w:r>
        <w:rPr>
          <w:rFonts w:cs="Times New Roman"/>
          <w:highlight w:val="none"/>
        </w:rPr>
        <w:t>压电法</w:t>
      </w:r>
      <w:r>
        <w:rPr>
          <w:highlight w:val="none"/>
        </w:rPr>
        <w:tab/>
      </w:r>
      <w:r>
        <w:rPr>
          <w:highlight w:val="none"/>
        </w:rPr>
        <w:fldChar w:fldCharType="begin"/>
      </w:r>
      <w:r>
        <w:rPr>
          <w:highlight w:val="none"/>
        </w:rPr>
        <w:instrText xml:space="preserve"> PAGEREF _Toc3150 \h </w:instrText>
      </w:r>
      <w:r>
        <w:rPr>
          <w:highlight w:val="none"/>
        </w:rPr>
        <w:fldChar w:fldCharType="separate"/>
      </w:r>
      <w:r>
        <w:rPr>
          <w:highlight w:val="none"/>
        </w:rPr>
        <w:t>29</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_Toc16383 </w:instrText>
      </w:r>
      <w:r>
        <w:rPr>
          <w:rFonts w:cs="Times New Roman"/>
          <w:kern w:val="0"/>
          <w:szCs w:val="28"/>
          <w:highlight w:val="none"/>
        </w:rPr>
        <w:fldChar w:fldCharType="separate"/>
      </w:r>
      <w:r>
        <w:rPr>
          <w:rFonts w:ascii="Times New Roman" w:cs="Times New Roman" w:hAnsi="Times New Roman"/>
          <w:highlight w:val="none"/>
        </w:rPr>
        <w:t>9.1　一般规定</w:t>
      </w:r>
      <w:r>
        <w:rPr>
          <w:highlight w:val="none"/>
        </w:rPr>
        <w:tab/>
      </w:r>
      <w:r>
        <w:rPr>
          <w:highlight w:val="none"/>
        </w:rPr>
        <w:fldChar w:fldCharType="begin"/>
      </w:r>
      <w:r>
        <w:rPr>
          <w:highlight w:val="none"/>
        </w:rPr>
        <w:instrText xml:space="preserve"> PAGEREF _Toc16383 \h </w:instrText>
      </w:r>
      <w:r>
        <w:rPr>
          <w:highlight w:val="none"/>
        </w:rPr>
        <w:fldChar w:fldCharType="separate"/>
      </w:r>
      <w:r>
        <w:rPr>
          <w:highlight w:val="none"/>
        </w:rPr>
        <w:t>29</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_Toc15779 </w:instrText>
      </w:r>
      <w:r>
        <w:rPr>
          <w:rFonts w:cs="Times New Roman"/>
          <w:kern w:val="0"/>
          <w:szCs w:val="28"/>
          <w:highlight w:val="none"/>
        </w:rPr>
        <w:fldChar w:fldCharType="separate"/>
      </w:r>
      <w:r>
        <w:rPr>
          <w:rFonts w:ascii="Times New Roman" w:cs="Times New Roman" w:hAnsi="Times New Roman"/>
          <w:highlight w:val="none"/>
        </w:rPr>
        <w:t>9.2　检测设备</w:t>
      </w:r>
      <w:r>
        <w:rPr>
          <w:highlight w:val="none"/>
        </w:rPr>
        <w:tab/>
      </w:r>
      <w:r>
        <w:rPr>
          <w:highlight w:val="none"/>
        </w:rPr>
        <w:fldChar w:fldCharType="begin"/>
      </w:r>
      <w:r>
        <w:rPr>
          <w:highlight w:val="none"/>
        </w:rPr>
        <w:instrText xml:space="preserve"> PAGEREF _Toc15779 \h </w:instrText>
      </w:r>
      <w:r>
        <w:rPr>
          <w:highlight w:val="none"/>
        </w:rPr>
        <w:fldChar w:fldCharType="separate"/>
      </w:r>
      <w:r>
        <w:rPr>
          <w:highlight w:val="none"/>
        </w:rPr>
        <w:t>29</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_Toc28542 </w:instrText>
      </w:r>
      <w:r>
        <w:rPr>
          <w:rFonts w:cs="Times New Roman"/>
          <w:kern w:val="0"/>
          <w:szCs w:val="28"/>
          <w:highlight w:val="none"/>
        </w:rPr>
        <w:fldChar w:fldCharType="separate"/>
      </w:r>
      <w:r>
        <w:rPr>
          <w:rFonts w:ascii="Times New Roman" w:cs="Times New Roman" w:hAnsi="Times New Roman"/>
          <w:highlight w:val="none"/>
        </w:rPr>
        <w:t>9.3　检测</w:t>
      </w:r>
      <w:r>
        <w:rPr>
          <w:highlight w:val="none"/>
        </w:rPr>
        <w:tab/>
      </w:r>
      <w:r>
        <w:rPr>
          <w:highlight w:val="none"/>
        </w:rPr>
        <w:fldChar w:fldCharType="begin"/>
      </w:r>
      <w:r>
        <w:rPr>
          <w:highlight w:val="none"/>
        </w:rPr>
        <w:instrText xml:space="preserve"> PAGEREF _Toc28542 \h </w:instrText>
      </w:r>
      <w:r>
        <w:rPr>
          <w:highlight w:val="none"/>
        </w:rPr>
        <w:fldChar w:fldCharType="separate"/>
      </w:r>
      <w:r>
        <w:rPr>
          <w:highlight w:val="none"/>
        </w:rPr>
        <w:t>29</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_Toc15051 </w:instrText>
      </w:r>
      <w:r>
        <w:rPr>
          <w:rFonts w:cs="Times New Roman"/>
          <w:kern w:val="0"/>
          <w:szCs w:val="28"/>
          <w:highlight w:val="none"/>
        </w:rPr>
        <w:fldChar w:fldCharType="separate"/>
      </w:r>
      <w:r>
        <w:rPr>
          <w:rFonts w:ascii="Times New Roman" w:cs="Times New Roman" w:hAnsi="Times New Roman"/>
          <w:highlight w:val="none"/>
        </w:rPr>
        <w:t>9.4　评定</w:t>
      </w:r>
      <w:r>
        <w:rPr>
          <w:highlight w:val="none"/>
        </w:rPr>
        <w:tab/>
      </w:r>
      <w:r>
        <w:rPr>
          <w:highlight w:val="none"/>
        </w:rPr>
        <w:fldChar w:fldCharType="begin"/>
      </w:r>
      <w:r>
        <w:rPr>
          <w:highlight w:val="none"/>
        </w:rPr>
        <w:instrText xml:space="preserve"> PAGEREF _Toc15051 \h </w:instrText>
      </w:r>
      <w:r>
        <w:rPr>
          <w:highlight w:val="none"/>
        </w:rPr>
        <w:fldChar w:fldCharType="separate"/>
      </w:r>
      <w:r>
        <w:rPr>
          <w:highlight w:val="none"/>
        </w:rPr>
        <w:t>30</w:t>
      </w:r>
      <w:r>
        <w:rPr>
          <w:highlight w:val="none"/>
        </w:rPr>
        <w:fldChar w:fldCharType="end"/>
      </w:r>
      <w:r>
        <w:rPr>
          <w:rFonts w:cs="Times New Roman"/>
          <w:color w:val="auto"/>
          <w:kern w:val="0"/>
          <w:szCs w:val="28"/>
          <w:highlight w:val="none"/>
        </w:rPr>
        <w:fldChar w:fldCharType="end"/>
      </w:r>
    </w:p>
    <w:p>
      <w:pPr>
        <w:pStyle w:val="29"/>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_Toc21182 </w:instrText>
      </w:r>
      <w:r>
        <w:rPr>
          <w:rFonts w:cs="Times New Roman"/>
          <w:kern w:val="0"/>
          <w:szCs w:val="28"/>
          <w:highlight w:val="none"/>
        </w:rPr>
        <w:fldChar w:fldCharType="separate"/>
      </w:r>
      <w:r>
        <w:rPr>
          <w:rFonts w:cs="Times New Roman"/>
          <w:highlight w:val="none"/>
        </w:rPr>
        <w:t>10　压力传感器法</w:t>
      </w:r>
      <w:r>
        <w:rPr>
          <w:highlight w:val="none"/>
        </w:rPr>
        <w:tab/>
      </w:r>
      <w:r>
        <w:rPr>
          <w:highlight w:val="none"/>
        </w:rPr>
        <w:fldChar w:fldCharType="begin"/>
      </w:r>
      <w:r>
        <w:rPr>
          <w:highlight w:val="none"/>
        </w:rPr>
        <w:instrText xml:space="preserve"> PAGEREF _Toc21182 \h </w:instrText>
      </w:r>
      <w:r>
        <w:rPr>
          <w:highlight w:val="none"/>
        </w:rPr>
        <w:fldChar w:fldCharType="separate"/>
      </w:r>
      <w:r>
        <w:rPr>
          <w:highlight w:val="none"/>
        </w:rPr>
        <w:t>32</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_Toc2050 </w:instrText>
      </w:r>
      <w:r>
        <w:rPr>
          <w:rFonts w:cs="Times New Roman"/>
          <w:kern w:val="0"/>
          <w:szCs w:val="28"/>
          <w:highlight w:val="none"/>
        </w:rPr>
        <w:fldChar w:fldCharType="separate"/>
      </w:r>
      <w:r>
        <w:rPr>
          <w:rFonts w:ascii="Times New Roman" w:cs="Times New Roman" w:hAnsi="Times New Roman"/>
          <w:highlight w:val="none"/>
        </w:rPr>
        <w:t>10.1　一般规定</w:t>
      </w:r>
      <w:r>
        <w:rPr>
          <w:highlight w:val="none"/>
        </w:rPr>
        <w:tab/>
      </w:r>
      <w:r>
        <w:rPr>
          <w:highlight w:val="none"/>
        </w:rPr>
        <w:fldChar w:fldCharType="begin"/>
      </w:r>
      <w:r>
        <w:rPr>
          <w:highlight w:val="none"/>
        </w:rPr>
        <w:instrText xml:space="preserve"> PAGEREF _Toc2050 \h </w:instrText>
      </w:r>
      <w:r>
        <w:rPr>
          <w:highlight w:val="none"/>
        </w:rPr>
        <w:fldChar w:fldCharType="separate"/>
      </w:r>
      <w:r>
        <w:rPr>
          <w:highlight w:val="none"/>
        </w:rPr>
        <w:t>32</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_Toc28874 </w:instrText>
      </w:r>
      <w:r>
        <w:rPr>
          <w:rFonts w:cs="Times New Roman"/>
          <w:kern w:val="0"/>
          <w:szCs w:val="28"/>
          <w:highlight w:val="none"/>
        </w:rPr>
        <w:fldChar w:fldCharType="separate"/>
      </w:r>
      <w:r>
        <w:rPr>
          <w:rFonts w:ascii="Times New Roman" w:cs="Times New Roman" w:hAnsi="Times New Roman"/>
          <w:highlight w:val="none"/>
        </w:rPr>
        <w:t>10.2　检测设备</w:t>
      </w:r>
      <w:r>
        <w:rPr>
          <w:highlight w:val="none"/>
        </w:rPr>
        <w:tab/>
      </w:r>
      <w:r>
        <w:rPr>
          <w:highlight w:val="none"/>
        </w:rPr>
        <w:fldChar w:fldCharType="begin"/>
      </w:r>
      <w:r>
        <w:rPr>
          <w:highlight w:val="none"/>
        </w:rPr>
        <w:instrText xml:space="preserve"> PAGEREF _Toc28874 \h </w:instrText>
      </w:r>
      <w:r>
        <w:rPr>
          <w:highlight w:val="none"/>
        </w:rPr>
        <w:fldChar w:fldCharType="separate"/>
      </w:r>
      <w:r>
        <w:rPr>
          <w:highlight w:val="none"/>
        </w:rPr>
        <w:t>32</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_Toc23788 </w:instrText>
      </w:r>
      <w:r>
        <w:rPr>
          <w:rFonts w:cs="Times New Roman"/>
          <w:kern w:val="0"/>
          <w:szCs w:val="28"/>
          <w:highlight w:val="none"/>
        </w:rPr>
        <w:fldChar w:fldCharType="separate"/>
      </w:r>
      <w:r>
        <w:rPr>
          <w:rFonts w:ascii="Times New Roman" w:cs="Times New Roman" w:hAnsi="Times New Roman"/>
          <w:highlight w:val="none"/>
        </w:rPr>
        <w:t>10.3　检测</w:t>
      </w:r>
      <w:r>
        <w:rPr>
          <w:highlight w:val="none"/>
        </w:rPr>
        <w:tab/>
      </w:r>
      <w:r>
        <w:rPr>
          <w:highlight w:val="none"/>
        </w:rPr>
        <w:fldChar w:fldCharType="begin"/>
      </w:r>
      <w:r>
        <w:rPr>
          <w:highlight w:val="none"/>
        </w:rPr>
        <w:instrText xml:space="preserve"> PAGEREF _Toc23788 \h </w:instrText>
      </w:r>
      <w:r>
        <w:rPr>
          <w:highlight w:val="none"/>
        </w:rPr>
        <w:fldChar w:fldCharType="separate"/>
      </w:r>
      <w:r>
        <w:rPr>
          <w:highlight w:val="none"/>
        </w:rPr>
        <w:t>33</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_Toc9354 </w:instrText>
      </w:r>
      <w:r>
        <w:rPr>
          <w:rFonts w:cs="Times New Roman"/>
          <w:kern w:val="0"/>
          <w:szCs w:val="28"/>
          <w:highlight w:val="none"/>
        </w:rPr>
        <w:fldChar w:fldCharType="separate"/>
      </w:r>
      <w:r>
        <w:rPr>
          <w:rFonts w:ascii="Times New Roman" w:cs="Times New Roman" w:hAnsi="Times New Roman"/>
          <w:highlight w:val="none"/>
        </w:rPr>
        <w:t>10.4　评定</w:t>
      </w:r>
      <w:r>
        <w:rPr>
          <w:highlight w:val="none"/>
        </w:rPr>
        <w:tab/>
      </w:r>
      <w:r>
        <w:rPr>
          <w:highlight w:val="none"/>
        </w:rPr>
        <w:fldChar w:fldCharType="begin"/>
      </w:r>
      <w:r>
        <w:rPr>
          <w:highlight w:val="none"/>
        </w:rPr>
        <w:instrText xml:space="preserve"> PAGEREF _Toc9354 \h </w:instrText>
      </w:r>
      <w:r>
        <w:rPr>
          <w:highlight w:val="none"/>
        </w:rPr>
        <w:fldChar w:fldCharType="separate"/>
      </w:r>
      <w:r>
        <w:rPr>
          <w:highlight w:val="none"/>
        </w:rPr>
        <w:t>34</w:t>
      </w:r>
      <w:r>
        <w:rPr>
          <w:highlight w:val="none"/>
        </w:rPr>
        <w:fldChar w:fldCharType="end"/>
      </w:r>
      <w:r>
        <w:rPr>
          <w:rFonts w:cs="Times New Roman"/>
          <w:color w:val="auto"/>
          <w:kern w:val="0"/>
          <w:szCs w:val="28"/>
          <w:highlight w:val="none"/>
        </w:rPr>
        <w:fldChar w:fldCharType="end"/>
      </w:r>
    </w:p>
    <w:p>
      <w:pPr>
        <w:pStyle w:val="29"/>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_Toc27472 </w:instrText>
      </w:r>
      <w:r>
        <w:rPr>
          <w:rFonts w:cs="Times New Roman"/>
          <w:kern w:val="0"/>
          <w:szCs w:val="28"/>
          <w:highlight w:val="none"/>
        </w:rPr>
        <w:fldChar w:fldCharType="separate"/>
      </w:r>
      <w:r>
        <w:rPr>
          <w:rFonts w:cs="Times New Roman"/>
          <w:highlight w:val="none"/>
        </w:rPr>
        <w:t>11　预埋钢丝拉拔法</w:t>
      </w:r>
      <w:r>
        <w:rPr>
          <w:highlight w:val="none"/>
        </w:rPr>
        <w:tab/>
      </w:r>
      <w:r>
        <w:rPr>
          <w:highlight w:val="none"/>
        </w:rPr>
        <w:fldChar w:fldCharType="begin"/>
      </w:r>
      <w:r>
        <w:rPr>
          <w:highlight w:val="none"/>
        </w:rPr>
        <w:instrText xml:space="preserve"> PAGEREF _Toc27472 \h </w:instrText>
      </w:r>
      <w:r>
        <w:rPr>
          <w:highlight w:val="none"/>
        </w:rPr>
        <w:fldChar w:fldCharType="separate"/>
      </w:r>
      <w:r>
        <w:rPr>
          <w:highlight w:val="none"/>
        </w:rPr>
        <w:t>35</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_Toc14600 </w:instrText>
      </w:r>
      <w:r>
        <w:rPr>
          <w:rFonts w:cs="Times New Roman"/>
          <w:kern w:val="0"/>
          <w:szCs w:val="28"/>
          <w:highlight w:val="none"/>
        </w:rPr>
        <w:fldChar w:fldCharType="separate"/>
      </w:r>
      <w:r>
        <w:rPr>
          <w:rFonts w:ascii="Times New Roman" w:cs="Times New Roman" w:hAnsi="Times New Roman"/>
          <w:highlight w:val="none"/>
        </w:rPr>
        <w:t>11.1　一般规定</w:t>
      </w:r>
      <w:r>
        <w:rPr>
          <w:highlight w:val="none"/>
        </w:rPr>
        <w:tab/>
      </w:r>
      <w:r>
        <w:rPr>
          <w:highlight w:val="none"/>
        </w:rPr>
        <w:fldChar w:fldCharType="begin"/>
      </w:r>
      <w:r>
        <w:rPr>
          <w:highlight w:val="none"/>
        </w:rPr>
        <w:instrText xml:space="preserve"> PAGEREF _Toc14600 \h </w:instrText>
      </w:r>
      <w:r>
        <w:rPr>
          <w:highlight w:val="none"/>
        </w:rPr>
        <w:fldChar w:fldCharType="separate"/>
      </w:r>
      <w:r>
        <w:rPr>
          <w:highlight w:val="none"/>
        </w:rPr>
        <w:t>35</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_Toc14578 </w:instrText>
      </w:r>
      <w:r>
        <w:rPr>
          <w:rFonts w:cs="Times New Roman"/>
          <w:kern w:val="0"/>
          <w:szCs w:val="28"/>
          <w:highlight w:val="none"/>
        </w:rPr>
        <w:fldChar w:fldCharType="separate"/>
      </w:r>
      <w:r>
        <w:rPr>
          <w:rFonts w:ascii="Times New Roman" w:cs="Times New Roman" w:hAnsi="Times New Roman"/>
          <w:highlight w:val="none"/>
        </w:rPr>
        <w:t>11.2　检测设备</w:t>
      </w:r>
      <w:r>
        <w:rPr>
          <w:highlight w:val="none"/>
        </w:rPr>
        <w:tab/>
      </w:r>
      <w:r>
        <w:rPr>
          <w:highlight w:val="none"/>
        </w:rPr>
        <w:fldChar w:fldCharType="begin"/>
      </w:r>
      <w:r>
        <w:rPr>
          <w:highlight w:val="none"/>
        </w:rPr>
        <w:instrText xml:space="preserve"> PAGEREF _Toc14578 \h </w:instrText>
      </w:r>
      <w:r>
        <w:rPr>
          <w:highlight w:val="none"/>
        </w:rPr>
        <w:fldChar w:fldCharType="separate"/>
      </w:r>
      <w:r>
        <w:rPr>
          <w:highlight w:val="none"/>
        </w:rPr>
        <w:t>35</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_Toc20591 </w:instrText>
      </w:r>
      <w:r>
        <w:rPr>
          <w:rFonts w:cs="Times New Roman"/>
          <w:kern w:val="0"/>
          <w:szCs w:val="28"/>
          <w:highlight w:val="none"/>
        </w:rPr>
        <w:fldChar w:fldCharType="separate"/>
      </w:r>
      <w:r>
        <w:rPr>
          <w:rFonts w:ascii="Times New Roman" w:cs="Times New Roman" w:hAnsi="Times New Roman"/>
          <w:highlight w:val="none"/>
        </w:rPr>
        <w:t>11.3　检测</w:t>
      </w:r>
      <w:r>
        <w:rPr>
          <w:highlight w:val="none"/>
        </w:rPr>
        <w:tab/>
      </w:r>
      <w:r>
        <w:rPr>
          <w:highlight w:val="none"/>
        </w:rPr>
        <w:fldChar w:fldCharType="begin"/>
      </w:r>
      <w:r>
        <w:rPr>
          <w:highlight w:val="none"/>
        </w:rPr>
        <w:instrText xml:space="preserve"> PAGEREF _Toc20591 \h </w:instrText>
      </w:r>
      <w:r>
        <w:rPr>
          <w:highlight w:val="none"/>
        </w:rPr>
        <w:fldChar w:fldCharType="separate"/>
      </w:r>
      <w:r>
        <w:rPr>
          <w:highlight w:val="none"/>
        </w:rPr>
        <w:t>36</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_Toc3321 </w:instrText>
      </w:r>
      <w:r>
        <w:rPr>
          <w:rFonts w:cs="Times New Roman"/>
          <w:kern w:val="0"/>
          <w:szCs w:val="28"/>
          <w:highlight w:val="none"/>
        </w:rPr>
        <w:fldChar w:fldCharType="separate"/>
      </w:r>
      <w:r>
        <w:rPr>
          <w:rFonts w:ascii="Times New Roman" w:cs="Times New Roman" w:hAnsi="Times New Roman"/>
          <w:highlight w:val="none"/>
        </w:rPr>
        <w:t>11.4　评定</w:t>
      </w:r>
      <w:r>
        <w:rPr>
          <w:highlight w:val="none"/>
        </w:rPr>
        <w:tab/>
      </w:r>
      <w:r>
        <w:rPr>
          <w:highlight w:val="none"/>
        </w:rPr>
        <w:fldChar w:fldCharType="begin"/>
      </w:r>
      <w:r>
        <w:rPr>
          <w:highlight w:val="none"/>
        </w:rPr>
        <w:instrText xml:space="preserve"> PAGEREF _Toc3321 \h </w:instrText>
      </w:r>
      <w:r>
        <w:rPr>
          <w:highlight w:val="none"/>
        </w:rPr>
        <w:fldChar w:fldCharType="separate"/>
      </w:r>
      <w:r>
        <w:rPr>
          <w:highlight w:val="none"/>
        </w:rPr>
        <w:t>37</w:t>
      </w:r>
      <w:r>
        <w:rPr>
          <w:highlight w:val="none"/>
        </w:rPr>
        <w:fldChar w:fldCharType="end"/>
      </w:r>
      <w:r>
        <w:rPr>
          <w:rFonts w:cs="Times New Roman"/>
          <w:color w:val="auto"/>
          <w:kern w:val="0"/>
          <w:szCs w:val="28"/>
          <w:highlight w:val="none"/>
        </w:rPr>
        <w:fldChar w:fldCharType="end"/>
      </w:r>
    </w:p>
    <w:p>
      <w:pPr>
        <w:pStyle w:val="29"/>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_Toc13385 </w:instrText>
      </w:r>
      <w:r>
        <w:rPr>
          <w:rFonts w:cs="Times New Roman"/>
          <w:kern w:val="0"/>
          <w:szCs w:val="28"/>
          <w:highlight w:val="none"/>
        </w:rPr>
        <w:fldChar w:fldCharType="separate"/>
      </w:r>
      <w:r>
        <w:rPr>
          <w:rFonts w:cs="Times New Roman"/>
          <w:highlight w:val="none"/>
        </w:rPr>
        <w:t>12　非金属超声波法</w:t>
      </w:r>
      <w:r>
        <w:rPr>
          <w:highlight w:val="none"/>
        </w:rPr>
        <w:tab/>
      </w:r>
      <w:r>
        <w:rPr>
          <w:highlight w:val="none"/>
        </w:rPr>
        <w:fldChar w:fldCharType="begin"/>
      </w:r>
      <w:r>
        <w:rPr>
          <w:highlight w:val="none"/>
        </w:rPr>
        <w:instrText xml:space="preserve"> PAGEREF _Toc13385 \h </w:instrText>
      </w:r>
      <w:r>
        <w:rPr>
          <w:highlight w:val="none"/>
        </w:rPr>
        <w:fldChar w:fldCharType="separate"/>
      </w:r>
      <w:r>
        <w:rPr>
          <w:highlight w:val="none"/>
        </w:rPr>
        <w:t>38</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_Toc13760 </w:instrText>
      </w:r>
      <w:r>
        <w:rPr>
          <w:rFonts w:cs="Times New Roman"/>
          <w:kern w:val="0"/>
          <w:szCs w:val="28"/>
          <w:highlight w:val="none"/>
        </w:rPr>
        <w:fldChar w:fldCharType="separate"/>
      </w:r>
      <w:r>
        <w:rPr>
          <w:rFonts w:ascii="Times New Roman" w:cs="Times New Roman" w:hAnsi="Times New Roman"/>
          <w:highlight w:val="none"/>
        </w:rPr>
        <w:t>12.1　一般规定</w:t>
      </w:r>
      <w:r>
        <w:rPr>
          <w:highlight w:val="none"/>
        </w:rPr>
        <w:tab/>
      </w:r>
      <w:r>
        <w:rPr>
          <w:highlight w:val="none"/>
        </w:rPr>
        <w:fldChar w:fldCharType="begin"/>
      </w:r>
      <w:r>
        <w:rPr>
          <w:highlight w:val="none"/>
        </w:rPr>
        <w:instrText xml:space="preserve"> PAGEREF _Toc13760 \h </w:instrText>
      </w:r>
      <w:r>
        <w:rPr>
          <w:highlight w:val="none"/>
        </w:rPr>
        <w:fldChar w:fldCharType="separate"/>
      </w:r>
      <w:r>
        <w:rPr>
          <w:highlight w:val="none"/>
        </w:rPr>
        <w:t>38</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_Toc24728 </w:instrText>
      </w:r>
      <w:r>
        <w:rPr>
          <w:rFonts w:cs="Times New Roman"/>
          <w:kern w:val="0"/>
          <w:szCs w:val="28"/>
          <w:highlight w:val="none"/>
        </w:rPr>
        <w:fldChar w:fldCharType="separate"/>
      </w:r>
      <w:r>
        <w:rPr>
          <w:rFonts w:ascii="Times New Roman" w:cs="Times New Roman" w:hAnsi="Times New Roman"/>
          <w:highlight w:val="none"/>
        </w:rPr>
        <w:t>12.2　检测设备</w:t>
      </w:r>
      <w:r>
        <w:rPr>
          <w:highlight w:val="none"/>
        </w:rPr>
        <w:tab/>
      </w:r>
      <w:r>
        <w:rPr>
          <w:highlight w:val="none"/>
        </w:rPr>
        <w:fldChar w:fldCharType="begin"/>
      </w:r>
      <w:r>
        <w:rPr>
          <w:highlight w:val="none"/>
        </w:rPr>
        <w:instrText xml:space="preserve"> PAGEREF _Toc24728 \h </w:instrText>
      </w:r>
      <w:r>
        <w:rPr>
          <w:highlight w:val="none"/>
        </w:rPr>
        <w:fldChar w:fldCharType="separate"/>
      </w:r>
      <w:r>
        <w:rPr>
          <w:highlight w:val="none"/>
        </w:rPr>
        <w:t>38</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_Toc21001 </w:instrText>
      </w:r>
      <w:r>
        <w:rPr>
          <w:rFonts w:cs="Times New Roman"/>
          <w:kern w:val="0"/>
          <w:szCs w:val="28"/>
          <w:highlight w:val="none"/>
        </w:rPr>
        <w:fldChar w:fldCharType="separate"/>
      </w:r>
      <w:r>
        <w:rPr>
          <w:rFonts w:ascii="Times New Roman" w:cs="Times New Roman" w:hAnsi="Times New Roman"/>
          <w:highlight w:val="none"/>
        </w:rPr>
        <w:t>12.3　检测</w:t>
      </w:r>
      <w:r>
        <w:rPr>
          <w:highlight w:val="none"/>
        </w:rPr>
        <w:tab/>
      </w:r>
      <w:r>
        <w:rPr>
          <w:highlight w:val="none"/>
        </w:rPr>
        <w:fldChar w:fldCharType="begin"/>
      </w:r>
      <w:r>
        <w:rPr>
          <w:highlight w:val="none"/>
        </w:rPr>
        <w:instrText xml:space="preserve"> PAGEREF _Toc21001 \h </w:instrText>
      </w:r>
      <w:r>
        <w:rPr>
          <w:highlight w:val="none"/>
        </w:rPr>
        <w:fldChar w:fldCharType="separate"/>
      </w:r>
      <w:r>
        <w:rPr>
          <w:highlight w:val="none"/>
        </w:rPr>
        <w:t>39</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_Toc26805 </w:instrText>
      </w:r>
      <w:r>
        <w:rPr>
          <w:rFonts w:cs="Times New Roman"/>
          <w:kern w:val="0"/>
          <w:szCs w:val="28"/>
          <w:highlight w:val="none"/>
        </w:rPr>
        <w:fldChar w:fldCharType="separate"/>
      </w:r>
      <w:r>
        <w:rPr>
          <w:rFonts w:ascii="Times New Roman" w:cs="Times New Roman" w:hAnsi="Times New Roman"/>
          <w:highlight w:val="none"/>
        </w:rPr>
        <w:t>12.4　评定</w:t>
      </w:r>
      <w:r>
        <w:rPr>
          <w:highlight w:val="none"/>
        </w:rPr>
        <w:tab/>
      </w:r>
      <w:r>
        <w:rPr>
          <w:highlight w:val="none"/>
        </w:rPr>
        <w:fldChar w:fldCharType="begin"/>
      </w:r>
      <w:r>
        <w:rPr>
          <w:highlight w:val="none"/>
        </w:rPr>
        <w:instrText xml:space="preserve"> PAGEREF _Toc26805 \h </w:instrText>
      </w:r>
      <w:r>
        <w:rPr>
          <w:highlight w:val="none"/>
        </w:rPr>
        <w:fldChar w:fldCharType="separate"/>
      </w:r>
      <w:r>
        <w:rPr>
          <w:highlight w:val="none"/>
        </w:rPr>
        <w:t>41</w:t>
      </w:r>
      <w:r>
        <w:rPr>
          <w:highlight w:val="none"/>
        </w:rPr>
        <w:fldChar w:fldCharType="end"/>
      </w:r>
      <w:r>
        <w:rPr>
          <w:rFonts w:cs="Times New Roman"/>
          <w:color w:val="auto"/>
          <w:kern w:val="0"/>
          <w:szCs w:val="28"/>
          <w:highlight w:val="none"/>
        </w:rPr>
        <w:fldChar w:fldCharType="end"/>
      </w:r>
    </w:p>
    <w:p>
      <w:pPr>
        <w:pStyle w:val="29"/>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_Toc24809 </w:instrText>
      </w:r>
      <w:r>
        <w:rPr>
          <w:rFonts w:cs="Times New Roman"/>
          <w:kern w:val="0"/>
          <w:szCs w:val="28"/>
          <w:highlight w:val="none"/>
        </w:rPr>
        <w:fldChar w:fldCharType="separate"/>
      </w:r>
      <w:r>
        <w:rPr>
          <w:rFonts w:cs="Times New Roman"/>
          <w:highlight w:val="none"/>
        </w:rPr>
        <w:t>13　冲击回波法</w:t>
      </w:r>
      <w:r>
        <w:rPr>
          <w:highlight w:val="none"/>
        </w:rPr>
        <w:tab/>
      </w:r>
      <w:r>
        <w:rPr>
          <w:highlight w:val="none"/>
        </w:rPr>
        <w:fldChar w:fldCharType="begin"/>
      </w:r>
      <w:r>
        <w:rPr>
          <w:highlight w:val="none"/>
        </w:rPr>
        <w:instrText xml:space="preserve"> PAGEREF _Toc24809 \h </w:instrText>
      </w:r>
      <w:r>
        <w:rPr>
          <w:highlight w:val="none"/>
        </w:rPr>
        <w:fldChar w:fldCharType="separate"/>
      </w:r>
      <w:r>
        <w:rPr>
          <w:highlight w:val="none"/>
        </w:rPr>
        <w:t>42</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_Toc3093 </w:instrText>
      </w:r>
      <w:r>
        <w:rPr>
          <w:rFonts w:cs="Times New Roman"/>
          <w:kern w:val="0"/>
          <w:szCs w:val="28"/>
          <w:highlight w:val="none"/>
        </w:rPr>
        <w:fldChar w:fldCharType="separate"/>
      </w:r>
      <w:r>
        <w:rPr>
          <w:rFonts w:ascii="Times New Roman" w:cs="Times New Roman" w:hAnsi="Times New Roman"/>
          <w:highlight w:val="none"/>
        </w:rPr>
        <w:t>13.1　一般规定</w:t>
      </w:r>
      <w:r>
        <w:rPr>
          <w:highlight w:val="none"/>
        </w:rPr>
        <w:tab/>
      </w:r>
      <w:r>
        <w:rPr>
          <w:highlight w:val="none"/>
        </w:rPr>
        <w:fldChar w:fldCharType="begin"/>
      </w:r>
      <w:r>
        <w:rPr>
          <w:highlight w:val="none"/>
        </w:rPr>
        <w:instrText xml:space="preserve"> PAGEREF _Toc3093 \h </w:instrText>
      </w:r>
      <w:r>
        <w:rPr>
          <w:highlight w:val="none"/>
        </w:rPr>
        <w:fldChar w:fldCharType="separate"/>
      </w:r>
      <w:r>
        <w:rPr>
          <w:highlight w:val="none"/>
        </w:rPr>
        <w:t>42</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_Toc13796 </w:instrText>
      </w:r>
      <w:r>
        <w:rPr>
          <w:rFonts w:cs="Times New Roman"/>
          <w:kern w:val="0"/>
          <w:szCs w:val="28"/>
          <w:highlight w:val="none"/>
        </w:rPr>
        <w:fldChar w:fldCharType="separate"/>
      </w:r>
      <w:r>
        <w:rPr>
          <w:rFonts w:ascii="Times New Roman" w:cs="Times New Roman" w:hAnsi="Times New Roman"/>
          <w:highlight w:val="none"/>
        </w:rPr>
        <w:t>13.2　检测设备</w:t>
      </w:r>
      <w:r>
        <w:rPr>
          <w:highlight w:val="none"/>
        </w:rPr>
        <w:tab/>
      </w:r>
      <w:r>
        <w:rPr>
          <w:highlight w:val="none"/>
        </w:rPr>
        <w:fldChar w:fldCharType="begin"/>
      </w:r>
      <w:r>
        <w:rPr>
          <w:highlight w:val="none"/>
        </w:rPr>
        <w:instrText xml:space="preserve"> PAGEREF _Toc13796 \h </w:instrText>
      </w:r>
      <w:r>
        <w:rPr>
          <w:highlight w:val="none"/>
        </w:rPr>
        <w:fldChar w:fldCharType="separate"/>
      </w:r>
      <w:r>
        <w:rPr>
          <w:highlight w:val="none"/>
        </w:rPr>
        <w:t>42</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_Toc17009 </w:instrText>
      </w:r>
      <w:r>
        <w:rPr>
          <w:rFonts w:cs="Times New Roman"/>
          <w:kern w:val="0"/>
          <w:szCs w:val="28"/>
          <w:highlight w:val="none"/>
        </w:rPr>
        <w:fldChar w:fldCharType="separate"/>
      </w:r>
      <w:r>
        <w:rPr>
          <w:rFonts w:ascii="Times New Roman" w:cs="Times New Roman" w:hAnsi="Times New Roman"/>
          <w:highlight w:val="none"/>
        </w:rPr>
        <w:t>13.3　检测</w:t>
      </w:r>
      <w:r>
        <w:rPr>
          <w:highlight w:val="none"/>
        </w:rPr>
        <w:tab/>
      </w:r>
      <w:r>
        <w:rPr>
          <w:highlight w:val="none"/>
        </w:rPr>
        <w:fldChar w:fldCharType="begin"/>
      </w:r>
      <w:r>
        <w:rPr>
          <w:highlight w:val="none"/>
        </w:rPr>
        <w:instrText xml:space="preserve"> PAGEREF _Toc17009 \h </w:instrText>
      </w:r>
      <w:r>
        <w:rPr>
          <w:highlight w:val="none"/>
        </w:rPr>
        <w:fldChar w:fldCharType="separate"/>
      </w:r>
      <w:r>
        <w:rPr>
          <w:highlight w:val="none"/>
        </w:rPr>
        <w:t>43</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_Toc6926 </w:instrText>
      </w:r>
      <w:r>
        <w:rPr>
          <w:rFonts w:cs="Times New Roman"/>
          <w:kern w:val="0"/>
          <w:szCs w:val="28"/>
          <w:highlight w:val="none"/>
        </w:rPr>
        <w:fldChar w:fldCharType="separate"/>
      </w:r>
      <w:r>
        <w:rPr>
          <w:rFonts w:ascii="Times New Roman" w:cs="Times New Roman" w:hAnsi="Times New Roman"/>
          <w:highlight w:val="none"/>
        </w:rPr>
        <w:t>13.4　评定</w:t>
      </w:r>
      <w:r>
        <w:rPr>
          <w:highlight w:val="none"/>
        </w:rPr>
        <w:tab/>
      </w:r>
      <w:r>
        <w:rPr>
          <w:highlight w:val="none"/>
        </w:rPr>
        <w:fldChar w:fldCharType="begin"/>
      </w:r>
      <w:r>
        <w:rPr>
          <w:highlight w:val="none"/>
        </w:rPr>
        <w:instrText xml:space="preserve"> PAGEREF _Toc6926 \h </w:instrText>
      </w:r>
      <w:r>
        <w:rPr>
          <w:highlight w:val="none"/>
        </w:rPr>
        <w:fldChar w:fldCharType="separate"/>
      </w:r>
      <w:r>
        <w:rPr>
          <w:highlight w:val="none"/>
        </w:rPr>
        <w:t>44</w:t>
      </w:r>
      <w:r>
        <w:rPr>
          <w:highlight w:val="none"/>
        </w:rPr>
        <w:fldChar w:fldCharType="end"/>
      </w:r>
      <w:r>
        <w:rPr>
          <w:rFonts w:cs="Times New Roman"/>
          <w:color w:val="auto"/>
          <w:kern w:val="0"/>
          <w:szCs w:val="28"/>
          <w:highlight w:val="none"/>
        </w:rPr>
        <w:fldChar w:fldCharType="end"/>
      </w:r>
    </w:p>
    <w:p>
      <w:pPr>
        <w:pStyle w:val="29"/>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_Toc476 </w:instrText>
      </w:r>
      <w:r>
        <w:rPr>
          <w:rFonts w:cs="Times New Roman"/>
          <w:kern w:val="0"/>
          <w:szCs w:val="28"/>
          <w:highlight w:val="none"/>
        </w:rPr>
        <w:fldChar w:fldCharType="separate"/>
      </w:r>
      <w:r>
        <w:rPr>
          <w:rFonts w:cs="Times New Roman"/>
          <w:highlight w:val="none"/>
        </w:rPr>
        <w:t>14　复拉法</w:t>
      </w:r>
      <w:r>
        <w:rPr>
          <w:highlight w:val="none"/>
        </w:rPr>
        <w:tab/>
      </w:r>
      <w:r>
        <w:rPr>
          <w:highlight w:val="none"/>
        </w:rPr>
        <w:fldChar w:fldCharType="begin"/>
      </w:r>
      <w:r>
        <w:rPr>
          <w:highlight w:val="none"/>
        </w:rPr>
        <w:instrText xml:space="preserve"> PAGEREF _Toc476 \h </w:instrText>
      </w:r>
      <w:r>
        <w:rPr>
          <w:highlight w:val="none"/>
        </w:rPr>
        <w:fldChar w:fldCharType="separate"/>
      </w:r>
      <w:r>
        <w:rPr>
          <w:highlight w:val="none"/>
        </w:rPr>
        <w:t>46</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_Toc31031 </w:instrText>
      </w:r>
      <w:r>
        <w:rPr>
          <w:rFonts w:cs="Times New Roman"/>
          <w:kern w:val="0"/>
          <w:szCs w:val="28"/>
          <w:highlight w:val="none"/>
        </w:rPr>
        <w:fldChar w:fldCharType="separate"/>
      </w:r>
      <w:r>
        <w:rPr>
          <w:rFonts w:ascii="Times New Roman" w:cs="Times New Roman" w:hAnsi="Times New Roman"/>
          <w:highlight w:val="none"/>
        </w:rPr>
        <w:t>14.1　一般规定</w:t>
      </w:r>
      <w:r>
        <w:rPr>
          <w:highlight w:val="none"/>
        </w:rPr>
        <w:tab/>
      </w:r>
      <w:r>
        <w:rPr>
          <w:highlight w:val="none"/>
        </w:rPr>
        <w:fldChar w:fldCharType="begin"/>
      </w:r>
      <w:r>
        <w:rPr>
          <w:highlight w:val="none"/>
        </w:rPr>
        <w:instrText xml:space="preserve"> PAGEREF _Toc31031 \h </w:instrText>
      </w:r>
      <w:r>
        <w:rPr>
          <w:highlight w:val="none"/>
        </w:rPr>
        <w:fldChar w:fldCharType="separate"/>
      </w:r>
      <w:r>
        <w:rPr>
          <w:highlight w:val="none"/>
        </w:rPr>
        <w:t>46</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_Toc22214 </w:instrText>
      </w:r>
      <w:r>
        <w:rPr>
          <w:rFonts w:cs="Times New Roman"/>
          <w:kern w:val="0"/>
          <w:szCs w:val="28"/>
          <w:highlight w:val="none"/>
        </w:rPr>
        <w:fldChar w:fldCharType="separate"/>
      </w:r>
      <w:r>
        <w:rPr>
          <w:rFonts w:ascii="Times New Roman" w:cs="Times New Roman" w:hAnsi="Times New Roman"/>
          <w:highlight w:val="none"/>
        </w:rPr>
        <w:t>14.2　检测设备</w:t>
      </w:r>
      <w:r>
        <w:rPr>
          <w:highlight w:val="none"/>
        </w:rPr>
        <w:tab/>
      </w:r>
      <w:r>
        <w:rPr>
          <w:highlight w:val="none"/>
        </w:rPr>
        <w:fldChar w:fldCharType="begin"/>
      </w:r>
      <w:r>
        <w:rPr>
          <w:highlight w:val="none"/>
        </w:rPr>
        <w:instrText xml:space="preserve"> PAGEREF _Toc22214 \h </w:instrText>
      </w:r>
      <w:r>
        <w:rPr>
          <w:highlight w:val="none"/>
        </w:rPr>
        <w:fldChar w:fldCharType="separate"/>
      </w:r>
      <w:r>
        <w:rPr>
          <w:highlight w:val="none"/>
        </w:rPr>
        <w:t>46</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_Toc24167 </w:instrText>
      </w:r>
      <w:r>
        <w:rPr>
          <w:rFonts w:cs="Times New Roman"/>
          <w:kern w:val="0"/>
          <w:szCs w:val="28"/>
          <w:highlight w:val="none"/>
        </w:rPr>
        <w:fldChar w:fldCharType="separate"/>
      </w:r>
      <w:r>
        <w:rPr>
          <w:rFonts w:ascii="Times New Roman" w:cs="Times New Roman" w:hAnsi="Times New Roman"/>
          <w:highlight w:val="none"/>
        </w:rPr>
        <w:t>14.3　检测</w:t>
      </w:r>
      <w:r>
        <w:rPr>
          <w:highlight w:val="none"/>
        </w:rPr>
        <w:tab/>
      </w:r>
      <w:r>
        <w:rPr>
          <w:highlight w:val="none"/>
        </w:rPr>
        <w:fldChar w:fldCharType="begin"/>
      </w:r>
      <w:r>
        <w:rPr>
          <w:highlight w:val="none"/>
        </w:rPr>
        <w:instrText xml:space="preserve"> PAGEREF _Toc24167 \h </w:instrText>
      </w:r>
      <w:r>
        <w:rPr>
          <w:highlight w:val="none"/>
        </w:rPr>
        <w:fldChar w:fldCharType="separate"/>
      </w:r>
      <w:r>
        <w:rPr>
          <w:highlight w:val="none"/>
        </w:rPr>
        <w:t>47</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_Toc25869 </w:instrText>
      </w:r>
      <w:r>
        <w:rPr>
          <w:rFonts w:cs="Times New Roman"/>
          <w:kern w:val="0"/>
          <w:szCs w:val="28"/>
          <w:highlight w:val="none"/>
        </w:rPr>
        <w:fldChar w:fldCharType="separate"/>
      </w:r>
      <w:r>
        <w:rPr>
          <w:rFonts w:ascii="Times New Roman" w:cs="Times New Roman" w:hAnsi="Times New Roman"/>
          <w:highlight w:val="none"/>
        </w:rPr>
        <w:t>14.4　评定</w:t>
      </w:r>
      <w:r>
        <w:rPr>
          <w:highlight w:val="none"/>
        </w:rPr>
        <w:tab/>
      </w:r>
      <w:r>
        <w:rPr>
          <w:highlight w:val="none"/>
        </w:rPr>
        <w:fldChar w:fldCharType="begin"/>
      </w:r>
      <w:r>
        <w:rPr>
          <w:highlight w:val="none"/>
        </w:rPr>
        <w:instrText xml:space="preserve"> PAGEREF _Toc25869 \h </w:instrText>
      </w:r>
      <w:r>
        <w:rPr>
          <w:highlight w:val="none"/>
        </w:rPr>
        <w:fldChar w:fldCharType="separate"/>
      </w:r>
      <w:r>
        <w:rPr>
          <w:highlight w:val="none"/>
        </w:rPr>
        <w:t>48</w:t>
      </w:r>
      <w:r>
        <w:rPr>
          <w:highlight w:val="none"/>
        </w:rPr>
        <w:fldChar w:fldCharType="end"/>
      </w:r>
      <w:r>
        <w:rPr>
          <w:rFonts w:cs="Times New Roman"/>
          <w:color w:val="auto"/>
          <w:kern w:val="0"/>
          <w:szCs w:val="28"/>
          <w:highlight w:val="none"/>
        </w:rPr>
        <w:fldChar w:fldCharType="end"/>
      </w:r>
    </w:p>
    <w:p>
      <w:pPr>
        <w:pStyle w:val="29"/>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_Toc15662 </w:instrText>
      </w:r>
      <w:r>
        <w:rPr>
          <w:rFonts w:cs="Times New Roman"/>
          <w:kern w:val="0"/>
          <w:szCs w:val="28"/>
          <w:highlight w:val="none"/>
        </w:rPr>
        <w:fldChar w:fldCharType="separate"/>
      </w:r>
      <w:r>
        <w:rPr>
          <w:rFonts w:cs="Times New Roman"/>
          <w:highlight w:val="none"/>
        </w:rPr>
        <w:t>15　</w:t>
      </w:r>
      <w:r>
        <w:rPr>
          <w:rFonts w:hint="eastAsia"/>
          <w:highlight w:val="none"/>
        </w:rPr>
        <w:t>水洗法</w:t>
      </w:r>
      <w:r>
        <w:rPr>
          <w:highlight w:val="none"/>
        </w:rPr>
        <w:tab/>
      </w:r>
      <w:r>
        <w:rPr>
          <w:highlight w:val="none"/>
        </w:rPr>
        <w:fldChar w:fldCharType="begin"/>
      </w:r>
      <w:r>
        <w:rPr>
          <w:highlight w:val="none"/>
        </w:rPr>
        <w:instrText xml:space="preserve"> PAGEREF _Toc15662 \h </w:instrText>
      </w:r>
      <w:r>
        <w:rPr>
          <w:highlight w:val="none"/>
        </w:rPr>
        <w:fldChar w:fldCharType="separate"/>
      </w:r>
      <w:r>
        <w:rPr>
          <w:highlight w:val="none"/>
        </w:rPr>
        <w:t>52</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_Toc25215 </w:instrText>
      </w:r>
      <w:r>
        <w:rPr>
          <w:rFonts w:cs="Times New Roman"/>
          <w:kern w:val="0"/>
          <w:szCs w:val="28"/>
          <w:highlight w:val="none"/>
        </w:rPr>
        <w:fldChar w:fldCharType="separate"/>
      </w:r>
      <w:r>
        <w:rPr>
          <w:rFonts w:ascii="Times New Roman" w:cs="Times New Roman" w:hAnsi="Times New Roman"/>
          <w:highlight w:val="none"/>
        </w:rPr>
        <w:t>15.1　一般规定</w:t>
      </w:r>
      <w:r>
        <w:rPr>
          <w:highlight w:val="none"/>
        </w:rPr>
        <w:tab/>
      </w:r>
      <w:r>
        <w:rPr>
          <w:highlight w:val="none"/>
        </w:rPr>
        <w:fldChar w:fldCharType="begin"/>
      </w:r>
      <w:r>
        <w:rPr>
          <w:highlight w:val="none"/>
        </w:rPr>
        <w:instrText xml:space="preserve"> PAGEREF _Toc25215 \h </w:instrText>
      </w:r>
      <w:r>
        <w:rPr>
          <w:highlight w:val="none"/>
        </w:rPr>
        <w:fldChar w:fldCharType="separate"/>
      </w:r>
      <w:r>
        <w:rPr>
          <w:highlight w:val="none"/>
        </w:rPr>
        <w:t>52</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_Toc21407 </w:instrText>
      </w:r>
      <w:r>
        <w:rPr>
          <w:rFonts w:cs="Times New Roman"/>
          <w:kern w:val="0"/>
          <w:szCs w:val="28"/>
          <w:highlight w:val="none"/>
        </w:rPr>
        <w:fldChar w:fldCharType="separate"/>
      </w:r>
      <w:r>
        <w:rPr>
          <w:rFonts w:ascii="Times New Roman" w:cs="Times New Roman" w:hAnsi="Times New Roman"/>
          <w:highlight w:val="none"/>
        </w:rPr>
        <w:t>15.2　检测设备</w:t>
      </w:r>
      <w:r>
        <w:rPr>
          <w:highlight w:val="none"/>
        </w:rPr>
        <w:tab/>
      </w:r>
      <w:r>
        <w:rPr>
          <w:highlight w:val="none"/>
        </w:rPr>
        <w:fldChar w:fldCharType="begin"/>
      </w:r>
      <w:r>
        <w:rPr>
          <w:highlight w:val="none"/>
        </w:rPr>
        <w:instrText xml:space="preserve"> PAGEREF _Toc21407 \h </w:instrText>
      </w:r>
      <w:r>
        <w:rPr>
          <w:highlight w:val="none"/>
        </w:rPr>
        <w:fldChar w:fldCharType="separate"/>
      </w:r>
      <w:r>
        <w:rPr>
          <w:highlight w:val="none"/>
        </w:rPr>
        <w:t>52</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_Toc24186 </w:instrText>
      </w:r>
      <w:r>
        <w:rPr>
          <w:rFonts w:cs="Times New Roman"/>
          <w:kern w:val="0"/>
          <w:szCs w:val="28"/>
          <w:highlight w:val="none"/>
        </w:rPr>
        <w:fldChar w:fldCharType="separate"/>
      </w:r>
      <w:r>
        <w:rPr>
          <w:rFonts w:ascii="Times New Roman" w:cs="Times New Roman" w:hAnsi="Times New Roman"/>
          <w:highlight w:val="none"/>
        </w:rPr>
        <w:t>15.3　检测</w:t>
      </w:r>
      <w:r>
        <w:rPr>
          <w:highlight w:val="none"/>
        </w:rPr>
        <w:tab/>
      </w:r>
      <w:r>
        <w:rPr>
          <w:highlight w:val="none"/>
        </w:rPr>
        <w:fldChar w:fldCharType="begin"/>
      </w:r>
      <w:r>
        <w:rPr>
          <w:highlight w:val="none"/>
        </w:rPr>
        <w:instrText xml:space="preserve"> PAGEREF _Toc24186 \h </w:instrText>
      </w:r>
      <w:r>
        <w:rPr>
          <w:highlight w:val="none"/>
        </w:rPr>
        <w:fldChar w:fldCharType="separate"/>
      </w:r>
      <w:r>
        <w:rPr>
          <w:highlight w:val="none"/>
        </w:rPr>
        <w:t>52</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_Toc24296 </w:instrText>
      </w:r>
      <w:r>
        <w:rPr>
          <w:rFonts w:cs="Times New Roman"/>
          <w:kern w:val="0"/>
          <w:szCs w:val="28"/>
          <w:highlight w:val="none"/>
        </w:rPr>
        <w:fldChar w:fldCharType="separate"/>
      </w:r>
      <w:r>
        <w:rPr>
          <w:rFonts w:ascii="Times New Roman" w:cs="Times New Roman" w:hAnsi="Times New Roman"/>
          <w:highlight w:val="none"/>
        </w:rPr>
        <w:t>15.4　评定</w:t>
      </w:r>
      <w:r>
        <w:rPr>
          <w:highlight w:val="none"/>
        </w:rPr>
        <w:tab/>
      </w:r>
      <w:r>
        <w:rPr>
          <w:highlight w:val="none"/>
        </w:rPr>
        <w:fldChar w:fldCharType="begin"/>
      </w:r>
      <w:r>
        <w:rPr>
          <w:highlight w:val="none"/>
        </w:rPr>
        <w:instrText xml:space="preserve"> PAGEREF _Toc24296 \h </w:instrText>
      </w:r>
      <w:r>
        <w:rPr>
          <w:highlight w:val="none"/>
        </w:rPr>
        <w:fldChar w:fldCharType="separate"/>
      </w:r>
      <w:r>
        <w:rPr>
          <w:highlight w:val="none"/>
        </w:rPr>
        <w:t>53</w:t>
      </w:r>
      <w:r>
        <w:rPr>
          <w:highlight w:val="none"/>
        </w:rPr>
        <w:fldChar w:fldCharType="end"/>
      </w:r>
      <w:r>
        <w:rPr>
          <w:rFonts w:cs="Times New Roman"/>
          <w:color w:val="auto"/>
          <w:kern w:val="0"/>
          <w:szCs w:val="28"/>
          <w:highlight w:val="none"/>
        </w:rPr>
        <w:fldChar w:fldCharType="end"/>
      </w:r>
    </w:p>
    <w:p>
      <w:pPr>
        <w:pStyle w:val="29"/>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_Toc1938 </w:instrText>
      </w:r>
      <w:r>
        <w:rPr>
          <w:rFonts w:cs="Times New Roman"/>
          <w:kern w:val="0"/>
          <w:szCs w:val="28"/>
          <w:highlight w:val="none"/>
        </w:rPr>
        <w:fldChar w:fldCharType="separate"/>
      </w:r>
      <w:r>
        <w:rPr>
          <w:rFonts w:cs="Times New Roman"/>
          <w:highlight w:val="none"/>
        </w:rPr>
        <w:t>1</w:t>
      </w:r>
      <w:r>
        <w:rPr>
          <w:rFonts w:cs="Times New Roman" w:hint="eastAsia"/>
          <w:lang w:val="en-US" w:eastAsia="zh-CN"/>
          <w:highlight w:val="none"/>
        </w:rPr>
        <w:t>6</w:t>
      </w:r>
      <w:r>
        <w:rPr>
          <w:rFonts w:cs="Times New Roman"/>
          <w:highlight w:val="none"/>
        </w:rPr>
        <w:t>　射钉法</w:t>
      </w:r>
      <w:r>
        <w:rPr>
          <w:highlight w:val="none"/>
        </w:rPr>
        <w:tab/>
      </w:r>
      <w:r>
        <w:rPr>
          <w:highlight w:val="none"/>
        </w:rPr>
        <w:fldChar w:fldCharType="begin"/>
      </w:r>
      <w:r>
        <w:rPr>
          <w:highlight w:val="none"/>
        </w:rPr>
        <w:instrText xml:space="preserve"> PAGEREF _Toc1938 \h </w:instrText>
      </w:r>
      <w:r>
        <w:rPr>
          <w:highlight w:val="none"/>
        </w:rPr>
        <w:fldChar w:fldCharType="separate"/>
      </w:r>
      <w:r>
        <w:rPr>
          <w:highlight w:val="none"/>
        </w:rPr>
        <w:t>54</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_Toc10469 </w:instrText>
      </w:r>
      <w:r>
        <w:rPr>
          <w:rFonts w:cs="Times New Roman"/>
          <w:kern w:val="0"/>
          <w:szCs w:val="28"/>
          <w:highlight w:val="none"/>
        </w:rPr>
        <w:fldChar w:fldCharType="separate"/>
      </w:r>
      <w:r>
        <w:rPr>
          <w:rFonts w:ascii="Times New Roman" w:cs="Times New Roman" w:hAnsi="Times New Roman" w:hint="eastAsia"/>
          <w:lang w:eastAsia="zh-CN"/>
          <w:highlight w:val="none"/>
        </w:rPr>
        <w:t>16.</w:t>
      </w:r>
      <w:r>
        <w:rPr>
          <w:rFonts w:ascii="Times New Roman" w:cs="Times New Roman" w:hAnsi="Times New Roman"/>
          <w:highlight w:val="none"/>
        </w:rPr>
        <w:t>1　一般规定</w:t>
      </w:r>
      <w:r>
        <w:rPr>
          <w:highlight w:val="none"/>
        </w:rPr>
        <w:tab/>
      </w:r>
      <w:r>
        <w:rPr>
          <w:highlight w:val="none"/>
        </w:rPr>
        <w:fldChar w:fldCharType="begin"/>
      </w:r>
      <w:r>
        <w:rPr>
          <w:highlight w:val="none"/>
        </w:rPr>
        <w:instrText xml:space="preserve"> PAGEREF _Toc10469 \h </w:instrText>
      </w:r>
      <w:r>
        <w:rPr>
          <w:highlight w:val="none"/>
        </w:rPr>
        <w:fldChar w:fldCharType="separate"/>
      </w:r>
      <w:r>
        <w:rPr>
          <w:highlight w:val="none"/>
        </w:rPr>
        <w:t>54</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_Toc26470 </w:instrText>
      </w:r>
      <w:r>
        <w:rPr>
          <w:rFonts w:cs="Times New Roman"/>
          <w:kern w:val="0"/>
          <w:szCs w:val="28"/>
          <w:highlight w:val="none"/>
        </w:rPr>
        <w:fldChar w:fldCharType="separate"/>
      </w:r>
      <w:r>
        <w:rPr>
          <w:rFonts w:ascii="Times New Roman" w:cs="Times New Roman" w:hAnsi="Times New Roman" w:hint="eastAsia"/>
          <w:lang w:eastAsia="zh-CN"/>
          <w:highlight w:val="none"/>
        </w:rPr>
        <w:t>16.</w:t>
      </w:r>
      <w:r>
        <w:rPr>
          <w:rFonts w:ascii="Times New Roman" w:cs="Times New Roman" w:hAnsi="Times New Roman"/>
          <w:highlight w:val="none"/>
        </w:rPr>
        <w:t>2　检测设备</w:t>
      </w:r>
      <w:r>
        <w:rPr>
          <w:highlight w:val="none"/>
        </w:rPr>
        <w:tab/>
      </w:r>
      <w:r>
        <w:rPr>
          <w:highlight w:val="none"/>
        </w:rPr>
        <w:fldChar w:fldCharType="begin"/>
      </w:r>
      <w:r>
        <w:rPr>
          <w:highlight w:val="none"/>
        </w:rPr>
        <w:instrText xml:space="preserve"> PAGEREF _Toc26470 \h </w:instrText>
      </w:r>
      <w:r>
        <w:rPr>
          <w:highlight w:val="none"/>
        </w:rPr>
        <w:fldChar w:fldCharType="separate"/>
      </w:r>
      <w:r>
        <w:rPr>
          <w:highlight w:val="none"/>
        </w:rPr>
        <w:t>54</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_Toc10024 </w:instrText>
      </w:r>
      <w:r>
        <w:rPr>
          <w:rFonts w:cs="Times New Roman"/>
          <w:kern w:val="0"/>
          <w:szCs w:val="28"/>
          <w:highlight w:val="none"/>
        </w:rPr>
        <w:fldChar w:fldCharType="separate"/>
      </w:r>
      <w:r>
        <w:rPr>
          <w:rFonts w:ascii="Times New Roman" w:cs="Times New Roman" w:hAnsi="Times New Roman" w:hint="eastAsia"/>
          <w:lang w:eastAsia="zh-CN"/>
          <w:highlight w:val="none"/>
        </w:rPr>
        <w:t>16.</w:t>
      </w:r>
      <w:r>
        <w:rPr>
          <w:rFonts w:ascii="Times New Roman" w:cs="Times New Roman" w:hAnsi="Times New Roman"/>
          <w:highlight w:val="none"/>
        </w:rPr>
        <w:t>3　检测</w:t>
      </w:r>
      <w:r>
        <w:rPr>
          <w:highlight w:val="none"/>
        </w:rPr>
        <w:tab/>
      </w:r>
      <w:r>
        <w:rPr>
          <w:highlight w:val="none"/>
        </w:rPr>
        <w:fldChar w:fldCharType="begin"/>
      </w:r>
      <w:r>
        <w:rPr>
          <w:highlight w:val="none"/>
        </w:rPr>
        <w:instrText xml:space="preserve"> PAGEREF _Toc10024 \h </w:instrText>
      </w:r>
      <w:r>
        <w:rPr>
          <w:highlight w:val="none"/>
        </w:rPr>
        <w:fldChar w:fldCharType="separate"/>
      </w:r>
      <w:r>
        <w:rPr>
          <w:highlight w:val="none"/>
        </w:rPr>
        <w:t>54</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_Toc3587 </w:instrText>
      </w:r>
      <w:r>
        <w:rPr>
          <w:rFonts w:cs="Times New Roman"/>
          <w:kern w:val="0"/>
          <w:szCs w:val="28"/>
          <w:highlight w:val="none"/>
        </w:rPr>
        <w:fldChar w:fldCharType="separate"/>
      </w:r>
      <w:r>
        <w:rPr>
          <w:rFonts w:ascii="Times New Roman" w:cs="Times New Roman" w:hAnsi="Times New Roman" w:hint="eastAsia"/>
          <w:lang w:eastAsia="zh-CN"/>
          <w:highlight w:val="none"/>
        </w:rPr>
        <w:t>16.</w:t>
      </w:r>
      <w:r>
        <w:rPr>
          <w:rFonts w:ascii="Times New Roman" w:cs="Times New Roman" w:hAnsi="Times New Roman"/>
          <w:highlight w:val="none"/>
        </w:rPr>
        <w:t>4　评定</w:t>
      </w:r>
      <w:r>
        <w:rPr>
          <w:highlight w:val="none"/>
        </w:rPr>
        <w:tab/>
      </w:r>
      <w:r>
        <w:rPr>
          <w:highlight w:val="none"/>
        </w:rPr>
        <w:fldChar w:fldCharType="begin"/>
      </w:r>
      <w:r>
        <w:rPr>
          <w:highlight w:val="none"/>
        </w:rPr>
        <w:instrText xml:space="preserve"> PAGEREF _Toc3587 \h </w:instrText>
      </w:r>
      <w:r>
        <w:rPr>
          <w:highlight w:val="none"/>
        </w:rPr>
        <w:fldChar w:fldCharType="separate"/>
      </w:r>
      <w:r>
        <w:rPr>
          <w:highlight w:val="none"/>
        </w:rPr>
        <w:t>57</w:t>
      </w:r>
      <w:r>
        <w:rPr>
          <w:highlight w:val="none"/>
        </w:rPr>
        <w:fldChar w:fldCharType="end"/>
      </w:r>
      <w:r>
        <w:rPr>
          <w:rFonts w:cs="Times New Roman"/>
          <w:color w:val="auto"/>
          <w:kern w:val="0"/>
          <w:szCs w:val="28"/>
          <w:highlight w:val="none"/>
        </w:rPr>
        <w:fldChar w:fldCharType="end"/>
      </w:r>
    </w:p>
    <w:p>
      <w:pPr>
        <w:pStyle w:val="29"/>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_Toc24384 </w:instrText>
      </w:r>
      <w:r>
        <w:rPr>
          <w:rFonts w:cs="Times New Roman"/>
          <w:kern w:val="0"/>
          <w:szCs w:val="28"/>
          <w:highlight w:val="none"/>
        </w:rPr>
        <w:fldChar w:fldCharType="separate"/>
      </w:r>
      <w:r>
        <w:rPr>
          <w:rFonts w:cs="Times New Roman"/>
          <w:highlight w:val="none"/>
        </w:rPr>
        <w:t>1</w:t>
      </w:r>
      <w:r>
        <w:rPr>
          <w:rFonts w:cs="Times New Roman" w:hint="eastAsia"/>
          <w:lang w:val="en-US" w:eastAsia="zh-CN"/>
          <w:highlight w:val="none"/>
        </w:rPr>
        <w:t>7</w:t>
      </w:r>
      <w:r>
        <w:rPr>
          <w:rFonts w:cs="Times New Roman"/>
          <w:highlight w:val="none"/>
        </w:rPr>
        <w:t>　钢构件连接检测方法</w:t>
      </w:r>
      <w:r>
        <w:rPr>
          <w:highlight w:val="none"/>
        </w:rPr>
        <w:tab/>
      </w:r>
      <w:r>
        <w:rPr>
          <w:highlight w:val="none"/>
        </w:rPr>
        <w:fldChar w:fldCharType="begin"/>
      </w:r>
      <w:r>
        <w:rPr>
          <w:highlight w:val="none"/>
        </w:rPr>
        <w:instrText xml:space="preserve"> PAGEREF _Toc24384 \h </w:instrText>
      </w:r>
      <w:r>
        <w:rPr>
          <w:highlight w:val="none"/>
        </w:rPr>
        <w:fldChar w:fldCharType="separate"/>
      </w:r>
      <w:r>
        <w:rPr>
          <w:highlight w:val="none"/>
        </w:rPr>
        <w:t>58</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_Toc12685 </w:instrText>
      </w:r>
      <w:r>
        <w:rPr>
          <w:rFonts w:cs="Times New Roman"/>
          <w:kern w:val="0"/>
          <w:szCs w:val="28"/>
          <w:highlight w:val="none"/>
        </w:rPr>
        <w:fldChar w:fldCharType="separate"/>
      </w:r>
      <w:r>
        <w:rPr>
          <w:rFonts w:ascii="Times New Roman" w:cs="Times New Roman" w:hAnsi="Times New Roman" w:hint="eastAsia"/>
          <w:lang w:eastAsia="zh-CN"/>
          <w:highlight w:val="none"/>
        </w:rPr>
        <w:t>17.</w:t>
      </w:r>
      <w:r>
        <w:rPr>
          <w:rFonts w:ascii="Times New Roman" w:cs="Times New Roman" w:hAnsi="Times New Roman"/>
          <w:highlight w:val="none"/>
        </w:rPr>
        <w:t>1　一般规定</w:t>
      </w:r>
      <w:r>
        <w:rPr>
          <w:highlight w:val="none"/>
        </w:rPr>
        <w:tab/>
      </w:r>
      <w:r>
        <w:rPr>
          <w:highlight w:val="none"/>
        </w:rPr>
        <w:fldChar w:fldCharType="begin"/>
      </w:r>
      <w:r>
        <w:rPr>
          <w:highlight w:val="none"/>
        </w:rPr>
        <w:instrText xml:space="preserve"> PAGEREF _Toc12685 \h </w:instrText>
      </w:r>
      <w:r>
        <w:rPr>
          <w:highlight w:val="none"/>
        </w:rPr>
        <w:fldChar w:fldCharType="separate"/>
      </w:r>
      <w:r>
        <w:rPr>
          <w:highlight w:val="none"/>
        </w:rPr>
        <w:t>58</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_Toc8781 </w:instrText>
      </w:r>
      <w:r>
        <w:rPr>
          <w:rFonts w:cs="Times New Roman"/>
          <w:kern w:val="0"/>
          <w:szCs w:val="28"/>
          <w:highlight w:val="none"/>
        </w:rPr>
        <w:fldChar w:fldCharType="separate"/>
      </w:r>
      <w:r>
        <w:rPr>
          <w:rFonts w:ascii="Times New Roman" w:cs="Times New Roman" w:hAnsi="Times New Roman" w:hint="eastAsia"/>
          <w:lang w:eastAsia="zh-CN"/>
          <w:highlight w:val="none"/>
        </w:rPr>
        <w:t>17.</w:t>
      </w:r>
      <w:r>
        <w:rPr>
          <w:rFonts w:ascii="Times New Roman" w:cs="Times New Roman" w:hAnsi="Times New Roman"/>
          <w:highlight w:val="none"/>
        </w:rPr>
        <w:t>2　超声波法</w:t>
      </w:r>
      <w:r>
        <w:rPr>
          <w:highlight w:val="none"/>
        </w:rPr>
        <w:tab/>
      </w:r>
      <w:r>
        <w:rPr>
          <w:highlight w:val="none"/>
        </w:rPr>
        <w:fldChar w:fldCharType="begin"/>
      </w:r>
      <w:r>
        <w:rPr>
          <w:highlight w:val="none"/>
        </w:rPr>
        <w:instrText xml:space="preserve"> PAGEREF _Toc8781 \h </w:instrText>
      </w:r>
      <w:r>
        <w:rPr>
          <w:highlight w:val="none"/>
        </w:rPr>
        <w:fldChar w:fldCharType="separate"/>
      </w:r>
      <w:r>
        <w:rPr>
          <w:highlight w:val="none"/>
        </w:rPr>
        <w:t>58</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_Toc11270 </w:instrText>
      </w:r>
      <w:r>
        <w:rPr>
          <w:rFonts w:cs="Times New Roman"/>
          <w:kern w:val="0"/>
          <w:szCs w:val="28"/>
          <w:highlight w:val="none"/>
        </w:rPr>
        <w:fldChar w:fldCharType="separate"/>
      </w:r>
      <w:r>
        <w:rPr>
          <w:rFonts w:ascii="Times New Roman" w:cs="Times New Roman" w:hAnsi="Times New Roman" w:hint="eastAsia"/>
          <w:lang w:eastAsia="zh-CN"/>
          <w:highlight w:val="none"/>
        </w:rPr>
        <w:t>17.</w:t>
      </w:r>
      <w:r>
        <w:rPr>
          <w:rFonts w:ascii="Times New Roman" w:cs="Times New Roman" w:hAnsi="Times New Roman"/>
          <w:highlight w:val="none"/>
        </w:rPr>
        <w:t>3　射线法</w:t>
      </w:r>
      <w:r>
        <w:rPr>
          <w:highlight w:val="none"/>
        </w:rPr>
        <w:tab/>
      </w:r>
      <w:r>
        <w:rPr>
          <w:highlight w:val="none"/>
        </w:rPr>
        <w:fldChar w:fldCharType="begin"/>
      </w:r>
      <w:r>
        <w:rPr>
          <w:highlight w:val="none"/>
        </w:rPr>
        <w:instrText xml:space="preserve"> PAGEREF _Toc11270 \h </w:instrText>
      </w:r>
      <w:r>
        <w:rPr>
          <w:highlight w:val="none"/>
        </w:rPr>
        <w:fldChar w:fldCharType="separate"/>
      </w:r>
      <w:r>
        <w:rPr>
          <w:highlight w:val="none"/>
        </w:rPr>
        <w:t>59</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_Toc546 </w:instrText>
      </w:r>
      <w:r>
        <w:rPr>
          <w:rFonts w:cs="Times New Roman"/>
          <w:kern w:val="0"/>
          <w:szCs w:val="28"/>
          <w:highlight w:val="none"/>
        </w:rPr>
        <w:fldChar w:fldCharType="separate"/>
      </w:r>
      <w:r>
        <w:rPr>
          <w:rFonts w:ascii="Times New Roman" w:cs="Times New Roman" w:hAnsi="Times New Roman" w:hint="eastAsia"/>
          <w:lang w:eastAsia="zh-CN"/>
          <w:highlight w:val="none"/>
        </w:rPr>
        <w:t>17.</w:t>
      </w:r>
      <w:r>
        <w:rPr>
          <w:rFonts w:ascii="Times New Roman" w:cs="Times New Roman" w:hAnsi="Times New Roman"/>
          <w:highlight w:val="none"/>
        </w:rPr>
        <w:t>4　磁粉法</w:t>
      </w:r>
      <w:r>
        <w:rPr>
          <w:highlight w:val="none"/>
        </w:rPr>
        <w:tab/>
      </w:r>
      <w:r>
        <w:rPr>
          <w:highlight w:val="none"/>
        </w:rPr>
        <w:fldChar w:fldCharType="begin"/>
      </w:r>
      <w:r>
        <w:rPr>
          <w:highlight w:val="none"/>
        </w:rPr>
        <w:instrText xml:space="preserve"> PAGEREF _Toc546 \h </w:instrText>
      </w:r>
      <w:r>
        <w:rPr>
          <w:highlight w:val="none"/>
        </w:rPr>
        <w:fldChar w:fldCharType="separate"/>
      </w:r>
      <w:r>
        <w:rPr>
          <w:highlight w:val="none"/>
        </w:rPr>
        <w:t>60</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_Toc20581 </w:instrText>
      </w:r>
      <w:r>
        <w:rPr>
          <w:rFonts w:cs="Times New Roman"/>
          <w:kern w:val="0"/>
          <w:szCs w:val="28"/>
          <w:highlight w:val="none"/>
        </w:rPr>
        <w:fldChar w:fldCharType="separate"/>
      </w:r>
      <w:r>
        <w:rPr>
          <w:rFonts w:ascii="Times New Roman" w:cs="Times New Roman" w:hAnsi="Times New Roman" w:hint="eastAsia"/>
          <w:lang w:eastAsia="zh-CN"/>
          <w:highlight w:val="none"/>
        </w:rPr>
        <w:t>17.</w:t>
      </w:r>
      <w:r>
        <w:rPr>
          <w:rFonts w:ascii="Times New Roman" w:cs="Times New Roman" w:hAnsi="Times New Roman"/>
          <w:highlight w:val="none"/>
        </w:rPr>
        <w:t>5　渗透法</w:t>
      </w:r>
      <w:r>
        <w:rPr>
          <w:highlight w:val="none"/>
        </w:rPr>
        <w:tab/>
      </w:r>
      <w:r>
        <w:rPr>
          <w:highlight w:val="none"/>
        </w:rPr>
        <w:fldChar w:fldCharType="begin"/>
      </w:r>
      <w:r>
        <w:rPr>
          <w:highlight w:val="none"/>
        </w:rPr>
        <w:instrText xml:space="preserve"> PAGEREF _Toc20581 \h </w:instrText>
      </w:r>
      <w:r>
        <w:rPr>
          <w:highlight w:val="none"/>
        </w:rPr>
        <w:fldChar w:fldCharType="separate"/>
      </w:r>
      <w:r>
        <w:rPr>
          <w:highlight w:val="none"/>
        </w:rPr>
        <w:t>60</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_Toc13444 </w:instrText>
      </w:r>
      <w:r>
        <w:rPr>
          <w:rFonts w:cs="Times New Roman"/>
          <w:kern w:val="0"/>
          <w:szCs w:val="28"/>
          <w:highlight w:val="none"/>
        </w:rPr>
        <w:fldChar w:fldCharType="separate"/>
      </w:r>
      <w:r>
        <w:rPr>
          <w:rFonts w:ascii="Times New Roman" w:cs="Times New Roman" w:hAnsi="Times New Roman" w:hint="eastAsia"/>
          <w:lang w:eastAsia="zh-CN"/>
          <w:highlight w:val="none"/>
        </w:rPr>
        <w:t>17.</w:t>
      </w:r>
      <w:r>
        <w:rPr>
          <w:rFonts w:ascii="Times New Roman" w:cs="Times New Roman" w:hAnsi="Times New Roman"/>
          <w:highlight w:val="none"/>
        </w:rPr>
        <w:t>6　相控阵法</w:t>
      </w:r>
      <w:r>
        <w:rPr>
          <w:highlight w:val="none"/>
        </w:rPr>
        <w:tab/>
      </w:r>
      <w:r>
        <w:rPr>
          <w:highlight w:val="none"/>
        </w:rPr>
        <w:fldChar w:fldCharType="begin"/>
      </w:r>
      <w:r>
        <w:rPr>
          <w:highlight w:val="none"/>
        </w:rPr>
        <w:instrText xml:space="preserve"> PAGEREF _Toc13444 \h </w:instrText>
      </w:r>
      <w:r>
        <w:rPr>
          <w:highlight w:val="none"/>
        </w:rPr>
        <w:fldChar w:fldCharType="separate"/>
      </w:r>
      <w:r>
        <w:rPr>
          <w:highlight w:val="none"/>
        </w:rPr>
        <w:t>61</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_Toc6500 </w:instrText>
      </w:r>
      <w:r>
        <w:rPr>
          <w:rFonts w:cs="Times New Roman"/>
          <w:kern w:val="0"/>
          <w:szCs w:val="28"/>
          <w:highlight w:val="none"/>
        </w:rPr>
        <w:fldChar w:fldCharType="separate"/>
      </w:r>
      <w:r>
        <w:rPr>
          <w:rFonts w:ascii="Times New Roman" w:cs="Times New Roman" w:hAnsi="Times New Roman" w:hint="eastAsia"/>
          <w:lang w:eastAsia="zh-CN"/>
          <w:highlight w:val="none"/>
        </w:rPr>
        <w:t>17.</w:t>
      </w:r>
      <w:r>
        <w:rPr>
          <w:rFonts w:ascii="Times New Roman" w:cs="Times New Roman" w:hAnsi="Times New Roman"/>
          <w:highlight w:val="none"/>
        </w:rPr>
        <w:t>7　扭矩系数法</w:t>
      </w:r>
      <w:r>
        <w:rPr>
          <w:highlight w:val="none"/>
        </w:rPr>
        <w:tab/>
      </w:r>
      <w:r>
        <w:rPr>
          <w:highlight w:val="none"/>
        </w:rPr>
        <w:fldChar w:fldCharType="begin"/>
      </w:r>
      <w:r>
        <w:rPr>
          <w:highlight w:val="none"/>
        </w:rPr>
        <w:instrText xml:space="preserve"> PAGEREF _Toc6500 \h </w:instrText>
      </w:r>
      <w:r>
        <w:rPr>
          <w:highlight w:val="none"/>
        </w:rPr>
        <w:fldChar w:fldCharType="separate"/>
      </w:r>
      <w:r>
        <w:rPr>
          <w:highlight w:val="none"/>
        </w:rPr>
        <w:t>62</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_Toc32065 </w:instrText>
      </w:r>
      <w:r>
        <w:rPr>
          <w:rFonts w:cs="Times New Roman"/>
          <w:kern w:val="0"/>
          <w:szCs w:val="28"/>
          <w:highlight w:val="none"/>
        </w:rPr>
        <w:fldChar w:fldCharType="separate"/>
      </w:r>
      <w:r>
        <w:rPr>
          <w:rFonts w:ascii="Times New Roman" w:cs="Times New Roman" w:hAnsi="Times New Roman" w:hint="eastAsia"/>
          <w:lang w:eastAsia="zh-CN"/>
          <w:highlight w:val="none"/>
        </w:rPr>
        <w:t>17.</w:t>
      </w:r>
      <w:r>
        <w:rPr>
          <w:rFonts w:ascii="Times New Roman" w:cs="Times New Roman" w:hAnsi="Times New Roman"/>
          <w:highlight w:val="none"/>
        </w:rPr>
        <w:t>8　松扣回扣法</w:t>
      </w:r>
      <w:r>
        <w:rPr>
          <w:highlight w:val="none"/>
        </w:rPr>
        <w:tab/>
      </w:r>
      <w:r>
        <w:rPr>
          <w:highlight w:val="none"/>
        </w:rPr>
        <w:fldChar w:fldCharType="begin"/>
      </w:r>
      <w:r>
        <w:rPr>
          <w:highlight w:val="none"/>
        </w:rPr>
        <w:instrText xml:space="preserve"> PAGEREF _Toc32065 \h </w:instrText>
      </w:r>
      <w:r>
        <w:rPr>
          <w:highlight w:val="none"/>
        </w:rPr>
        <w:fldChar w:fldCharType="separate"/>
      </w:r>
      <w:r>
        <w:rPr>
          <w:highlight w:val="none"/>
        </w:rPr>
        <w:t>63</w:t>
      </w:r>
      <w:r>
        <w:rPr>
          <w:highlight w:val="none"/>
        </w:rPr>
        <w:fldChar w:fldCharType="end"/>
      </w:r>
      <w:r>
        <w:rPr>
          <w:rFonts w:cs="Times New Roman"/>
          <w:color w:val="auto"/>
          <w:kern w:val="0"/>
          <w:szCs w:val="28"/>
          <w:highlight w:val="none"/>
        </w:rPr>
        <w:fldChar w:fldCharType="end"/>
      </w:r>
    </w:p>
    <w:p>
      <w:pPr>
        <w:pStyle w:val="33"/>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_Toc1956 </w:instrText>
      </w:r>
      <w:r>
        <w:rPr>
          <w:rFonts w:cs="Times New Roman"/>
          <w:kern w:val="0"/>
          <w:szCs w:val="28"/>
          <w:highlight w:val="none"/>
        </w:rPr>
        <w:fldChar w:fldCharType="separate"/>
      </w:r>
      <w:r>
        <w:rPr>
          <w:rFonts w:ascii="Times New Roman" w:cs="Times New Roman" w:hAnsi="Times New Roman" w:hint="eastAsia"/>
          <w:lang w:eastAsia="zh-CN"/>
          <w:highlight w:val="none"/>
        </w:rPr>
        <w:t>17.</w:t>
      </w:r>
      <w:r>
        <w:rPr>
          <w:rFonts w:ascii="Times New Roman" w:cs="Times New Roman" w:hAnsi="Times New Roman" w:hint="eastAsia"/>
          <w:highlight w:val="none"/>
        </w:rPr>
        <w:t>9</w:t>
      </w:r>
      <w:r>
        <w:rPr>
          <w:rFonts w:ascii="Times New Roman" w:cs="Times New Roman" w:hAnsi="Times New Roman"/>
          <w:highlight w:val="none"/>
        </w:rPr>
        <w:t>　</w:t>
      </w:r>
      <w:r>
        <w:rPr>
          <w:rFonts w:ascii="Times New Roman" w:cs="Times New Roman" w:hAnsi="Times New Roman" w:hint="eastAsia"/>
          <w:highlight w:val="none"/>
        </w:rPr>
        <w:t>尺寸检测法</w:t>
      </w:r>
      <w:r>
        <w:rPr>
          <w:highlight w:val="none"/>
        </w:rPr>
        <w:tab/>
      </w:r>
      <w:r>
        <w:rPr>
          <w:highlight w:val="none"/>
        </w:rPr>
        <w:fldChar w:fldCharType="begin"/>
      </w:r>
      <w:r>
        <w:rPr>
          <w:highlight w:val="none"/>
        </w:rPr>
        <w:instrText xml:space="preserve"> PAGEREF _Toc1956 \h </w:instrText>
      </w:r>
      <w:r>
        <w:rPr>
          <w:highlight w:val="none"/>
        </w:rPr>
        <w:fldChar w:fldCharType="separate"/>
      </w:r>
      <w:r>
        <w:rPr>
          <w:highlight w:val="none"/>
        </w:rPr>
        <w:t>64</w:t>
      </w:r>
      <w:r>
        <w:rPr>
          <w:highlight w:val="none"/>
        </w:rPr>
        <w:fldChar w:fldCharType="end"/>
      </w:r>
      <w:r>
        <w:rPr>
          <w:rFonts w:cs="Times New Roman"/>
          <w:color w:val="auto"/>
          <w:kern w:val="0"/>
          <w:szCs w:val="28"/>
          <w:highlight w:val="none"/>
        </w:rPr>
        <w:fldChar w:fldCharType="end"/>
      </w:r>
    </w:p>
    <w:p>
      <w:pPr>
        <w:pStyle w:val="29"/>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_Toc15932 </w:instrText>
      </w:r>
      <w:r>
        <w:rPr>
          <w:rFonts w:cs="Times New Roman"/>
          <w:kern w:val="0"/>
          <w:szCs w:val="28"/>
          <w:highlight w:val="none"/>
        </w:rPr>
        <w:fldChar w:fldCharType="separate"/>
      </w:r>
      <w:r>
        <w:rPr>
          <w:rFonts w:cs="Times New Roman"/>
          <w:bCs/>
          <w:kern w:val="44"/>
          <w:szCs w:val="30"/>
          <w:highlight w:val="none"/>
        </w:rPr>
        <w:t>附录A　套筒灌浆饱满度内窥镜法</w:t>
      </w:r>
      <w:r>
        <w:rPr>
          <w:rFonts w:cs="Times New Roman" w:hint="eastAsia"/>
          <w:bCs/>
          <w:kern w:val="44"/>
          <w:szCs w:val="30"/>
          <w:highlight w:val="none"/>
        </w:rPr>
        <w:t>检测</w:t>
      </w:r>
      <w:r>
        <w:rPr>
          <w:rFonts w:cs="Times New Roman"/>
          <w:bCs/>
          <w:kern w:val="44"/>
          <w:szCs w:val="30"/>
          <w:highlight w:val="none"/>
        </w:rPr>
        <w:t>记录表</w:t>
      </w:r>
      <w:r>
        <w:rPr>
          <w:highlight w:val="none"/>
        </w:rPr>
        <w:tab/>
      </w:r>
      <w:r>
        <w:rPr>
          <w:highlight w:val="none"/>
        </w:rPr>
        <w:fldChar w:fldCharType="begin"/>
      </w:r>
      <w:r>
        <w:rPr>
          <w:highlight w:val="none"/>
        </w:rPr>
        <w:instrText xml:space="preserve"> PAGEREF _Toc15932 \h </w:instrText>
      </w:r>
      <w:r>
        <w:rPr>
          <w:highlight w:val="none"/>
        </w:rPr>
        <w:fldChar w:fldCharType="separate"/>
      </w:r>
      <w:r>
        <w:rPr>
          <w:highlight w:val="none"/>
        </w:rPr>
        <w:t>65</w:t>
      </w:r>
      <w:r>
        <w:rPr>
          <w:highlight w:val="none"/>
        </w:rPr>
        <w:fldChar w:fldCharType="end"/>
      </w:r>
      <w:r>
        <w:rPr>
          <w:rFonts w:cs="Times New Roman"/>
          <w:color w:val="auto"/>
          <w:kern w:val="0"/>
          <w:szCs w:val="28"/>
          <w:highlight w:val="none"/>
        </w:rPr>
        <w:fldChar w:fldCharType="end"/>
      </w:r>
    </w:p>
    <w:p>
      <w:pPr>
        <w:pStyle w:val="29"/>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_Toc29215 </w:instrText>
      </w:r>
      <w:r>
        <w:rPr>
          <w:rFonts w:cs="Times New Roman"/>
          <w:kern w:val="0"/>
          <w:szCs w:val="28"/>
          <w:highlight w:val="none"/>
        </w:rPr>
        <w:fldChar w:fldCharType="separate"/>
      </w:r>
      <w:r>
        <w:rPr>
          <w:rFonts w:cs="Times New Roman"/>
          <w:bCs/>
          <w:kern w:val="44"/>
          <w:szCs w:val="30"/>
          <w:highlight w:val="none"/>
        </w:rPr>
        <w:t>附录B　套筒灌浆饱满度阻尼传感器法</w:t>
      </w:r>
      <w:r>
        <w:rPr>
          <w:rFonts w:cs="Times New Roman" w:hint="eastAsia"/>
          <w:bCs/>
          <w:kern w:val="44"/>
          <w:szCs w:val="30"/>
          <w:highlight w:val="none"/>
        </w:rPr>
        <w:t>检测</w:t>
      </w:r>
      <w:r>
        <w:rPr>
          <w:rFonts w:cs="Times New Roman"/>
          <w:bCs/>
          <w:kern w:val="44"/>
          <w:szCs w:val="30"/>
          <w:highlight w:val="none"/>
        </w:rPr>
        <w:t>记录表</w:t>
      </w:r>
      <w:r>
        <w:rPr>
          <w:highlight w:val="none"/>
        </w:rPr>
        <w:tab/>
      </w:r>
      <w:r>
        <w:rPr>
          <w:highlight w:val="none"/>
        </w:rPr>
        <w:fldChar w:fldCharType="begin"/>
      </w:r>
      <w:r>
        <w:rPr>
          <w:highlight w:val="none"/>
        </w:rPr>
        <w:instrText xml:space="preserve"> PAGEREF _Toc29215 \h </w:instrText>
      </w:r>
      <w:r>
        <w:rPr>
          <w:highlight w:val="none"/>
        </w:rPr>
        <w:fldChar w:fldCharType="separate"/>
      </w:r>
      <w:r>
        <w:rPr>
          <w:highlight w:val="none"/>
        </w:rPr>
        <w:t>66</w:t>
      </w:r>
      <w:r>
        <w:rPr>
          <w:highlight w:val="none"/>
        </w:rPr>
        <w:fldChar w:fldCharType="end"/>
      </w:r>
      <w:r>
        <w:rPr>
          <w:rFonts w:cs="Times New Roman"/>
          <w:color w:val="auto"/>
          <w:kern w:val="0"/>
          <w:szCs w:val="28"/>
          <w:highlight w:val="none"/>
        </w:rPr>
        <w:fldChar w:fldCharType="end"/>
      </w:r>
    </w:p>
    <w:p>
      <w:pPr>
        <w:pStyle w:val="29"/>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_Toc1186 </w:instrText>
      </w:r>
      <w:r>
        <w:rPr>
          <w:rFonts w:cs="Times New Roman"/>
          <w:kern w:val="0"/>
          <w:szCs w:val="28"/>
          <w:highlight w:val="none"/>
        </w:rPr>
        <w:fldChar w:fldCharType="separate"/>
      </w:r>
      <w:r>
        <w:rPr>
          <w:rFonts w:cs="Times New Roman"/>
          <w:bCs/>
          <w:kern w:val="44"/>
          <w:szCs w:val="30"/>
          <w:highlight w:val="none"/>
        </w:rPr>
        <w:t>附录C　套筒灌浆饱满度芯片法</w:t>
      </w:r>
      <w:r>
        <w:rPr>
          <w:rFonts w:cs="Times New Roman" w:hint="eastAsia"/>
          <w:bCs/>
          <w:kern w:val="44"/>
          <w:szCs w:val="30"/>
          <w:highlight w:val="none"/>
        </w:rPr>
        <w:t>检测</w:t>
      </w:r>
      <w:r>
        <w:rPr>
          <w:rFonts w:cs="Times New Roman"/>
          <w:bCs/>
          <w:kern w:val="44"/>
          <w:szCs w:val="30"/>
          <w:highlight w:val="none"/>
        </w:rPr>
        <w:t>记录表</w:t>
      </w:r>
      <w:r>
        <w:rPr>
          <w:highlight w:val="none"/>
        </w:rPr>
        <w:tab/>
      </w:r>
      <w:r>
        <w:rPr>
          <w:highlight w:val="none"/>
        </w:rPr>
        <w:fldChar w:fldCharType="begin"/>
      </w:r>
      <w:r>
        <w:rPr>
          <w:highlight w:val="none"/>
        </w:rPr>
        <w:instrText xml:space="preserve"> PAGEREF _Toc1186 \h </w:instrText>
      </w:r>
      <w:r>
        <w:rPr>
          <w:highlight w:val="none"/>
        </w:rPr>
        <w:fldChar w:fldCharType="separate"/>
      </w:r>
      <w:r>
        <w:rPr>
          <w:highlight w:val="none"/>
        </w:rPr>
        <w:t>67</w:t>
      </w:r>
      <w:r>
        <w:rPr>
          <w:highlight w:val="none"/>
        </w:rPr>
        <w:fldChar w:fldCharType="end"/>
      </w:r>
      <w:r>
        <w:rPr>
          <w:rFonts w:cs="Times New Roman"/>
          <w:color w:val="auto"/>
          <w:kern w:val="0"/>
          <w:szCs w:val="28"/>
          <w:highlight w:val="none"/>
        </w:rPr>
        <w:fldChar w:fldCharType="end"/>
      </w:r>
    </w:p>
    <w:p>
      <w:pPr>
        <w:pStyle w:val="29"/>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_Toc25346 </w:instrText>
      </w:r>
      <w:r>
        <w:rPr>
          <w:rFonts w:cs="Times New Roman"/>
          <w:kern w:val="0"/>
          <w:szCs w:val="28"/>
          <w:highlight w:val="none"/>
        </w:rPr>
        <w:fldChar w:fldCharType="separate"/>
      </w:r>
      <w:r>
        <w:rPr>
          <w:rFonts w:cs="Times New Roman"/>
          <w:bCs/>
          <w:kern w:val="44"/>
          <w:szCs w:val="30"/>
          <w:highlight w:val="none"/>
        </w:rPr>
        <w:t>附录D　套筒灌浆饱满度电阻率法</w:t>
      </w:r>
      <w:r>
        <w:rPr>
          <w:rFonts w:cs="Times New Roman" w:hint="eastAsia"/>
          <w:bCs/>
          <w:kern w:val="44"/>
          <w:szCs w:val="30"/>
          <w:highlight w:val="none"/>
        </w:rPr>
        <w:t>检测</w:t>
      </w:r>
      <w:r>
        <w:rPr>
          <w:rFonts w:cs="Times New Roman"/>
          <w:bCs/>
          <w:kern w:val="44"/>
          <w:szCs w:val="30"/>
          <w:highlight w:val="none"/>
        </w:rPr>
        <w:t>记录表</w:t>
      </w:r>
      <w:r>
        <w:rPr>
          <w:highlight w:val="none"/>
        </w:rPr>
        <w:tab/>
      </w:r>
      <w:r>
        <w:rPr>
          <w:highlight w:val="none"/>
        </w:rPr>
        <w:fldChar w:fldCharType="begin"/>
      </w:r>
      <w:r>
        <w:rPr>
          <w:highlight w:val="none"/>
        </w:rPr>
        <w:instrText xml:space="preserve"> PAGEREF _Toc25346 \h </w:instrText>
      </w:r>
      <w:r>
        <w:rPr>
          <w:highlight w:val="none"/>
        </w:rPr>
        <w:fldChar w:fldCharType="separate"/>
      </w:r>
      <w:r>
        <w:rPr>
          <w:highlight w:val="none"/>
        </w:rPr>
        <w:t>68</w:t>
      </w:r>
      <w:r>
        <w:rPr>
          <w:highlight w:val="none"/>
        </w:rPr>
        <w:fldChar w:fldCharType="end"/>
      </w:r>
      <w:r>
        <w:rPr>
          <w:rFonts w:cs="Times New Roman"/>
          <w:color w:val="auto"/>
          <w:kern w:val="0"/>
          <w:szCs w:val="28"/>
          <w:highlight w:val="none"/>
        </w:rPr>
        <w:fldChar w:fldCharType="end"/>
      </w:r>
    </w:p>
    <w:p>
      <w:pPr>
        <w:pStyle w:val="29"/>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_Toc25818 </w:instrText>
      </w:r>
      <w:r>
        <w:rPr>
          <w:rFonts w:cs="Times New Roman"/>
          <w:kern w:val="0"/>
          <w:szCs w:val="28"/>
          <w:highlight w:val="none"/>
        </w:rPr>
        <w:fldChar w:fldCharType="separate"/>
      </w:r>
      <w:r>
        <w:rPr>
          <w:rFonts w:cs="Times New Roman"/>
          <w:bCs/>
          <w:kern w:val="44"/>
          <w:szCs w:val="30"/>
          <w:highlight w:val="none"/>
        </w:rPr>
        <w:t>附录E　套筒灌浆饱满度电容法检测记录表</w:t>
      </w:r>
      <w:r>
        <w:rPr>
          <w:highlight w:val="none"/>
        </w:rPr>
        <w:tab/>
      </w:r>
      <w:r>
        <w:rPr>
          <w:highlight w:val="none"/>
        </w:rPr>
        <w:fldChar w:fldCharType="begin"/>
      </w:r>
      <w:r>
        <w:rPr>
          <w:highlight w:val="none"/>
        </w:rPr>
        <w:instrText xml:space="preserve"> PAGEREF _Toc25818 \h </w:instrText>
      </w:r>
      <w:r>
        <w:rPr>
          <w:highlight w:val="none"/>
        </w:rPr>
        <w:fldChar w:fldCharType="separate"/>
      </w:r>
      <w:r>
        <w:rPr>
          <w:highlight w:val="none"/>
        </w:rPr>
        <w:t>69</w:t>
      </w:r>
      <w:r>
        <w:rPr>
          <w:highlight w:val="none"/>
        </w:rPr>
        <w:fldChar w:fldCharType="end"/>
      </w:r>
      <w:r>
        <w:rPr>
          <w:rFonts w:cs="Times New Roman"/>
          <w:color w:val="auto"/>
          <w:kern w:val="0"/>
          <w:szCs w:val="28"/>
          <w:highlight w:val="none"/>
        </w:rPr>
        <w:fldChar w:fldCharType="end"/>
      </w:r>
    </w:p>
    <w:p>
      <w:pPr>
        <w:pStyle w:val="29"/>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_Toc11353 </w:instrText>
      </w:r>
      <w:r>
        <w:rPr>
          <w:rFonts w:cs="Times New Roman"/>
          <w:kern w:val="0"/>
          <w:szCs w:val="28"/>
          <w:highlight w:val="none"/>
        </w:rPr>
        <w:fldChar w:fldCharType="separate"/>
      </w:r>
      <w:r>
        <w:rPr>
          <w:rFonts w:cs="Times New Roman"/>
          <w:bCs/>
          <w:kern w:val="44"/>
          <w:szCs w:val="30"/>
          <w:highlight w:val="none"/>
        </w:rPr>
        <w:t>附录F　套筒灌浆饱满度压电法</w:t>
      </w:r>
      <w:r>
        <w:rPr>
          <w:rFonts w:cs="Times New Roman" w:hint="eastAsia"/>
          <w:bCs/>
          <w:kern w:val="44"/>
          <w:szCs w:val="30"/>
          <w:highlight w:val="none"/>
        </w:rPr>
        <w:t>检测</w:t>
      </w:r>
      <w:r>
        <w:rPr>
          <w:rFonts w:cs="Times New Roman"/>
          <w:bCs/>
          <w:kern w:val="44"/>
          <w:szCs w:val="30"/>
          <w:highlight w:val="none"/>
        </w:rPr>
        <w:t>记录表</w:t>
      </w:r>
      <w:r>
        <w:rPr>
          <w:highlight w:val="none"/>
        </w:rPr>
        <w:tab/>
      </w:r>
      <w:r>
        <w:rPr>
          <w:highlight w:val="none"/>
        </w:rPr>
        <w:fldChar w:fldCharType="begin"/>
      </w:r>
      <w:r>
        <w:rPr>
          <w:highlight w:val="none"/>
        </w:rPr>
        <w:instrText xml:space="preserve"> PAGEREF _Toc11353 \h </w:instrText>
      </w:r>
      <w:r>
        <w:rPr>
          <w:highlight w:val="none"/>
        </w:rPr>
        <w:fldChar w:fldCharType="separate"/>
      </w:r>
      <w:r>
        <w:rPr>
          <w:highlight w:val="none"/>
        </w:rPr>
        <w:t>70</w:t>
      </w:r>
      <w:r>
        <w:rPr>
          <w:highlight w:val="none"/>
        </w:rPr>
        <w:fldChar w:fldCharType="end"/>
      </w:r>
      <w:r>
        <w:rPr>
          <w:rFonts w:cs="Times New Roman"/>
          <w:color w:val="auto"/>
          <w:kern w:val="0"/>
          <w:szCs w:val="28"/>
          <w:highlight w:val="none"/>
        </w:rPr>
        <w:fldChar w:fldCharType="end"/>
      </w:r>
    </w:p>
    <w:p>
      <w:pPr>
        <w:pStyle w:val="29"/>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_Toc17142 </w:instrText>
      </w:r>
      <w:r>
        <w:rPr>
          <w:rFonts w:cs="Times New Roman"/>
          <w:kern w:val="0"/>
          <w:szCs w:val="28"/>
          <w:highlight w:val="none"/>
        </w:rPr>
        <w:fldChar w:fldCharType="separate"/>
      </w:r>
      <w:r>
        <w:rPr>
          <w:rFonts w:cs="Times New Roman"/>
          <w:bCs/>
          <w:kern w:val="44"/>
          <w:szCs w:val="30"/>
          <w:highlight w:val="none"/>
        </w:rPr>
        <w:t>附录G</w:t>
      </w:r>
      <w:r>
        <w:rPr>
          <w:rFonts w:cs="Times New Roman" w:hint="eastAsia"/>
          <w:bCs/>
          <w:kern w:val="44"/>
          <w:szCs w:val="30"/>
          <w:highlight w:val="none"/>
        </w:rPr>
        <w:t>　</w:t>
      </w:r>
      <w:r>
        <w:rPr>
          <w:rFonts w:cs="Times New Roman"/>
          <w:bCs/>
          <w:kern w:val="44"/>
          <w:szCs w:val="30"/>
          <w:highlight w:val="none"/>
        </w:rPr>
        <w:t>套筒灌浆饱满度压力传感器法</w:t>
      </w:r>
      <w:r>
        <w:rPr>
          <w:rFonts w:cs="Times New Roman" w:hint="eastAsia"/>
          <w:bCs/>
          <w:kern w:val="44"/>
          <w:szCs w:val="30"/>
          <w:highlight w:val="none"/>
        </w:rPr>
        <w:t>检测</w:t>
      </w:r>
      <w:r>
        <w:rPr>
          <w:rFonts w:cs="Times New Roman"/>
          <w:bCs/>
          <w:kern w:val="44"/>
          <w:szCs w:val="30"/>
          <w:highlight w:val="none"/>
        </w:rPr>
        <w:t>记录表</w:t>
      </w:r>
      <w:r>
        <w:rPr>
          <w:highlight w:val="none"/>
        </w:rPr>
        <w:tab/>
      </w:r>
      <w:r>
        <w:rPr>
          <w:highlight w:val="none"/>
        </w:rPr>
        <w:fldChar w:fldCharType="begin"/>
      </w:r>
      <w:r>
        <w:rPr>
          <w:highlight w:val="none"/>
        </w:rPr>
        <w:instrText xml:space="preserve"> PAGEREF _Toc17142 \h </w:instrText>
      </w:r>
      <w:r>
        <w:rPr>
          <w:highlight w:val="none"/>
        </w:rPr>
        <w:fldChar w:fldCharType="separate"/>
      </w:r>
      <w:r>
        <w:rPr>
          <w:highlight w:val="none"/>
        </w:rPr>
        <w:t>71</w:t>
      </w:r>
      <w:r>
        <w:rPr>
          <w:highlight w:val="none"/>
        </w:rPr>
        <w:fldChar w:fldCharType="end"/>
      </w:r>
      <w:r>
        <w:rPr>
          <w:rFonts w:cs="Times New Roman"/>
          <w:color w:val="auto"/>
          <w:kern w:val="0"/>
          <w:szCs w:val="28"/>
          <w:highlight w:val="none"/>
        </w:rPr>
        <w:fldChar w:fldCharType="end"/>
      </w:r>
    </w:p>
    <w:p>
      <w:pPr>
        <w:pStyle w:val="29"/>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_Toc31552 </w:instrText>
      </w:r>
      <w:r>
        <w:rPr>
          <w:rFonts w:cs="Times New Roman"/>
          <w:kern w:val="0"/>
          <w:szCs w:val="28"/>
          <w:highlight w:val="none"/>
        </w:rPr>
        <w:fldChar w:fldCharType="separate"/>
      </w:r>
      <w:r>
        <w:rPr>
          <w:rFonts w:cs="Times New Roman"/>
          <w:bCs/>
          <w:kern w:val="44"/>
          <w:szCs w:val="30"/>
          <w:highlight w:val="none"/>
        </w:rPr>
        <w:t>附录H</w:t>
      </w:r>
      <w:r>
        <w:rPr>
          <w:rFonts w:cs="Times New Roman" w:hint="eastAsia"/>
          <w:bCs/>
          <w:kern w:val="44"/>
          <w:szCs w:val="30"/>
          <w:highlight w:val="none"/>
        </w:rPr>
        <w:t>　</w:t>
      </w:r>
      <w:r>
        <w:rPr>
          <w:rFonts w:cs="Times New Roman"/>
          <w:bCs/>
          <w:kern w:val="44"/>
          <w:szCs w:val="30"/>
          <w:highlight w:val="none"/>
        </w:rPr>
        <w:t>套筒灌浆饱满度预埋钢丝拉拔法</w:t>
      </w:r>
      <w:r>
        <w:rPr>
          <w:rFonts w:cs="Times New Roman" w:hint="eastAsia"/>
          <w:bCs/>
          <w:kern w:val="44"/>
          <w:szCs w:val="30"/>
          <w:highlight w:val="none"/>
        </w:rPr>
        <w:t>检测</w:t>
      </w:r>
      <w:r>
        <w:rPr>
          <w:rFonts w:cs="Times New Roman"/>
          <w:bCs/>
          <w:kern w:val="44"/>
          <w:szCs w:val="30"/>
          <w:highlight w:val="none"/>
        </w:rPr>
        <w:t>记录表</w:t>
      </w:r>
      <w:r>
        <w:rPr>
          <w:highlight w:val="none"/>
        </w:rPr>
        <w:tab/>
      </w:r>
      <w:r>
        <w:rPr>
          <w:highlight w:val="none"/>
        </w:rPr>
        <w:fldChar w:fldCharType="begin"/>
      </w:r>
      <w:r>
        <w:rPr>
          <w:highlight w:val="none"/>
        </w:rPr>
        <w:instrText xml:space="preserve"> PAGEREF _Toc31552 \h </w:instrText>
      </w:r>
      <w:r>
        <w:rPr>
          <w:highlight w:val="none"/>
        </w:rPr>
        <w:fldChar w:fldCharType="separate"/>
      </w:r>
      <w:r>
        <w:rPr>
          <w:highlight w:val="none"/>
        </w:rPr>
        <w:t>72</w:t>
      </w:r>
      <w:r>
        <w:rPr>
          <w:highlight w:val="none"/>
        </w:rPr>
        <w:fldChar w:fldCharType="end"/>
      </w:r>
      <w:r>
        <w:rPr>
          <w:rFonts w:cs="Times New Roman"/>
          <w:color w:val="auto"/>
          <w:kern w:val="0"/>
          <w:szCs w:val="28"/>
          <w:highlight w:val="none"/>
        </w:rPr>
        <w:fldChar w:fldCharType="end"/>
      </w:r>
    </w:p>
    <w:p>
      <w:pPr>
        <w:pStyle w:val="29"/>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_Toc21422 </w:instrText>
      </w:r>
      <w:r>
        <w:rPr>
          <w:rFonts w:cs="Times New Roman"/>
          <w:kern w:val="0"/>
          <w:szCs w:val="28"/>
          <w:highlight w:val="none"/>
        </w:rPr>
        <w:fldChar w:fldCharType="separate"/>
      </w:r>
      <w:r>
        <w:rPr>
          <w:rFonts w:cs="Times New Roman"/>
          <w:bCs/>
          <w:kern w:val="44"/>
          <w:szCs w:val="30"/>
          <w:highlight w:val="none"/>
        </w:rPr>
        <w:t>附录J</w:t>
      </w:r>
      <w:r>
        <w:rPr>
          <w:rFonts w:cs="Times New Roman" w:hint="eastAsia"/>
          <w:bCs/>
          <w:kern w:val="44"/>
          <w:szCs w:val="30"/>
          <w:highlight w:val="none"/>
        </w:rPr>
        <w:t>　</w:t>
      </w:r>
      <w:r>
        <w:rPr>
          <w:rFonts w:cs="Times New Roman"/>
          <w:bCs/>
          <w:kern w:val="44"/>
          <w:szCs w:val="30"/>
          <w:highlight w:val="none"/>
        </w:rPr>
        <w:t>非金属超声波检测记录表</w:t>
      </w:r>
      <w:r>
        <w:rPr>
          <w:highlight w:val="none"/>
        </w:rPr>
        <w:tab/>
      </w:r>
      <w:r>
        <w:rPr>
          <w:highlight w:val="none"/>
        </w:rPr>
        <w:fldChar w:fldCharType="begin"/>
      </w:r>
      <w:r>
        <w:rPr>
          <w:highlight w:val="none"/>
        </w:rPr>
        <w:instrText xml:space="preserve"> PAGEREF _Toc21422 \h </w:instrText>
      </w:r>
      <w:r>
        <w:rPr>
          <w:highlight w:val="none"/>
        </w:rPr>
        <w:fldChar w:fldCharType="separate"/>
      </w:r>
      <w:r>
        <w:rPr>
          <w:highlight w:val="none"/>
        </w:rPr>
        <w:t>73</w:t>
      </w:r>
      <w:r>
        <w:rPr>
          <w:highlight w:val="none"/>
        </w:rPr>
        <w:fldChar w:fldCharType="end"/>
      </w:r>
      <w:r>
        <w:rPr>
          <w:rFonts w:cs="Times New Roman"/>
          <w:color w:val="auto"/>
          <w:kern w:val="0"/>
          <w:szCs w:val="28"/>
          <w:highlight w:val="none"/>
        </w:rPr>
        <w:fldChar w:fldCharType="end"/>
      </w:r>
    </w:p>
    <w:p>
      <w:pPr>
        <w:pStyle w:val="29"/>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_Toc9586 </w:instrText>
      </w:r>
      <w:r>
        <w:rPr>
          <w:rFonts w:cs="Times New Roman"/>
          <w:kern w:val="0"/>
          <w:szCs w:val="28"/>
          <w:highlight w:val="none"/>
        </w:rPr>
        <w:fldChar w:fldCharType="separate"/>
      </w:r>
      <w:r>
        <w:rPr>
          <w:rFonts w:cs="Times New Roman"/>
          <w:bCs/>
          <w:kern w:val="44"/>
          <w:szCs w:val="30"/>
          <w:highlight w:val="none"/>
        </w:rPr>
        <w:t>附录K</w:t>
      </w:r>
      <w:r>
        <w:rPr>
          <w:rFonts w:cs="Times New Roman" w:hint="eastAsia"/>
          <w:bCs/>
          <w:kern w:val="44"/>
          <w:szCs w:val="30"/>
          <w:highlight w:val="none"/>
        </w:rPr>
        <w:t>　</w:t>
      </w:r>
      <w:r>
        <w:rPr>
          <w:rFonts w:cs="Times New Roman"/>
          <w:bCs/>
          <w:kern w:val="44"/>
          <w:szCs w:val="30"/>
          <w:lang w:val="el-GR"/>
          <w:highlight w:val="none"/>
        </w:rPr>
        <w:t>冲击回波法</w:t>
      </w:r>
      <w:r>
        <w:rPr>
          <w:rFonts w:cs="Times New Roman"/>
          <w:bCs/>
          <w:kern w:val="44"/>
          <w:szCs w:val="30"/>
          <w:highlight w:val="none"/>
        </w:rPr>
        <w:t>检测记录表</w:t>
      </w:r>
      <w:r>
        <w:rPr>
          <w:highlight w:val="none"/>
        </w:rPr>
        <w:tab/>
      </w:r>
      <w:r>
        <w:rPr>
          <w:highlight w:val="none"/>
        </w:rPr>
        <w:fldChar w:fldCharType="begin"/>
      </w:r>
      <w:r>
        <w:rPr>
          <w:highlight w:val="none"/>
        </w:rPr>
        <w:instrText xml:space="preserve"> PAGEREF _Toc9586 \h </w:instrText>
      </w:r>
      <w:r>
        <w:rPr>
          <w:highlight w:val="none"/>
        </w:rPr>
        <w:fldChar w:fldCharType="separate"/>
      </w:r>
      <w:r>
        <w:rPr>
          <w:highlight w:val="none"/>
        </w:rPr>
        <w:t>74</w:t>
      </w:r>
      <w:r>
        <w:rPr>
          <w:highlight w:val="none"/>
        </w:rPr>
        <w:fldChar w:fldCharType="end"/>
      </w:r>
      <w:r>
        <w:rPr>
          <w:rFonts w:cs="Times New Roman"/>
          <w:color w:val="auto"/>
          <w:kern w:val="0"/>
          <w:szCs w:val="28"/>
          <w:highlight w:val="none"/>
        </w:rPr>
        <w:fldChar w:fldCharType="end"/>
      </w:r>
    </w:p>
    <w:p>
      <w:pPr>
        <w:pStyle w:val="29"/>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_Toc16938 </w:instrText>
      </w:r>
      <w:r>
        <w:rPr>
          <w:rFonts w:cs="Times New Roman"/>
          <w:kern w:val="0"/>
          <w:szCs w:val="28"/>
          <w:highlight w:val="none"/>
        </w:rPr>
        <w:fldChar w:fldCharType="separate"/>
      </w:r>
      <w:r>
        <w:rPr>
          <w:rFonts w:cs="Times New Roman"/>
          <w:bCs/>
          <w:kern w:val="44"/>
          <w:szCs w:val="30"/>
          <w:highlight w:val="none"/>
        </w:rPr>
        <w:t>附录L　复拉法检测记录表</w:t>
      </w:r>
      <w:r>
        <w:rPr>
          <w:highlight w:val="none"/>
        </w:rPr>
        <w:tab/>
      </w:r>
      <w:r>
        <w:rPr>
          <w:highlight w:val="none"/>
        </w:rPr>
        <w:fldChar w:fldCharType="begin"/>
      </w:r>
      <w:r>
        <w:rPr>
          <w:highlight w:val="none"/>
        </w:rPr>
        <w:instrText xml:space="preserve"> PAGEREF _Toc16938 \h </w:instrText>
      </w:r>
      <w:r>
        <w:rPr>
          <w:highlight w:val="none"/>
        </w:rPr>
        <w:fldChar w:fldCharType="separate"/>
      </w:r>
      <w:r>
        <w:rPr>
          <w:highlight w:val="none"/>
        </w:rPr>
        <w:t>75</w:t>
      </w:r>
      <w:r>
        <w:rPr>
          <w:highlight w:val="none"/>
        </w:rPr>
        <w:fldChar w:fldCharType="end"/>
      </w:r>
      <w:r>
        <w:rPr>
          <w:rFonts w:cs="Times New Roman"/>
          <w:color w:val="auto"/>
          <w:kern w:val="0"/>
          <w:szCs w:val="28"/>
          <w:highlight w:val="none"/>
        </w:rPr>
        <w:fldChar w:fldCharType="end"/>
      </w:r>
    </w:p>
    <w:p>
      <w:pPr>
        <w:pStyle w:val="29"/>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_Toc3177 </w:instrText>
      </w:r>
      <w:r>
        <w:rPr>
          <w:rFonts w:cs="Times New Roman"/>
          <w:kern w:val="0"/>
          <w:szCs w:val="28"/>
          <w:highlight w:val="none"/>
        </w:rPr>
        <w:fldChar w:fldCharType="separate"/>
      </w:r>
      <w:r>
        <w:rPr>
          <w:rFonts w:cs="Times New Roman"/>
          <w:highlight w:val="none"/>
        </w:rPr>
        <w:t>附录M</w:t>
      </w:r>
      <w:r>
        <w:rPr>
          <w:rFonts w:cs="Times New Roman"/>
          <w:bCs w:val="0"/>
          <w:szCs w:val="30"/>
          <w:highlight w:val="none"/>
        </w:rPr>
        <w:t>　</w:t>
      </w:r>
      <w:r>
        <w:rPr>
          <w:rFonts w:cs="Times New Roman"/>
          <w:highlight w:val="none"/>
        </w:rPr>
        <w:t>射钉法</w:t>
      </w:r>
      <w:r>
        <w:rPr>
          <w:rFonts w:cs="Times New Roman" w:hint="eastAsia"/>
          <w:highlight w:val="none"/>
        </w:rPr>
        <w:t>检测</w:t>
      </w:r>
      <w:r>
        <w:rPr>
          <w:rFonts w:cs="Times New Roman"/>
          <w:highlight w:val="none"/>
        </w:rPr>
        <w:t>记录表</w:t>
      </w:r>
      <w:r>
        <w:rPr>
          <w:highlight w:val="none"/>
        </w:rPr>
        <w:tab/>
      </w:r>
      <w:r>
        <w:rPr>
          <w:highlight w:val="none"/>
        </w:rPr>
        <w:fldChar w:fldCharType="begin"/>
      </w:r>
      <w:r>
        <w:rPr>
          <w:highlight w:val="none"/>
        </w:rPr>
        <w:instrText xml:space="preserve"> PAGEREF _Toc3177 \h </w:instrText>
      </w:r>
      <w:r>
        <w:rPr>
          <w:highlight w:val="none"/>
        </w:rPr>
        <w:fldChar w:fldCharType="separate"/>
      </w:r>
      <w:r>
        <w:rPr>
          <w:highlight w:val="none"/>
        </w:rPr>
        <w:t>75</w:t>
      </w:r>
      <w:r>
        <w:rPr>
          <w:highlight w:val="none"/>
        </w:rPr>
        <w:fldChar w:fldCharType="end"/>
      </w:r>
      <w:r>
        <w:rPr>
          <w:rFonts w:cs="Times New Roman"/>
          <w:color w:val="auto"/>
          <w:kern w:val="0"/>
          <w:szCs w:val="28"/>
          <w:highlight w:val="none"/>
        </w:rPr>
        <w:fldChar w:fldCharType="end"/>
      </w:r>
    </w:p>
    <w:p>
      <w:pPr>
        <w:pStyle w:val="29"/>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_Toc2342 </w:instrText>
      </w:r>
      <w:r>
        <w:rPr>
          <w:rFonts w:cs="Times New Roman"/>
          <w:kern w:val="0"/>
          <w:szCs w:val="28"/>
          <w:highlight w:val="none"/>
        </w:rPr>
        <w:fldChar w:fldCharType="separate"/>
      </w:r>
      <w:r>
        <w:rPr>
          <w:rFonts w:cs="Times New Roman"/>
          <w:highlight w:val="none"/>
        </w:rPr>
        <w:t>附录N</w:t>
      </w:r>
      <w:r>
        <w:rPr>
          <w:rFonts w:cs="Times New Roman"/>
          <w:bCs w:val="0"/>
          <w:szCs w:val="30"/>
          <w:highlight w:val="none"/>
        </w:rPr>
        <w:t>　</w:t>
      </w:r>
      <w:r>
        <w:rPr>
          <w:rFonts w:cs="Times New Roman"/>
          <w:highlight w:val="none"/>
        </w:rPr>
        <w:t>射钉法装置标定记录表</w:t>
      </w:r>
      <w:r>
        <w:rPr>
          <w:highlight w:val="none"/>
        </w:rPr>
        <w:tab/>
      </w:r>
      <w:r>
        <w:rPr>
          <w:highlight w:val="none"/>
        </w:rPr>
        <w:fldChar w:fldCharType="begin"/>
      </w:r>
      <w:r>
        <w:rPr>
          <w:highlight w:val="none"/>
        </w:rPr>
        <w:instrText xml:space="preserve"> PAGEREF _Toc2342 \h </w:instrText>
      </w:r>
      <w:r>
        <w:rPr>
          <w:highlight w:val="none"/>
        </w:rPr>
        <w:fldChar w:fldCharType="separate"/>
      </w:r>
      <w:r>
        <w:rPr>
          <w:highlight w:val="none"/>
        </w:rPr>
        <w:t>77</w:t>
      </w:r>
      <w:r>
        <w:rPr>
          <w:highlight w:val="none"/>
        </w:rPr>
        <w:fldChar w:fldCharType="end"/>
      </w:r>
      <w:r>
        <w:rPr>
          <w:rFonts w:cs="Times New Roman"/>
          <w:color w:val="auto"/>
          <w:kern w:val="0"/>
          <w:szCs w:val="28"/>
          <w:highlight w:val="none"/>
        </w:rPr>
        <w:fldChar w:fldCharType="end"/>
      </w:r>
    </w:p>
    <w:p>
      <w:pPr>
        <w:pStyle w:val="29"/>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_Toc2673 </w:instrText>
      </w:r>
      <w:r>
        <w:rPr>
          <w:rFonts w:cs="Times New Roman"/>
          <w:kern w:val="0"/>
          <w:szCs w:val="28"/>
          <w:highlight w:val="none"/>
        </w:rPr>
        <w:fldChar w:fldCharType="separate"/>
      </w:r>
      <w:r>
        <w:rPr>
          <w:rFonts w:cs="Times New Roman" w:hint="eastAsia"/>
          <w:lang w:val="en-US" w:eastAsia="zh-CN"/>
          <w:highlight w:val="none"/>
        </w:rPr>
        <w:t>本标准</w:t>
      </w:r>
      <w:r>
        <w:rPr>
          <w:rFonts w:cs="Times New Roman"/>
          <w:highlight w:val="none"/>
        </w:rPr>
        <w:t>用词说明</w:t>
      </w:r>
      <w:r>
        <w:rPr>
          <w:highlight w:val="none"/>
        </w:rPr>
        <w:tab/>
      </w:r>
      <w:r>
        <w:rPr>
          <w:highlight w:val="none"/>
        </w:rPr>
        <w:fldChar w:fldCharType="begin"/>
      </w:r>
      <w:r>
        <w:rPr>
          <w:highlight w:val="none"/>
        </w:rPr>
        <w:instrText xml:space="preserve"> PAGEREF _Toc2673 \h </w:instrText>
      </w:r>
      <w:r>
        <w:rPr>
          <w:highlight w:val="none"/>
        </w:rPr>
        <w:fldChar w:fldCharType="separate"/>
      </w:r>
      <w:r>
        <w:rPr>
          <w:highlight w:val="none"/>
        </w:rPr>
        <w:t>78</w:t>
      </w:r>
      <w:r>
        <w:rPr>
          <w:highlight w:val="none"/>
        </w:rPr>
        <w:fldChar w:fldCharType="end"/>
      </w:r>
      <w:r>
        <w:rPr>
          <w:rFonts w:cs="Times New Roman"/>
          <w:color w:val="auto"/>
          <w:kern w:val="0"/>
          <w:szCs w:val="28"/>
          <w:highlight w:val="none"/>
        </w:rPr>
        <w:fldChar w:fldCharType="end"/>
      </w:r>
    </w:p>
    <w:p>
      <w:pPr>
        <w:pStyle w:val="29"/>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_Toc16954 </w:instrText>
      </w:r>
      <w:r>
        <w:rPr>
          <w:rFonts w:cs="Times New Roman"/>
          <w:kern w:val="0"/>
          <w:szCs w:val="28"/>
          <w:highlight w:val="none"/>
        </w:rPr>
        <w:fldChar w:fldCharType="separate"/>
      </w:r>
      <w:r>
        <w:rPr>
          <w:rFonts w:cs="Times New Roman"/>
          <w:lang w:val="el-GR"/>
          <w:highlight w:val="none"/>
        </w:rPr>
        <w:t>引用标准名录</w:t>
      </w:r>
      <w:r>
        <w:rPr>
          <w:highlight w:val="none"/>
        </w:rPr>
        <w:tab/>
      </w:r>
      <w:r>
        <w:rPr>
          <w:highlight w:val="none"/>
        </w:rPr>
        <w:fldChar w:fldCharType="begin"/>
      </w:r>
      <w:r>
        <w:rPr>
          <w:highlight w:val="none"/>
        </w:rPr>
        <w:instrText xml:space="preserve"> PAGEREF _Toc16954 \h </w:instrText>
      </w:r>
      <w:r>
        <w:rPr>
          <w:highlight w:val="none"/>
        </w:rPr>
        <w:fldChar w:fldCharType="separate"/>
      </w:r>
      <w:r>
        <w:rPr>
          <w:highlight w:val="none"/>
        </w:rPr>
        <w:t>79</w:t>
      </w:r>
      <w:r>
        <w:rPr>
          <w:highlight w:val="none"/>
        </w:rPr>
        <w:fldChar w:fldCharType="end"/>
      </w:r>
      <w:r>
        <w:rPr>
          <w:rFonts w:cs="Times New Roman"/>
          <w:color w:val="auto"/>
          <w:kern w:val="0"/>
          <w:szCs w:val="28"/>
          <w:highlight w:val="none"/>
        </w:rPr>
        <w:fldChar w:fldCharType="end"/>
      </w:r>
    </w:p>
    <w:p>
      <w:pPr>
        <w:pStyle w:val="29"/>
        <w:tabs>
          <w:tab w:val="right" w:leader="dot" w:pos="9072"/>
        </w:tabs>
        <w:ind w:firstLineChars="0" w:firstLine="0"/>
        <w:rPr>
          <w:highlight w:val="none"/>
        </w:rPr>
      </w:pPr>
      <w:r>
        <w:rPr>
          <w:rFonts w:cs="Times New Roman"/>
          <w:color w:val="auto"/>
          <w:kern w:val="0"/>
          <w:szCs w:val="28"/>
          <w:highlight w:val="none"/>
        </w:rPr>
        <w:fldChar w:fldCharType="begin"/>
      </w:r>
      <w:r>
        <w:rPr>
          <w:rFonts w:cs="Times New Roman"/>
          <w:kern w:val="0"/>
          <w:szCs w:val="28"/>
          <w:highlight w:val="none"/>
        </w:rPr>
        <w:instrText xml:space="preserve"> HYPERLINK \l _Toc16728 </w:instrText>
      </w:r>
      <w:r>
        <w:rPr>
          <w:rFonts w:cs="Times New Roman"/>
          <w:kern w:val="0"/>
          <w:szCs w:val="28"/>
          <w:highlight w:val="none"/>
        </w:rPr>
        <w:fldChar w:fldCharType="separate"/>
      </w:r>
      <w:r>
        <w:rPr>
          <w:rFonts w:cs="Times New Roman"/>
          <w:lang w:val="el-GR"/>
          <w:highlight w:val="none"/>
        </w:rPr>
        <w:t>条文说明</w:t>
      </w:r>
      <w:r>
        <w:rPr>
          <w:highlight w:val="none"/>
        </w:rPr>
        <w:tab/>
      </w:r>
      <w:r>
        <w:rPr>
          <w:highlight w:val="none"/>
        </w:rPr>
        <w:fldChar w:fldCharType="begin"/>
      </w:r>
      <w:r>
        <w:rPr>
          <w:highlight w:val="none"/>
        </w:rPr>
        <w:instrText xml:space="preserve"> PAGEREF _Toc16728 \h </w:instrText>
      </w:r>
      <w:r>
        <w:rPr>
          <w:highlight w:val="none"/>
        </w:rPr>
        <w:fldChar w:fldCharType="separate"/>
      </w:r>
      <w:r>
        <w:rPr>
          <w:highlight w:val="none"/>
        </w:rPr>
        <w:t>80</w:t>
      </w:r>
      <w:r>
        <w:rPr>
          <w:highlight w:val="none"/>
        </w:rPr>
        <w:fldChar w:fldCharType="end"/>
      </w:r>
      <w:r>
        <w:rPr>
          <w:rFonts w:cs="Times New Roman"/>
          <w:color w:val="auto"/>
          <w:kern w:val="0"/>
          <w:szCs w:val="28"/>
          <w:highlight w:val="none"/>
        </w:rPr>
        <w:fldChar w:fldCharType="end"/>
      </w:r>
    </w:p>
    <w:p>
      <w:pPr>
        <w:keepNext w:val="0"/>
        <w:keepLines w:val="0"/>
        <w:pageBreakBefore w:val="0"/>
        <w:widowControl w:val="0"/>
        <w:kinsoku/>
        <w:wordWrap/>
        <w:overflowPunct/>
        <w:topLinePunct w:val="0"/>
        <w:autoSpaceDE w:val="0"/>
        <w:autoSpaceDN w:val="0"/>
        <w:bidi w:val="0"/>
        <w:adjustRightInd w:val="0"/>
        <w:snapToGrid/>
        <w:spacing w:line="240" w:lineRule="auto"/>
        <w:ind w:firstLineChars="0" w:firstLine="0"/>
        <w:jc w:val="center"/>
        <w:textAlignment w:val="auto"/>
        <w:rPr>
          <w:rFonts w:eastAsia="宋体" w:cs="Times New Roman"/>
          <w:color w:val="auto"/>
          <w:kern w:val="0"/>
          <w:szCs w:val="32"/>
          <w:highlight w:val="none"/>
        </w:rPr>
      </w:pPr>
      <w:r>
        <w:rPr>
          <w:rFonts w:cs="Times New Roman"/>
          <w:color w:val="auto"/>
          <w:kern w:val="0"/>
          <w:szCs w:val="28"/>
          <w:highlight w:val="none"/>
        </w:rPr>
        <w:fldChar w:fldCharType="end"/>
      </w:r>
      <w:r>
        <w:rPr>
          <w:rFonts w:eastAsia="宋体" w:cs="Times New Roman"/>
          <w:color w:val="auto"/>
          <w:kern w:val="0"/>
          <w:szCs w:val="32"/>
          <w:highlight w:val="none"/>
        </w:rPr>
        <w:br w:type="page"/>
      </w:r>
    </w:p>
    <w:p>
      <w:pPr>
        <w:ind w:firstLineChars="0" w:firstLine="0"/>
        <w:jc w:val="center"/>
        <w:rPr>
          <w:rFonts w:cs="Times New Roman"/>
          <w:b/>
          <w:color w:val="auto"/>
          <w:kern w:val="0"/>
          <w:sz w:val="32"/>
          <w:szCs w:val="32"/>
          <w:highlight w:val="none"/>
        </w:rPr>
      </w:pPr>
      <w:r>
        <w:rPr>
          <w:rFonts w:cs="Times New Roman"/>
          <w:b/>
          <w:color w:val="auto"/>
          <w:kern w:val="0"/>
          <w:sz w:val="32"/>
          <w:szCs w:val="32"/>
          <w:highlight w:val="none"/>
        </w:rPr>
        <w:t>Contents</w:t>
      </w:r>
    </w:p>
    <w:p>
      <w:pPr>
        <w:autoSpaceDE w:val="0"/>
        <w:autoSpaceDN w:val="0"/>
        <w:adjustRightInd w:val="0"/>
        <w:snapToGrid w:val="0"/>
        <w:ind w:firstLineChars="0" w:firstLine="0"/>
        <w:textAlignment w:val="auto"/>
        <w:rPr>
          <w:rStyle w:val="43"/>
          <w:rFonts w:cs="Times New Roman"/>
          <w:b/>
          <w:color w:val="auto"/>
          <w:szCs w:val="24"/>
          <w:u w:val="none"/>
          <w14:textFill>
            <w14:solidFill>
              <w14:srgbClr w14:val="0000FF"/>
            </w14:solidFill>
          </w14:textFill>
          <w:highlight w:val="none"/>
        </w:rPr>
      </w:pPr>
      <w:bookmarkStart w:id="3" w:name="_Toc38546153"/>
      <w:bookmarkStart w:id="4" w:name="_Toc34312103"/>
      <w:bookmarkStart w:id="5" w:name="_Toc30177549"/>
      <w:bookmarkStart w:id="6" w:name="_Toc18210"/>
      <w:bookmarkStart w:id="7" w:name="_Toc35004497"/>
      <w:bookmarkStart w:id="8" w:name="_Toc15129"/>
      <w:bookmarkStart w:id="9" w:name="_Toc35004164"/>
    </w:p>
    <w:p>
      <w:pPr>
        <w:autoSpaceDE w:val="0"/>
        <w:autoSpaceDN w:val="0"/>
        <w:adjustRightInd w:val="0"/>
        <w:snapToGrid w:val="0"/>
        <w:ind w:firstLineChars="0" w:firstLine="0"/>
        <w:textAlignment w:val="auto"/>
        <w:rPr>
          <w:rStyle w:val="43"/>
          <w:rFonts w:eastAsia="宋体" w:cs="Times New Roman"/>
          <w:b/>
          <w:color w:val="auto"/>
          <w:szCs w:val="24"/>
          <w:u w:val="none"/>
          <w14:textFill>
            <w14:solidFill>
              <w14:srgbClr w14:val="0000FF"/>
            </w14:solidFill>
          </w14:textFill>
          <w:lang w:val="en-US" w:eastAsia="zh-CN"/>
          <w:highlight w:val="none"/>
        </w:rPr>
      </w:pPr>
      <w:r>
        <w:rPr>
          <w:rStyle w:val="43"/>
          <w:rFonts w:cs="Times New Roman"/>
          <w:b/>
          <w:color w:val="auto"/>
          <w:szCs w:val="24"/>
          <w:u w:val="none"/>
          <w14:textFill>
            <w14:solidFill>
              <w14:srgbClr w14:val="0000FF"/>
            </w14:solidFill>
          </w14:textFill>
          <w:highlight w:val="none"/>
        </w:rPr>
        <w:t>1　General provisions</w:t>
      </w:r>
      <w:r>
        <w:rPr>
          <w:rStyle w:val="43"/>
          <w:rFonts w:cs="Times New Roman" w:hint="eastAsia"/>
          <w:b/>
          <w:color w:val="auto"/>
          <w:szCs w:val="24"/>
          <w:u w:val="none"/>
          <w14:textFill>
            <w14:solidFill>
              <w14:srgbClr w14:val="0000FF"/>
            </w14:solidFill>
          </w14:textFill>
          <w:lang w:val="en-US" w:eastAsia="zh-CN"/>
          <w:highlight w:val="none"/>
        </w:rPr>
        <w:t>..............................................................................................................1</w:t>
      </w:r>
    </w:p>
    <w:p>
      <w:pPr>
        <w:autoSpaceDE w:val="0"/>
        <w:autoSpaceDN w:val="0"/>
        <w:adjustRightInd w:val="0"/>
        <w:snapToGrid w:val="0"/>
        <w:ind w:firstLineChars="0" w:firstLine="0"/>
        <w:textAlignment w:val="auto"/>
        <w:rPr>
          <w:rStyle w:val="43"/>
          <w:rFonts w:cs="Times New Roman"/>
          <w:b/>
          <w:color w:val="auto"/>
          <w:szCs w:val="24"/>
          <w:u w:val="none"/>
          <w14:textFill>
            <w14:solidFill>
              <w14:srgbClr w14:val="0000FF"/>
            </w14:solidFill>
          </w14:textFill>
          <w:highlight w:val="none"/>
        </w:rPr>
      </w:pPr>
      <w:r>
        <w:rPr>
          <w:rStyle w:val="43"/>
          <w:rFonts w:cs="Times New Roman"/>
          <w:b/>
          <w:color w:val="auto"/>
          <w:szCs w:val="24"/>
          <w:u w:val="none"/>
          <w14:textFill>
            <w14:solidFill>
              <w14:srgbClr w14:val="0000FF"/>
            </w14:solidFill>
          </w14:textFill>
          <w:highlight w:val="none"/>
        </w:rPr>
        <w:t>2　Terms</w:t>
      </w:r>
      <w:r>
        <w:rPr>
          <w:rStyle w:val="43"/>
          <w:rFonts w:cs="Times New Roman" w:hint="eastAsia"/>
          <w:b/>
          <w:color w:val="auto"/>
          <w:szCs w:val="24"/>
          <w:u w:val="none"/>
          <w14:textFill>
            <w14:solidFill>
              <w14:srgbClr w14:val="0000FF"/>
            </w14:solidFill>
          </w14:textFill>
          <w:highlight w:val="none"/>
        </w:rPr>
        <w:t xml:space="preserve"> </w:t>
      </w:r>
      <w:r>
        <w:rPr>
          <w:rStyle w:val="43"/>
          <w:rFonts w:cs="Times New Roman"/>
          <w:b/>
          <w:color w:val="auto"/>
          <w:szCs w:val="24"/>
          <w:u w:val="none"/>
          <w14:textFill>
            <w14:solidFill>
              <w14:srgbClr w14:val="0000FF"/>
            </w14:solidFill>
          </w14:textFill>
          <w:highlight w:val="none"/>
        </w:rPr>
        <w:t>and</w:t>
      </w:r>
      <w:r>
        <w:rPr>
          <w:rStyle w:val="43"/>
          <w:rFonts w:cs="Times New Roman" w:hint="eastAsia"/>
          <w:b/>
          <w:color w:val="auto"/>
          <w:szCs w:val="24"/>
          <w:u w:val="none"/>
          <w14:textFill>
            <w14:solidFill>
              <w14:srgbClr w14:val="0000FF"/>
            </w14:solidFill>
          </w14:textFill>
          <w:highlight w:val="none"/>
        </w:rPr>
        <w:t xml:space="preserve"> </w:t>
      </w:r>
      <w:r>
        <w:rPr>
          <w:rStyle w:val="43"/>
          <w:rFonts w:cs="Times New Roman"/>
          <w:b/>
          <w:color w:val="auto"/>
          <w:szCs w:val="24"/>
          <w:u w:val="none"/>
          <w14:textFill>
            <w14:solidFill>
              <w14:srgbClr w14:val="0000FF"/>
            </w14:solidFill>
          </w14:textFill>
          <w:highlight w:val="none"/>
        </w:rPr>
        <w:t>symbols</w:t>
      </w:r>
      <w:r>
        <w:rPr>
          <w:rStyle w:val="43"/>
          <w:rFonts w:cs="Times New Roman" w:hint="eastAsia"/>
          <w:b/>
          <w:color w:val="auto"/>
          <w:szCs w:val="24"/>
          <w:u w:val="none"/>
          <w14:textFill>
            <w14:solidFill>
              <w14:srgbClr w14:val="0000FF"/>
            </w14:solidFill>
          </w14:textFill>
          <w:lang w:val="en-US" w:eastAsia="zh-CN"/>
          <w:highlight w:val="none"/>
        </w:rPr>
        <w:t>..............................................................................................................2</w:t>
      </w:r>
    </w:p>
    <w:p>
      <w:pPr>
        <w:snapToGrid w:val="0"/>
        <w:textAlignment w:val="auto"/>
        <w:rPr>
          <w:rStyle w:val="43"/>
          <w:rFonts w:eastAsia="宋体" w:cs="Times New Roman"/>
          <w:bCs/>
          <w:color w:val="auto"/>
          <w:szCs w:val="24"/>
          <w:u w:val="none"/>
          <w14:textFill>
            <w14:solidFill>
              <w14:srgbClr w14:val="0000FF"/>
            </w14:solidFill>
          </w14:textFill>
          <w:lang w:val="en-US" w:eastAsia="zh-CN"/>
          <w:highlight w:val="none"/>
        </w:rPr>
      </w:pPr>
      <w:r>
        <w:rPr>
          <w:rStyle w:val="43"/>
          <w:rFonts w:cs="Times New Roman"/>
          <w:bCs/>
          <w:color w:val="auto"/>
          <w:szCs w:val="24"/>
          <w:u w:val="none"/>
          <w14:textFill>
            <w14:solidFill>
              <w14:srgbClr w14:val="0000FF"/>
            </w14:solidFill>
          </w14:textFill>
          <w:highlight w:val="none"/>
        </w:rPr>
        <w:t>2.1　Terms</w:t>
      </w:r>
      <w:r>
        <w:rPr>
          <w:rStyle w:val="43"/>
          <w:rFonts w:cs="Times New Roman" w:hint="eastAsia"/>
          <w:bCs/>
          <w:color w:val="auto"/>
          <w:szCs w:val="24"/>
          <w:u w:val="none"/>
          <w14:textFill>
            <w14:solidFill>
              <w14:srgbClr w14:val="0000FF"/>
            </w14:solidFill>
          </w14:textFill>
          <w:lang w:val="en-US" w:eastAsia="zh-CN"/>
          <w:highlight w:val="none"/>
        </w:rPr>
        <w:t>..........................................................................................................................2</w:t>
      </w:r>
    </w:p>
    <w:p>
      <w:pPr>
        <w:snapToGrid w:val="0"/>
        <w:textAlignment w:val="auto"/>
        <w:rPr>
          <w:rStyle w:val="43"/>
          <w:rFonts w:cs="Times New Roman"/>
          <w:bCs/>
          <w:color w:val="auto"/>
          <w:szCs w:val="24"/>
          <w:u w:val="none"/>
          <w14:textFill>
            <w14:solidFill>
              <w14:srgbClr w14:val="0000FF"/>
            </w14:solidFill>
          </w14:textFill>
          <w:highlight w:val="none"/>
        </w:rPr>
      </w:pPr>
      <w:r>
        <w:rPr>
          <w:rStyle w:val="43"/>
          <w:rFonts w:cs="Times New Roman"/>
          <w:bCs/>
          <w:color w:val="auto"/>
          <w:szCs w:val="24"/>
          <w:u w:val="none"/>
          <w14:textFill>
            <w14:solidFill>
              <w14:srgbClr w14:val="0000FF"/>
            </w14:solidFill>
          </w14:textFill>
          <w:highlight w:val="none"/>
        </w:rPr>
        <w:t>2.2　Symbols</w:t>
      </w:r>
      <w:r>
        <w:rPr>
          <w:rStyle w:val="43"/>
          <w:rFonts w:cs="Times New Roman" w:hint="eastAsia"/>
          <w:bCs/>
          <w:color w:val="auto"/>
          <w:szCs w:val="24"/>
          <w:u w:val="none"/>
          <w14:textFill>
            <w14:solidFill>
              <w14:srgbClr w14:val="0000FF"/>
            </w14:solidFill>
          </w14:textFill>
          <w:lang w:val="en-US" w:eastAsia="zh-CN"/>
          <w:highlight w:val="none"/>
        </w:rPr>
        <w:t>......................................................................................................................4</w:t>
      </w:r>
    </w:p>
    <w:p>
      <w:pPr>
        <w:autoSpaceDE w:val="0"/>
        <w:autoSpaceDN w:val="0"/>
        <w:adjustRightInd w:val="0"/>
        <w:snapToGrid w:val="0"/>
        <w:ind w:firstLineChars="0" w:firstLine="0"/>
        <w:textAlignment w:val="auto"/>
        <w:rPr>
          <w:rStyle w:val="43"/>
          <w:rFonts w:eastAsia="宋体" w:cs="Times New Roman"/>
          <w:b/>
          <w:color w:val="auto"/>
          <w:szCs w:val="24"/>
          <w:u w:val="none"/>
          <w14:textFill>
            <w14:solidFill>
              <w14:srgbClr w14:val="0000FF"/>
            </w14:solidFill>
          </w14:textFill>
          <w:highlight w:val="none"/>
        </w:rPr>
      </w:pPr>
      <w:r>
        <w:rPr>
          <w:rStyle w:val="43"/>
          <w:rFonts w:eastAsia="宋体" w:cs="Times New Roman"/>
          <w:b/>
          <w:color w:val="auto"/>
          <w:szCs w:val="24"/>
          <w:u w:val="none"/>
          <w14:textFill>
            <w14:solidFill>
              <w14:srgbClr w14:val="0000FF"/>
            </w14:solidFill>
          </w14:textFill>
          <w:highlight w:val="none"/>
        </w:rPr>
        <w:t>3　Basic requirements</w:t>
      </w:r>
      <w:r>
        <w:rPr>
          <w:rStyle w:val="43"/>
          <w:rFonts w:cs="Times New Roman" w:hint="eastAsia"/>
          <w:b/>
          <w:color w:val="auto"/>
          <w:szCs w:val="24"/>
          <w:u w:val="none"/>
          <w14:textFill>
            <w14:solidFill>
              <w14:srgbClr w14:val="0000FF"/>
            </w14:solidFill>
          </w14:textFill>
          <w:lang w:val="en-US" w:eastAsia="zh-CN"/>
          <w:highlight w:val="none"/>
        </w:rPr>
        <w:t>..............................................................................................................7</w:t>
      </w:r>
    </w:p>
    <w:p>
      <w:pPr>
        <w:snapToGrid w:val="0"/>
        <w:textAlignment w:val="auto"/>
        <w:rPr>
          <w:rStyle w:val="43"/>
          <w:rFonts w:eastAsia="宋体" w:cs="Times New Roman"/>
          <w:bCs/>
          <w:color w:val="auto"/>
          <w:szCs w:val="24"/>
          <w:u w:val="none"/>
          <w14:textFill>
            <w14:solidFill>
              <w14:srgbClr w14:val="0000FF"/>
            </w14:solidFill>
          </w14:textFill>
          <w:highlight w:val="none"/>
        </w:rPr>
      </w:pPr>
      <w:r>
        <w:rPr>
          <w:rStyle w:val="43"/>
          <w:rFonts w:eastAsia="宋体" w:cs="Times New Roman"/>
          <w:bCs/>
          <w:color w:val="auto"/>
          <w:szCs w:val="24"/>
          <w:u w:val="none"/>
          <w14:textFill>
            <w14:solidFill>
              <w14:srgbClr w14:val="0000FF"/>
            </w14:solidFill>
          </w14:textFill>
          <w:highlight w:val="none"/>
        </w:rPr>
        <w:t>3.1　Detection classification and method</w:t>
      </w:r>
      <w:r>
        <w:rPr>
          <w:rStyle w:val="43"/>
          <w:rFonts w:cs="Times New Roman" w:hint="eastAsia"/>
          <w:bCs/>
          <w:color w:val="auto"/>
          <w:szCs w:val="24"/>
          <w:u w:val="none"/>
          <w14:textFill>
            <w14:solidFill>
              <w14:srgbClr w14:val="0000FF"/>
            </w14:solidFill>
          </w14:textFill>
          <w:lang w:val="en-US" w:eastAsia="zh-CN"/>
          <w:highlight w:val="none"/>
        </w:rPr>
        <w:t>..........................................................................7</w:t>
      </w:r>
    </w:p>
    <w:p>
      <w:pPr>
        <w:snapToGrid w:val="0"/>
        <w:textAlignment w:val="auto"/>
        <w:rPr>
          <w:rStyle w:val="43"/>
          <w:rFonts w:eastAsia="宋体" w:cs="Times New Roman"/>
          <w:bCs/>
          <w:color w:val="auto"/>
          <w:szCs w:val="24"/>
          <w:u w:val="none"/>
          <w14:textFill>
            <w14:solidFill>
              <w14:srgbClr w14:val="0000FF"/>
            </w14:solidFill>
          </w14:textFill>
          <w:highlight w:val="none"/>
        </w:rPr>
      </w:pPr>
      <w:r>
        <w:rPr>
          <w:rStyle w:val="43"/>
          <w:rFonts w:eastAsia="宋体" w:cs="Times New Roman"/>
          <w:bCs/>
          <w:color w:val="auto"/>
          <w:szCs w:val="24"/>
          <w:u w:val="none"/>
          <w14:textFill>
            <w14:solidFill>
              <w14:srgbClr w14:val="0000FF"/>
            </w14:solidFill>
          </w14:textFill>
          <w:highlight w:val="none"/>
        </w:rPr>
        <w:t>3.2　Detection</w:t>
      </w:r>
      <w:r>
        <w:rPr>
          <w:rStyle w:val="43"/>
          <w:rFonts w:cs="Times New Roman" w:hint="eastAsia"/>
          <w:bCs/>
          <w:color w:val="auto"/>
          <w:szCs w:val="24"/>
          <w:u w:val="none"/>
          <w14:textFill>
            <w14:solidFill>
              <w14:srgbClr w14:val="0000FF"/>
            </w14:solidFill>
          </w14:textFill>
          <w:lang w:val="en-US" w:eastAsia="zh-CN"/>
          <w:highlight w:val="none"/>
        </w:rPr>
        <w:t>....................................................................................................................9</w:t>
      </w:r>
    </w:p>
    <w:p>
      <w:pPr>
        <w:snapToGrid w:val="0"/>
        <w:textAlignment w:val="auto"/>
        <w:rPr>
          <w:rStyle w:val="43"/>
          <w:rFonts w:eastAsia="宋体" w:cs="Times New Roman"/>
          <w:bCs/>
          <w:color w:val="auto"/>
          <w:szCs w:val="24"/>
          <w:u w:val="none"/>
          <w14:textFill>
            <w14:solidFill>
              <w14:srgbClr w14:val="0000FF"/>
            </w14:solidFill>
          </w14:textFill>
          <w:lang w:val="en-US"/>
          <w:highlight w:val="none"/>
        </w:rPr>
      </w:pPr>
      <w:r>
        <w:rPr>
          <w:rStyle w:val="43"/>
          <w:rFonts w:eastAsia="宋体" w:cs="Times New Roman"/>
          <w:bCs/>
          <w:color w:val="auto"/>
          <w:szCs w:val="24"/>
          <w:u w:val="none"/>
          <w14:textFill>
            <w14:solidFill>
              <w14:srgbClr w14:val="0000FF"/>
            </w14:solidFill>
          </w14:textFill>
          <w:highlight w:val="none"/>
        </w:rPr>
        <w:t>3.3　Detection report</w:t>
      </w:r>
      <w:r>
        <w:rPr>
          <w:rStyle w:val="43"/>
          <w:rFonts w:cs="Times New Roman" w:hint="eastAsia"/>
          <w:bCs/>
          <w:color w:val="auto"/>
          <w:szCs w:val="24"/>
          <w:u w:val="none"/>
          <w14:textFill>
            <w14:solidFill>
              <w14:srgbClr w14:val="0000FF"/>
            </w14:solidFill>
          </w14:textFill>
          <w:lang w:val="en-US" w:eastAsia="zh-CN"/>
          <w:highlight w:val="none"/>
        </w:rPr>
        <w:t>........................................................................................................10</w:t>
      </w:r>
    </w:p>
    <w:p>
      <w:pPr>
        <w:autoSpaceDE w:val="0"/>
        <w:autoSpaceDN w:val="0"/>
        <w:adjustRightInd w:val="0"/>
        <w:snapToGrid w:val="0"/>
        <w:ind w:firstLineChars="0" w:firstLine="0"/>
        <w:textAlignment w:val="auto"/>
        <w:rPr>
          <w:rFonts w:cs="Times New Roman"/>
          <w:b/>
          <w:color w:val="auto"/>
          <w:szCs w:val="24"/>
          <w:highlight w:val="none"/>
        </w:rPr>
      </w:pPr>
      <w:r>
        <w:rPr>
          <w:rStyle w:val="43"/>
          <w:rFonts w:cs="Times New Roman"/>
          <w:b/>
          <w:color w:val="auto"/>
          <w:szCs w:val="24"/>
          <w:u w:val="none"/>
          <w14:textFill>
            <w14:solidFill>
              <w14:srgbClr w14:val="0000FF"/>
            </w14:solidFill>
          </w14:textFill>
          <w:highlight w:val="none"/>
        </w:rPr>
        <w:t>4　</w:t>
      </w:r>
      <w:r>
        <w:rPr>
          <w:rFonts w:cs="Times New Roman" w:hint="eastAsia"/>
          <w:color w:val="auto"/>
          <w:highlight w:val="none"/>
        </w:rPr>
        <w:t>Observation method using endoscopy</w:t>
      </w:r>
      <w:r>
        <w:rPr>
          <w:rStyle w:val="43"/>
          <w:rFonts w:cs="Times New Roman" w:hint="eastAsia"/>
          <w:bCs/>
          <w:color w:val="auto"/>
          <w:szCs w:val="24"/>
          <w:u w:val="none"/>
          <w14:textFill>
            <w14:solidFill>
              <w14:srgbClr w14:val="0000FF"/>
            </w14:solidFill>
          </w14:textFill>
          <w:lang w:val="en-US" w:eastAsia="zh-CN"/>
          <w:highlight w:val="none"/>
        </w:rPr>
        <w:t>.................................................................................12</w:t>
      </w:r>
      <w:r>
        <w:rPr>
          <w:rFonts w:cs="Times New Roman"/>
          <w:b/>
          <w:color w:val="auto"/>
          <w:szCs w:val="24"/>
          <w:highlight w:val="none"/>
        </w:rPr>
        <w:t xml:space="preserve"> </w:t>
      </w:r>
    </w:p>
    <w:p>
      <w:pPr>
        <w:snapToGrid w:val="0"/>
        <w:rPr>
          <w:rFonts w:cs="Times New Roman"/>
          <w:color w:val="auto"/>
          <w:szCs w:val="24"/>
          <w:lang w:val="en-US"/>
          <w:highlight w:val="none"/>
        </w:rPr>
      </w:pPr>
      <w:r>
        <w:rPr>
          <w:rFonts w:cs="Times New Roman"/>
          <w:color w:val="auto"/>
          <w:szCs w:val="24"/>
          <w:highlight w:val="none"/>
        </w:rPr>
        <w:t>4.1　General requirements</w:t>
      </w:r>
      <w:r>
        <w:rPr>
          <w:rStyle w:val="43"/>
          <w:rFonts w:cs="Times New Roman" w:hint="eastAsia"/>
          <w:bCs/>
          <w:color w:val="auto"/>
          <w:szCs w:val="24"/>
          <w:u w:val="none"/>
          <w14:textFill>
            <w14:solidFill>
              <w14:srgbClr w14:val="0000FF"/>
            </w14:solidFill>
          </w14:textFill>
          <w:lang w:val="en-US" w:eastAsia="zh-CN"/>
          <w:highlight w:val="none"/>
        </w:rPr>
        <w:t>...............................................................................................12</w:t>
      </w:r>
    </w:p>
    <w:p>
      <w:pPr>
        <w:snapToGrid w:val="0"/>
        <w:rPr>
          <w:rFonts w:cs="Times New Roman"/>
          <w:color w:val="auto"/>
          <w:szCs w:val="24"/>
          <w:lang w:val="en-US"/>
          <w:highlight w:val="none"/>
        </w:rPr>
      </w:pPr>
      <w:r>
        <w:rPr>
          <w:rFonts w:cs="Times New Roman"/>
          <w:color w:val="auto"/>
          <w:szCs w:val="24"/>
          <w:highlight w:val="none"/>
        </w:rPr>
        <w:t>4.2　Detecting equipment</w:t>
      </w:r>
      <w:r>
        <w:rPr>
          <w:rStyle w:val="43"/>
          <w:rFonts w:cs="Times New Roman" w:hint="eastAsia"/>
          <w:bCs/>
          <w:color w:val="auto"/>
          <w:szCs w:val="24"/>
          <w:u w:val="none"/>
          <w14:textFill>
            <w14:solidFill>
              <w14:srgbClr w14:val="0000FF"/>
            </w14:solidFill>
          </w14:textFill>
          <w:lang w:val="en-US" w:eastAsia="zh-CN"/>
          <w:highlight w:val="none"/>
        </w:rPr>
        <w:t>................................................................................................12</w:t>
      </w:r>
    </w:p>
    <w:p>
      <w:pPr>
        <w:snapToGrid w:val="0"/>
        <w:rPr>
          <w:rFonts w:cs="Times New Roman"/>
          <w:color w:val="auto"/>
          <w:szCs w:val="24"/>
          <w:lang w:val="en-US"/>
          <w:highlight w:val="none"/>
        </w:rPr>
      </w:pPr>
      <w:r>
        <w:rPr>
          <w:rFonts w:cs="Times New Roman"/>
          <w:color w:val="auto"/>
          <w:szCs w:val="24"/>
          <w:highlight w:val="none"/>
        </w:rPr>
        <w:t>4.3　Detecting method</w:t>
      </w:r>
      <w:r>
        <w:rPr>
          <w:rStyle w:val="43"/>
          <w:rFonts w:cs="Times New Roman" w:hint="eastAsia"/>
          <w:bCs/>
          <w:color w:val="auto"/>
          <w:szCs w:val="24"/>
          <w:u w:val="none"/>
          <w14:textFill>
            <w14:solidFill>
              <w14:srgbClr w14:val="0000FF"/>
            </w14:solidFill>
          </w14:textFill>
          <w:lang w:val="en-US" w:eastAsia="zh-CN"/>
          <w:highlight w:val="none"/>
        </w:rPr>
        <w:t>.....................................................................................................13</w:t>
      </w:r>
    </w:p>
    <w:p>
      <w:pPr>
        <w:snapToGrid w:val="0"/>
        <w:rPr>
          <w:rFonts w:cs="Times New Roman"/>
          <w:color w:val="auto"/>
          <w:szCs w:val="24"/>
          <w:lang w:val="en-US"/>
          <w:highlight w:val="none"/>
        </w:rPr>
      </w:pPr>
      <w:r>
        <w:rPr>
          <w:rFonts w:cs="Times New Roman"/>
          <w:color w:val="auto"/>
          <w:szCs w:val="24"/>
          <w:highlight w:val="none"/>
        </w:rPr>
        <w:t>4.4　Decision criteria</w:t>
      </w:r>
      <w:r>
        <w:rPr>
          <w:rStyle w:val="43"/>
          <w:rFonts w:cs="Times New Roman" w:hint="eastAsia"/>
          <w:bCs/>
          <w:color w:val="auto"/>
          <w:szCs w:val="24"/>
          <w:u w:val="none"/>
          <w14:textFill>
            <w14:solidFill>
              <w14:srgbClr w14:val="0000FF"/>
            </w14:solidFill>
          </w14:textFill>
          <w:lang w:val="en-US" w:eastAsia="zh-CN"/>
          <w:highlight w:val="none"/>
        </w:rPr>
        <w:t>.......................................................................................................14</w:t>
      </w:r>
    </w:p>
    <w:p>
      <w:pPr>
        <w:autoSpaceDE w:val="0"/>
        <w:autoSpaceDN w:val="0"/>
        <w:adjustRightInd w:val="0"/>
        <w:snapToGrid w:val="0"/>
        <w:ind w:firstLineChars="0" w:firstLine="0"/>
        <w:textAlignment w:val="auto"/>
        <w:rPr>
          <w:rStyle w:val="44"/>
          <w:rFonts w:cs="Times New Roman"/>
          <w:color w:val="auto"/>
          <w:lang w:val="en-US"/>
          <w:highlight w:val="none"/>
        </w:rPr>
      </w:pPr>
      <w:r>
        <w:rPr>
          <w:rStyle w:val="43"/>
          <w:rFonts w:cs="Times New Roman"/>
          <w:b/>
          <w:color w:val="auto"/>
          <w:szCs w:val="24"/>
          <w:u w:val="none"/>
          <w14:textFill>
            <w14:solidFill>
              <w14:srgbClr w14:val="0000FF"/>
            </w14:solidFill>
          </w14:textFill>
          <w:highlight w:val="none"/>
        </w:rPr>
        <w:t>5　Damping sensor</w:t>
      </w:r>
      <w:r>
        <w:rPr>
          <w:rFonts w:cs="Times New Roman"/>
          <w:b/>
          <w:color w:val="auto"/>
          <w:szCs w:val="24"/>
          <w:highlight w:val="none"/>
        </w:rPr>
        <w:t xml:space="preserve"> detection</w:t>
      </w:r>
      <w:r>
        <w:rPr>
          <w:rFonts w:cs="Times New Roman" w:hint="eastAsia"/>
          <w:b/>
          <w:color w:val="auto"/>
          <w:szCs w:val="24"/>
          <w:highlight w:val="none"/>
        </w:rPr>
        <w:t xml:space="preserve"> </w:t>
      </w:r>
      <w:r>
        <w:rPr>
          <w:rFonts w:cs="Times New Roman"/>
          <w:color w:val="auto"/>
          <w:highlight w:val="none"/>
        </w:rPr>
        <w:t>method</w:t>
      </w:r>
      <w:r>
        <w:rPr>
          <w:rStyle w:val="43"/>
          <w:rFonts w:cs="Times New Roman" w:hint="eastAsia"/>
          <w:bCs/>
          <w:color w:val="auto"/>
          <w:szCs w:val="24"/>
          <w:u w:val="none"/>
          <w14:textFill>
            <w14:solidFill>
              <w14:srgbClr w14:val="0000FF"/>
            </w14:solidFill>
          </w14:textFill>
          <w:lang w:val="en-US" w:eastAsia="zh-CN"/>
          <w:highlight w:val="none"/>
        </w:rPr>
        <w:t>....................................................................................16</w:t>
      </w:r>
    </w:p>
    <w:p>
      <w:pPr>
        <w:snapToGrid w:val="0"/>
        <w:rPr>
          <w:rFonts w:cs="Times New Roman"/>
          <w:color w:val="auto"/>
          <w:szCs w:val="24"/>
          <w:lang w:val="en-US"/>
          <w:highlight w:val="none"/>
        </w:rPr>
      </w:pPr>
      <w:r>
        <w:rPr>
          <w:rFonts w:cs="Times New Roman"/>
          <w:color w:val="auto"/>
          <w:szCs w:val="24"/>
          <w:highlight w:val="none"/>
        </w:rPr>
        <w:t>5.1　General requirements</w:t>
      </w:r>
      <w:r>
        <w:rPr>
          <w:rStyle w:val="43"/>
          <w:rFonts w:cs="Times New Roman" w:hint="eastAsia"/>
          <w:bCs/>
          <w:color w:val="auto"/>
          <w:szCs w:val="24"/>
          <w:u w:val="none"/>
          <w14:textFill>
            <w14:solidFill>
              <w14:srgbClr w14:val="0000FF"/>
            </w14:solidFill>
          </w14:textFill>
          <w:lang w:val="en-US" w:eastAsia="zh-CN"/>
          <w:highlight w:val="none"/>
        </w:rPr>
        <w:t>...............................................................................................16</w:t>
      </w:r>
    </w:p>
    <w:p>
      <w:pPr>
        <w:snapToGrid w:val="0"/>
        <w:rPr>
          <w:rFonts w:cs="Times New Roman"/>
          <w:color w:val="auto"/>
          <w:szCs w:val="24"/>
          <w:lang w:val="en-US"/>
          <w:highlight w:val="none"/>
        </w:rPr>
      </w:pPr>
      <w:r>
        <w:rPr>
          <w:rFonts w:cs="Times New Roman"/>
          <w:color w:val="auto"/>
          <w:szCs w:val="24"/>
          <w:highlight w:val="none"/>
        </w:rPr>
        <w:t>5.2　Detecting equipment</w:t>
      </w:r>
      <w:r>
        <w:rPr>
          <w:rStyle w:val="43"/>
          <w:rFonts w:cs="Times New Roman" w:hint="eastAsia"/>
          <w:bCs/>
          <w:color w:val="auto"/>
          <w:szCs w:val="24"/>
          <w:u w:val="none"/>
          <w14:textFill>
            <w14:solidFill>
              <w14:srgbClr w14:val="0000FF"/>
            </w14:solidFill>
          </w14:textFill>
          <w:lang w:val="en-US" w:eastAsia="zh-CN"/>
          <w:highlight w:val="none"/>
        </w:rPr>
        <w:t>................................................................................................16</w:t>
      </w:r>
    </w:p>
    <w:p>
      <w:pPr>
        <w:snapToGrid w:val="0"/>
        <w:rPr>
          <w:rFonts w:cs="Times New Roman"/>
          <w:color w:val="auto"/>
          <w:szCs w:val="24"/>
          <w:lang w:val="en-US"/>
          <w:highlight w:val="none"/>
        </w:rPr>
      </w:pPr>
      <w:r>
        <w:rPr>
          <w:rFonts w:cs="Times New Roman"/>
          <w:color w:val="auto"/>
          <w:szCs w:val="24"/>
          <w:highlight w:val="none"/>
        </w:rPr>
        <w:t>5.3　Detecting method</w:t>
      </w:r>
      <w:r>
        <w:rPr>
          <w:rStyle w:val="43"/>
          <w:rFonts w:cs="Times New Roman" w:hint="eastAsia"/>
          <w:bCs/>
          <w:color w:val="auto"/>
          <w:szCs w:val="24"/>
          <w:u w:val="none"/>
          <w14:textFill>
            <w14:solidFill>
              <w14:srgbClr w14:val="0000FF"/>
            </w14:solidFill>
          </w14:textFill>
          <w:lang w:val="en-US" w:eastAsia="zh-CN"/>
          <w:highlight w:val="none"/>
        </w:rPr>
        <w:t>.....................................................................................................17</w:t>
      </w:r>
    </w:p>
    <w:p>
      <w:pPr>
        <w:snapToGrid w:val="0"/>
        <w:rPr>
          <w:rFonts w:cs="Times New Roman"/>
          <w:color w:val="auto"/>
          <w:szCs w:val="24"/>
          <w:lang w:val="en-US"/>
          <w:highlight w:val="none"/>
        </w:rPr>
      </w:pPr>
      <w:r>
        <w:rPr>
          <w:rFonts w:cs="Times New Roman"/>
          <w:color w:val="auto"/>
          <w:szCs w:val="24"/>
          <w:highlight w:val="none"/>
        </w:rPr>
        <w:t>5.4　Decision criteria</w:t>
      </w:r>
      <w:r>
        <w:rPr>
          <w:rStyle w:val="43"/>
          <w:rFonts w:cs="Times New Roman" w:hint="eastAsia"/>
          <w:bCs/>
          <w:color w:val="auto"/>
          <w:szCs w:val="24"/>
          <w:u w:val="none"/>
          <w14:textFill>
            <w14:solidFill>
              <w14:srgbClr w14:val="0000FF"/>
            </w14:solidFill>
          </w14:textFill>
          <w:lang w:val="en-US" w:eastAsia="zh-CN"/>
          <w:highlight w:val="none"/>
        </w:rPr>
        <w:t>.......................................................................................................18</w:t>
      </w:r>
    </w:p>
    <w:p>
      <w:pPr>
        <w:autoSpaceDE w:val="0"/>
        <w:autoSpaceDN w:val="0"/>
        <w:adjustRightInd w:val="0"/>
        <w:snapToGrid w:val="0"/>
        <w:ind w:firstLineChars="0" w:firstLine="0"/>
        <w:textAlignment w:val="auto"/>
        <w:rPr>
          <w:rFonts w:cs="Times New Roman"/>
          <w:b/>
          <w:color w:val="auto"/>
          <w:lang w:val="en-US"/>
          <w:highlight w:val="none"/>
        </w:rPr>
      </w:pPr>
      <w:r>
        <w:rPr>
          <w:rStyle w:val="43"/>
          <w:rFonts w:cs="Times New Roman"/>
          <w:b/>
          <w:color w:val="auto"/>
          <w:szCs w:val="24"/>
          <w:u w:val="none"/>
          <w14:textFill>
            <w14:solidFill>
              <w14:srgbClr w14:val="0000FF"/>
            </w14:solidFill>
          </w14:textFill>
          <w:highlight w:val="none"/>
        </w:rPr>
        <w:t>6　</w:t>
      </w:r>
      <w:r>
        <w:rPr>
          <w:rFonts w:cs="Times New Roman" w:hint="eastAsia"/>
          <w:b/>
          <w:color w:val="auto"/>
          <w:highlight w:val="none"/>
        </w:rPr>
        <w:t>C</w:t>
      </w:r>
      <w:r>
        <w:rPr>
          <w:rFonts w:cs="Times New Roman"/>
          <w:b/>
          <w:color w:val="auto"/>
          <w:highlight w:val="none"/>
        </w:rPr>
        <w:t>hip embedded method</w:t>
      </w:r>
      <w:r>
        <w:rPr>
          <w:rStyle w:val="43"/>
          <w:rFonts w:cs="Times New Roman" w:hint="eastAsia"/>
          <w:b/>
          <w:color w:val="auto"/>
          <w:szCs w:val="24"/>
          <w:u w:val="none"/>
          <w14:textFill>
            <w14:solidFill>
              <w14:srgbClr w14:val="0000FF"/>
            </w14:solidFill>
          </w14:textFill>
          <w:lang w:val="en-US" w:eastAsia="zh-CN"/>
          <w:highlight w:val="none"/>
        </w:rPr>
        <w:t>....................................................................................................20</w:t>
      </w:r>
    </w:p>
    <w:p>
      <w:pPr>
        <w:snapToGrid w:val="0"/>
        <w:rPr>
          <w:rFonts w:cs="Times New Roman"/>
          <w:color w:val="auto"/>
          <w:szCs w:val="24"/>
          <w:highlight w:val="none"/>
        </w:rPr>
      </w:pPr>
      <w:r>
        <w:rPr>
          <w:rFonts w:cs="Times New Roman"/>
          <w:color w:val="auto"/>
          <w:szCs w:val="24"/>
          <w:highlight w:val="none"/>
        </w:rPr>
        <w:t>6.1　General requirements</w:t>
      </w:r>
      <w:r>
        <w:rPr>
          <w:rStyle w:val="43"/>
          <w:rFonts w:cs="Times New Roman" w:hint="eastAsia"/>
          <w:bCs/>
          <w:color w:val="auto"/>
          <w:szCs w:val="24"/>
          <w:u w:val="none"/>
          <w14:textFill>
            <w14:solidFill>
              <w14:srgbClr w14:val="0000FF"/>
            </w14:solidFill>
          </w14:textFill>
          <w:lang w:val="en-US" w:eastAsia="zh-CN"/>
          <w:highlight w:val="none"/>
        </w:rPr>
        <w:t>...............................................................................................</w:t>
      </w:r>
      <w:r>
        <w:rPr>
          <w:rStyle w:val="43"/>
          <w:rFonts w:cs="Times New Roman" w:hint="eastAsia"/>
          <w:b/>
          <w:color w:val="auto"/>
          <w:szCs w:val="24"/>
          <w:u w:val="none"/>
          <w14:textFill>
            <w14:solidFill>
              <w14:srgbClr w14:val="0000FF"/>
            </w14:solidFill>
          </w14:textFill>
          <w:lang w:val="en-US" w:eastAsia="zh-CN"/>
          <w:highlight w:val="none"/>
        </w:rPr>
        <w:t>20</w:t>
      </w:r>
    </w:p>
    <w:p>
      <w:pPr>
        <w:snapToGrid w:val="0"/>
        <w:rPr>
          <w:rFonts w:cs="Times New Roman"/>
          <w:color w:val="auto"/>
          <w:szCs w:val="24"/>
          <w:highlight w:val="none"/>
        </w:rPr>
      </w:pPr>
      <w:r>
        <w:rPr>
          <w:rFonts w:cs="Times New Roman"/>
          <w:color w:val="auto"/>
          <w:szCs w:val="24"/>
          <w:highlight w:val="none"/>
        </w:rPr>
        <w:t>6.2　Detecting equipment</w:t>
      </w:r>
      <w:r>
        <w:rPr>
          <w:rStyle w:val="43"/>
          <w:rFonts w:cs="Times New Roman" w:hint="eastAsia"/>
          <w:bCs/>
          <w:color w:val="auto"/>
          <w:szCs w:val="24"/>
          <w:u w:val="none"/>
          <w14:textFill>
            <w14:solidFill>
              <w14:srgbClr w14:val="0000FF"/>
            </w14:solidFill>
          </w14:textFill>
          <w:lang w:val="en-US" w:eastAsia="zh-CN"/>
          <w:highlight w:val="none"/>
        </w:rPr>
        <w:t>................................................................................................</w:t>
      </w:r>
      <w:r>
        <w:rPr>
          <w:rStyle w:val="43"/>
          <w:rFonts w:cs="Times New Roman" w:hint="eastAsia"/>
          <w:b/>
          <w:color w:val="auto"/>
          <w:szCs w:val="24"/>
          <w:u w:val="none"/>
          <w14:textFill>
            <w14:solidFill>
              <w14:srgbClr w14:val="0000FF"/>
            </w14:solidFill>
          </w14:textFill>
          <w:lang w:val="en-US" w:eastAsia="zh-CN"/>
          <w:highlight w:val="none"/>
        </w:rPr>
        <w:t>20</w:t>
      </w:r>
    </w:p>
    <w:p>
      <w:pPr>
        <w:snapToGrid w:val="0"/>
        <w:rPr>
          <w:rFonts w:cs="Times New Roman"/>
          <w:color w:val="auto"/>
          <w:szCs w:val="24"/>
          <w:lang w:val="en-US"/>
          <w:highlight w:val="none"/>
        </w:rPr>
      </w:pPr>
      <w:r>
        <w:rPr>
          <w:rFonts w:cs="Times New Roman"/>
          <w:color w:val="auto"/>
          <w:szCs w:val="24"/>
          <w:highlight w:val="none"/>
        </w:rPr>
        <w:t>6.3　Detecting method</w:t>
      </w:r>
      <w:r>
        <w:rPr>
          <w:rStyle w:val="43"/>
          <w:rFonts w:cs="Times New Roman" w:hint="eastAsia"/>
          <w:bCs/>
          <w:color w:val="auto"/>
          <w:szCs w:val="24"/>
          <w:u w:val="none"/>
          <w14:textFill>
            <w14:solidFill>
              <w14:srgbClr w14:val="0000FF"/>
            </w14:solidFill>
          </w14:textFill>
          <w:lang w:val="en-US" w:eastAsia="zh-CN"/>
          <w:highlight w:val="none"/>
        </w:rPr>
        <w:t>.....................................................................................................21</w:t>
      </w:r>
    </w:p>
    <w:p>
      <w:pPr>
        <w:snapToGrid w:val="0"/>
        <w:rPr>
          <w:rFonts w:cs="Times New Roman"/>
          <w:color w:val="auto"/>
          <w:szCs w:val="24"/>
          <w:lang w:val="en-US"/>
          <w:highlight w:val="none"/>
        </w:rPr>
      </w:pPr>
      <w:r>
        <w:rPr>
          <w:rFonts w:cs="Times New Roman"/>
          <w:color w:val="auto"/>
          <w:szCs w:val="24"/>
          <w:highlight w:val="none"/>
        </w:rPr>
        <w:t>6.4　Decision criteria</w:t>
      </w:r>
      <w:r>
        <w:rPr>
          <w:rStyle w:val="43"/>
          <w:rFonts w:cs="Times New Roman" w:hint="eastAsia"/>
          <w:bCs/>
          <w:color w:val="auto"/>
          <w:szCs w:val="24"/>
          <w:u w:val="none"/>
          <w14:textFill>
            <w14:solidFill>
              <w14:srgbClr w14:val="0000FF"/>
            </w14:solidFill>
          </w14:textFill>
          <w:lang w:val="en-US" w:eastAsia="zh-CN"/>
          <w:highlight w:val="none"/>
        </w:rPr>
        <w:t>.......................................................................................................21</w:t>
      </w:r>
    </w:p>
    <w:p>
      <w:pPr>
        <w:autoSpaceDE w:val="0"/>
        <w:autoSpaceDN w:val="0"/>
        <w:adjustRightInd w:val="0"/>
        <w:snapToGrid w:val="0"/>
        <w:ind w:firstLineChars="0" w:firstLine="0"/>
        <w:textAlignment w:val="auto"/>
        <w:rPr>
          <w:rFonts w:cs="Times New Roman"/>
          <w:b/>
          <w:color w:val="auto"/>
          <w:szCs w:val="24"/>
          <w:lang w:val="en-US"/>
          <w:highlight w:val="none"/>
        </w:rPr>
      </w:pPr>
      <w:r>
        <w:rPr>
          <w:rStyle w:val="43"/>
          <w:rFonts w:cs="Times New Roman"/>
          <w:b/>
          <w:color w:val="auto"/>
          <w:szCs w:val="24"/>
          <w:u w:val="none"/>
          <w14:textFill>
            <w14:solidFill>
              <w14:srgbClr w14:val="0000FF"/>
            </w14:solidFill>
          </w14:textFill>
          <w:highlight w:val="none"/>
        </w:rPr>
        <w:t>7　</w:t>
      </w:r>
      <w:r>
        <w:rPr>
          <w:rFonts w:cs="Times New Roman" w:hint="eastAsia"/>
          <w:b/>
          <w:color w:val="auto"/>
          <w:szCs w:val="24"/>
          <w:highlight w:val="none"/>
        </w:rPr>
        <w:t>R</w:t>
      </w:r>
      <w:r>
        <w:rPr>
          <w:rFonts w:cs="Times New Roman"/>
          <w:b/>
          <w:color w:val="auto"/>
          <w:szCs w:val="24"/>
          <w:highlight w:val="none"/>
        </w:rPr>
        <w:t xml:space="preserve">esistivity </w:t>
      </w:r>
      <w:r>
        <w:rPr>
          <w:rFonts w:cs="Times New Roman"/>
          <w:b/>
          <w:color w:val="auto"/>
          <w:highlight w:val="none"/>
        </w:rPr>
        <w:t>method</w:t>
      </w:r>
      <w:r>
        <w:rPr>
          <w:rStyle w:val="43"/>
          <w:rFonts w:cs="Times New Roman" w:hint="eastAsia"/>
          <w:b/>
          <w:color w:val="auto"/>
          <w:szCs w:val="24"/>
          <w:u w:val="none"/>
          <w14:textFill>
            <w14:solidFill>
              <w14:srgbClr w14:val="0000FF"/>
            </w14:solidFill>
          </w14:textFill>
          <w:lang w:val="en-US" w:eastAsia="zh-CN"/>
          <w:highlight w:val="none"/>
        </w:rPr>
        <w:t>.............................................................................................................23</w:t>
      </w:r>
    </w:p>
    <w:p>
      <w:pPr>
        <w:snapToGrid w:val="0"/>
        <w:rPr>
          <w:rFonts w:cs="Times New Roman"/>
          <w:color w:val="auto"/>
          <w:szCs w:val="24"/>
          <w:lang w:val="en-US"/>
          <w:highlight w:val="none"/>
        </w:rPr>
      </w:pPr>
      <w:r>
        <w:rPr>
          <w:rFonts w:cs="Times New Roman"/>
          <w:color w:val="auto"/>
          <w:szCs w:val="24"/>
          <w:highlight w:val="none"/>
        </w:rPr>
        <w:t>7.1　General requirements</w:t>
      </w:r>
      <w:r>
        <w:rPr>
          <w:rStyle w:val="43"/>
          <w:rFonts w:cs="Times New Roman" w:hint="eastAsia"/>
          <w:bCs/>
          <w:color w:val="auto"/>
          <w:szCs w:val="24"/>
          <w:u w:val="none"/>
          <w14:textFill>
            <w14:solidFill>
              <w14:srgbClr w14:val="0000FF"/>
            </w14:solidFill>
          </w14:textFill>
          <w:lang w:val="en-US" w:eastAsia="zh-CN"/>
          <w:highlight w:val="none"/>
        </w:rPr>
        <w:t>...............................................................................................23</w:t>
      </w:r>
    </w:p>
    <w:p>
      <w:pPr>
        <w:snapToGrid w:val="0"/>
        <w:rPr>
          <w:rFonts w:cs="Times New Roman"/>
          <w:color w:val="auto"/>
          <w:szCs w:val="24"/>
          <w:lang w:val="en-US"/>
          <w:highlight w:val="none"/>
        </w:rPr>
      </w:pPr>
      <w:r>
        <w:rPr>
          <w:rFonts w:cs="Times New Roman"/>
          <w:color w:val="auto"/>
          <w:szCs w:val="24"/>
          <w:highlight w:val="none"/>
        </w:rPr>
        <w:t>7.2　Detecting equipment</w:t>
      </w:r>
      <w:r>
        <w:rPr>
          <w:rStyle w:val="43"/>
          <w:rFonts w:cs="Times New Roman" w:hint="eastAsia"/>
          <w:bCs/>
          <w:color w:val="auto"/>
          <w:szCs w:val="24"/>
          <w:u w:val="none"/>
          <w14:textFill>
            <w14:solidFill>
              <w14:srgbClr w14:val="0000FF"/>
            </w14:solidFill>
          </w14:textFill>
          <w:lang w:val="en-US" w:eastAsia="zh-CN"/>
          <w:highlight w:val="none"/>
        </w:rPr>
        <w:t>................................................................................................23</w:t>
      </w:r>
    </w:p>
    <w:p>
      <w:pPr>
        <w:snapToGrid w:val="0"/>
        <w:rPr>
          <w:rFonts w:cs="Times New Roman"/>
          <w:color w:val="auto"/>
          <w:szCs w:val="24"/>
          <w:lang w:val="en-US"/>
          <w:highlight w:val="none"/>
        </w:rPr>
      </w:pPr>
      <w:r>
        <w:rPr>
          <w:rFonts w:cs="Times New Roman"/>
          <w:color w:val="auto"/>
          <w:szCs w:val="24"/>
          <w:highlight w:val="none"/>
        </w:rPr>
        <w:t>7.3　Detecting method</w:t>
      </w:r>
      <w:r>
        <w:rPr>
          <w:rStyle w:val="43"/>
          <w:rFonts w:cs="Times New Roman" w:hint="eastAsia"/>
          <w:bCs/>
          <w:color w:val="auto"/>
          <w:szCs w:val="24"/>
          <w:u w:val="none"/>
          <w14:textFill>
            <w14:solidFill>
              <w14:srgbClr w14:val="0000FF"/>
            </w14:solidFill>
          </w14:textFill>
          <w:lang w:val="en-US" w:eastAsia="zh-CN"/>
          <w:highlight w:val="none"/>
        </w:rPr>
        <w:t>.....................................................................................................23</w:t>
      </w:r>
    </w:p>
    <w:p>
      <w:pPr>
        <w:snapToGrid w:val="0"/>
        <w:rPr>
          <w:rFonts w:cs="Times New Roman"/>
          <w:color w:val="auto"/>
          <w:szCs w:val="24"/>
          <w:lang w:val="en-US"/>
          <w:highlight w:val="none"/>
        </w:rPr>
      </w:pPr>
      <w:r>
        <w:rPr>
          <w:rFonts w:cs="Times New Roman"/>
          <w:color w:val="auto"/>
          <w:szCs w:val="24"/>
          <w:highlight w:val="none"/>
        </w:rPr>
        <w:t>7.4　Decision criteria</w:t>
      </w:r>
      <w:r>
        <w:rPr>
          <w:rStyle w:val="43"/>
          <w:rFonts w:cs="Times New Roman" w:hint="eastAsia"/>
          <w:bCs/>
          <w:color w:val="auto"/>
          <w:szCs w:val="24"/>
          <w:u w:val="none"/>
          <w14:textFill>
            <w14:solidFill>
              <w14:srgbClr w14:val="0000FF"/>
            </w14:solidFill>
          </w14:textFill>
          <w:lang w:val="en-US" w:eastAsia="zh-CN"/>
          <w:highlight w:val="none"/>
        </w:rPr>
        <w:t>.......................................................................................................24</w:t>
      </w:r>
    </w:p>
    <w:p>
      <w:pPr>
        <w:autoSpaceDE w:val="0"/>
        <w:autoSpaceDN w:val="0"/>
        <w:adjustRightInd w:val="0"/>
        <w:snapToGrid w:val="0"/>
        <w:ind w:firstLineChars="0" w:firstLine="0"/>
        <w:textAlignment w:val="auto"/>
        <w:rPr>
          <w:rFonts w:cs="Times New Roman"/>
          <w:b/>
          <w:color w:val="auto"/>
          <w:szCs w:val="24"/>
          <w:lang w:val="en-US"/>
          <w:highlight w:val="none"/>
        </w:rPr>
      </w:pPr>
      <w:r>
        <w:rPr>
          <w:rStyle w:val="43"/>
          <w:rFonts w:cs="Times New Roman"/>
          <w:b/>
          <w:color w:val="auto"/>
          <w:szCs w:val="24"/>
          <w:u w:val="none"/>
          <w14:textFill>
            <w14:solidFill>
              <w14:srgbClr w14:val="0000FF"/>
            </w14:solidFill>
          </w14:textFill>
          <w:highlight w:val="none"/>
        </w:rPr>
        <w:t>8　</w:t>
      </w:r>
      <w:r>
        <w:rPr>
          <w:rFonts w:cs="Times New Roman"/>
          <w:b/>
          <w:color w:val="auto"/>
          <w:szCs w:val="24"/>
          <w:highlight w:val="none"/>
        </w:rPr>
        <w:t xml:space="preserve">Capacitance </w:t>
      </w:r>
      <w:r>
        <w:rPr>
          <w:rFonts w:cs="Times New Roman"/>
          <w:b/>
          <w:color w:val="auto"/>
          <w:highlight w:val="none"/>
        </w:rPr>
        <w:t>method</w:t>
      </w:r>
      <w:r>
        <w:rPr>
          <w:rStyle w:val="43"/>
          <w:rFonts w:cs="Times New Roman" w:hint="eastAsia"/>
          <w:b/>
          <w:color w:val="auto"/>
          <w:szCs w:val="24"/>
          <w:u w:val="none"/>
          <w14:textFill>
            <w14:solidFill>
              <w14:srgbClr w14:val="0000FF"/>
            </w14:solidFill>
          </w14:textFill>
          <w:lang w:val="en-US" w:eastAsia="zh-CN"/>
          <w:highlight w:val="none"/>
        </w:rPr>
        <w:t>..........................................................................................................26</w:t>
      </w:r>
    </w:p>
    <w:p>
      <w:pPr>
        <w:snapToGrid w:val="0"/>
        <w:rPr>
          <w:rFonts w:cs="Times New Roman"/>
          <w:color w:val="auto"/>
          <w:szCs w:val="24"/>
          <w:highlight w:val="none"/>
        </w:rPr>
      </w:pPr>
      <w:r>
        <w:rPr>
          <w:rFonts w:cs="Times New Roman"/>
          <w:color w:val="auto"/>
          <w:szCs w:val="24"/>
          <w:highlight w:val="none"/>
        </w:rPr>
        <w:t>8.1　General requirements</w:t>
      </w:r>
      <w:r>
        <w:rPr>
          <w:rStyle w:val="43"/>
          <w:rFonts w:cs="Times New Roman" w:hint="eastAsia"/>
          <w:bCs/>
          <w:color w:val="auto"/>
          <w:szCs w:val="24"/>
          <w:u w:val="none"/>
          <w14:textFill>
            <w14:solidFill>
              <w14:srgbClr w14:val="0000FF"/>
            </w14:solidFill>
          </w14:textFill>
          <w:lang w:val="en-US" w:eastAsia="zh-CN"/>
          <w:highlight w:val="none"/>
        </w:rPr>
        <w:t>...............................................................................................</w:t>
      </w:r>
      <w:r>
        <w:rPr>
          <w:rStyle w:val="43"/>
          <w:rFonts w:cs="Times New Roman" w:hint="eastAsia"/>
          <w:b/>
          <w:color w:val="auto"/>
          <w:szCs w:val="24"/>
          <w:u w:val="none"/>
          <w14:textFill>
            <w14:solidFill>
              <w14:srgbClr w14:val="0000FF"/>
            </w14:solidFill>
          </w14:textFill>
          <w:lang w:val="en-US" w:eastAsia="zh-CN"/>
          <w:highlight w:val="none"/>
        </w:rPr>
        <w:t>26</w:t>
      </w:r>
    </w:p>
    <w:p>
      <w:pPr>
        <w:snapToGrid w:val="0"/>
        <w:rPr>
          <w:rFonts w:cs="Times New Roman"/>
          <w:color w:val="auto"/>
          <w:szCs w:val="24"/>
          <w:highlight w:val="none"/>
        </w:rPr>
      </w:pPr>
      <w:r>
        <w:rPr>
          <w:rFonts w:cs="Times New Roman"/>
          <w:color w:val="auto"/>
          <w:szCs w:val="24"/>
          <w:highlight w:val="none"/>
        </w:rPr>
        <w:t>8.2　Detecting equipment</w:t>
      </w:r>
      <w:r>
        <w:rPr>
          <w:rStyle w:val="43"/>
          <w:rFonts w:cs="Times New Roman" w:hint="eastAsia"/>
          <w:bCs/>
          <w:color w:val="auto"/>
          <w:szCs w:val="24"/>
          <w:u w:val="none"/>
          <w14:textFill>
            <w14:solidFill>
              <w14:srgbClr w14:val="0000FF"/>
            </w14:solidFill>
          </w14:textFill>
          <w:lang w:val="en-US" w:eastAsia="zh-CN"/>
          <w:highlight w:val="none"/>
        </w:rPr>
        <w:t>................................................................................................</w:t>
      </w:r>
      <w:r>
        <w:rPr>
          <w:rStyle w:val="43"/>
          <w:rFonts w:cs="Times New Roman" w:hint="eastAsia"/>
          <w:b/>
          <w:color w:val="auto"/>
          <w:szCs w:val="24"/>
          <w:u w:val="none"/>
          <w14:textFill>
            <w14:solidFill>
              <w14:srgbClr w14:val="0000FF"/>
            </w14:solidFill>
          </w14:textFill>
          <w:lang w:val="en-US" w:eastAsia="zh-CN"/>
          <w:highlight w:val="none"/>
        </w:rPr>
        <w:t>26</w:t>
      </w:r>
    </w:p>
    <w:p>
      <w:pPr>
        <w:snapToGrid w:val="0"/>
        <w:rPr>
          <w:rFonts w:cs="Times New Roman"/>
          <w:color w:val="auto"/>
          <w:szCs w:val="24"/>
          <w:highlight w:val="none"/>
        </w:rPr>
      </w:pPr>
      <w:r>
        <w:rPr>
          <w:rFonts w:cs="Times New Roman"/>
          <w:color w:val="auto"/>
          <w:szCs w:val="24"/>
          <w:highlight w:val="none"/>
        </w:rPr>
        <w:t>8.3　Detecting method</w:t>
      </w:r>
      <w:r>
        <w:rPr>
          <w:rStyle w:val="43"/>
          <w:rFonts w:cs="Times New Roman" w:hint="eastAsia"/>
          <w:bCs/>
          <w:color w:val="auto"/>
          <w:szCs w:val="24"/>
          <w:u w:val="none"/>
          <w14:textFill>
            <w14:solidFill>
              <w14:srgbClr w14:val="0000FF"/>
            </w14:solidFill>
          </w14:textFill>
          <w:lang w:val="en-US" w:eastAsia="zh-CN"/>
          <w:highlight w:val="none"/>
        </w:rPr>
        <w:t>.....................................................................................................</w:t>
      </w:r>
      <w:r>
        <w:rPr>
          <w:rStyle w:val="43"/>
          <w:rFonts w:cs="Times New Roman" w:hint="eastAsia"/>
          <w:b/>
          <w:color w:val="auto"/>
          <w:szCs w:val="24"/>
          <w:u w:val="none"/>
          <w14:textFill>
            <w14:solidFill>
              <w14:srgbClr w14:val="0000FF"/>
            </w14:solidFill>
          </w14:textFill>
          <w:lang w:val="en-US" w:eastAsia="zh-CN"/>
          <w:highlight w:val="none"/>
        </w:rPr>
        <w:t>26</w:t>
      </w:r>
    </w:p>
    <w:p>
      <w:pPr>
        <w:snapToGrid w:val="0"/>
        <w:rPr>
          <w:rFonts w:cs="Times New Roman"/>
          <w:color w:val="auto"/>
          <w:szCs w:val="24"/>
          <w:lang w:val="en-US"/>
          <w:highlight w:val="none"/>
        </w:rPr>
      </w:pPr>
      <w:r>
        <w:rPr>
          <w:rFonts w:cs="Times New Roman"/>
          <w:color w:val="auto"/>
          <w:szCs w:val="24"/>
          <w:highlight w:val="none"/>
        </w:rPr>
        <w:t>8.4　Decision criteria</w:t>
      </w:r>
      <w:r>
        <w:rPr>
          <w:rStyle w:val="43"/>
          <w:rFonts w:cs="Times New Roman" w:hint="eastAsia"/>
          <w:bCs/>
          <w:color w:val="auto"/>
          <w:szCs w:val="24"/>
          <w:u w:val="none"/>
          <w14:textFill>
            <w14:solidFill>
              <w14:srgbClr w14:val="0000FF"/>
            </w14:solidFill>
          </w14:textFill>
          <w:lang w:val="en-US" w:eastAsia="zh-CN"/>
          <w:highlight w:val="none"/>
        </w:rPr>
        <w:t>.......................................................................................................27</w:t>
      </w:r>
    </w:p>
    <w:p>
      <w:pPr>
        <w:autoSpaceDE w:val="0"/>
        <w:autoSpaceDN w:val="0"/>
        <w:adjustRightInd w:val="0"/>
        <w:snapToGrid w:val="0"/>
        <w:ind w:firstLineChars="0" w:firstLine="0"/>
        <w:textAlignment w:val="auto"/>
        <w:rPr>
          <w:rFonts w:cs="Times New Roman"/>
          <w:b/>
          <w:bCs/>
          <w:color w:val="auto"/>
          <w:szCs w:val="24"/>
          <w:lang w:val="en-US"/>
          <w:highlight w:val="none"/>
        </w:rPr>
      </w:pPr>
      <w:r>
        <w:rPr>
          <w:rStyle w:val="43"/>
          <w:rFonts w:cs="Times New Roman"/>
          <w:b/>
          <w:bCs/>
          <w:color w:val="auto"/>
          <w:szCs w:val="24"/>
          <w:u w:val="none"/>
          <w14:textFill>
            <w14:solidFill>
              <w14:srgbClr w14:val="0000FF"/>
            </w14:solidFill>
          </w14:textFill>
          <w:highlight w:val="none"/>
        </w:rPr>
        <w:t>9　</w:t>
      </w:r>
      <w:r>
        <w:rPr>
          <w:rFonts w:cs="Times New Roman"/>
          <w:b/>
          <w:bCs/>
          <w:color w:val="auto"/>
          <w:szCs w:val="24"/>
          <w:highlight w:val="none"/>
        </w:rPr>
        <w:t>Piezoelectric</w:t>
      </w:r>
      <w:r>
        <w:rPr>
          <w:rFonts w:cs="Times New Roman" w:hint="eastAsia"/>
          <w:b/>
          <w:bCs/>
          <w:color w:val="auto"/>
          <w:szCs w:val="24"/>
          <w:highlight w:val="none"/>
        </w:rPr>
        <w:t xml:space="preserve"> </w:t>
      </w:r>
      <w:r>
        <w:rPr>
          <w:rFonts w:cs="Times New Roman"/>
          <w:b/>
          <w:color w:val="auto"/>
          <w:highlight w:val="none"/>
        </w:rPr>
        <w:t>method</w:t>
      </w:r>
      <w:r>
        <w:rPr>
          <w:rStyle w:val="43"/>
          <w:rFonts w:cs="Times New Roman" w:hint="eastAsia"/>
          <w:b/>
          <w:color w:val="auto"/>
          <w:szCs w:val="24"/>
          <w:u w:val="none"/>
          <w14:textFill>
            <w14:solidFill>
              <w14:srgbClr w14:val="0000FF"/>
            </w14:solidFill>
          </w14:textFill>
          <w:lang w:val="en-US" w:eastAsia="zh-CN"/>
          <w:highlight w:val="none"/>
        </w:rPr>
        <w:t>.........................................................................................................29</w:t>
      </w:r>
    </w:p>
    <w:p>
      <w:pPr>
        <w:snapToGrid w:val="0"/>
        <w:rPr>
          <w:rFonts w:cs="Times New Roman"/>
          <w:color w:val="auto"/>
          <w:szCs w:val="24"/>
          <w:lang w:val="en-US"/>
          <w:highlight w:val="none"/>
        </w:rPr>
      </w:pPr>
      <w:r>
        <w:rPr>
          <w:rFonts w:cs="Times New Roman"/>
          <w:color w:val="auto"/>
          <w:szCs w:val="24"/>
          <w:highlight w:val="none"/>
        </w:rPr>
        <w:t>9.1　General requirements</w:t>
      </w:r>
      <w:r>
        <w:rPr>
          <w:rStyle w:val="43"/>
          <w:rFonts w:cs="Times New Roman" w:hint="eastAsia"/>
          <w:bCs/>
          <w:color w:val="auto"/>
          <w:szCs w:val="24"/>
          <w:u w:val="none"/>
          <w14:textFill>
            <w14:solidFill>
              <w14:srgbClr w14:val="0000FF"/>
            </w14:solidFill>
          </w14:textFill>
          <w:lang w:val="en-US" w:eastAsia="zh-CN"/>
          <w:highlight w:val="none"/>
        </w:rPr>
        <w:t>...............................................................................................29</w:t>
      </w:r>
    </w:p>
    <w:p>
      <w:pPr>
        <w:snapToGrid w:val="0"/>
        <w:rPr>
          <w:rFonts w:cs="Times New Roman"/>
          <w:color w:val="auto"/>
          <w:szCs w:val="24"/>
          <w:lang w:val="en-US"/>
          <w:highlight w:val="none"/>
        </w:rPr>
      </w:pPr>
      <w:r>
        <w:rPr>
          <w:rFonts w:cs="Times New Roman"/>
          <w:color w:val="auto"/>
          <w:szCs w:val="24"/>
          <w:highlight w:val="none"/>
        </w:rPr>
        <w:t>9.2　Detecting equipment</w:t>
      </w:r>
      <w:r>
        <w:rPr>
          <w:rStyle w:val="43"/>
          <w:rFonts w:cs="Times New Roman" w:hint="eastAsia"/>
          <w:bCs/>
          <w:color w:val="auto"/>
          <w:szCs w:val="24"/>
          <w:u w:val="none"/>
          <w14:textFill>
            <w14:solidFill>
              <w14:srgbClr w14:val="0000FF"/>
            </w14:solidFill>
          </w14:textFill>
          <w:lang w:val="en-US" w:eastAsia="zh-CN"/>
          <w:highlight w:val="none"/>
        </w:rPr>
        <w:t>................................................................................................29</w:t>
      </w:r>
    </w:p>
    <w:p>
      <w:pPr>
        <w:snapToGrid w:val="0"/>
        <w:rPr>
          <w:rFonts w:cs="Times New Roman"/>
          <w:color w:val="auto"/>
          <w:szCs w:val="24"/>
          <w:lang w:val="en-US"/>
          <w:highlight w:val="none"/>
        </w:rPr>
      </w:pPr>
      <w:r>
        <w:rPr>
          <w:rFonts w:cs="Times New Roman"/>
          <w:color w:val="auto"/>
          <w:szCs w:val="24"/>
          <w:highlight w:val="none"/>
        </w:rPr>
        <w:t>9.3　Detecting method</w:t>
      </w:r>
      <w:r>
        <w:rPr>
          <w:rStyle w:val="43"/>
          <w:rFonts w:cs="Times New Roman" w:hint="eastAsia"/>
          <w:bCs/>
          <w:color w:val="auto"/>
          <w:szCs w:val="24"/>
          <w:u w:val="none"/>
          <w14:textFill>
            <w14:solidFill>
              <w14:srgbClr w14:val="0000FF"/>
            </w14:solidFill>
          </w14:textFill>
          <w:lang w:val="en-US" w:eastAsia="zh-CN"/>
          <w:highlight w:val="none"/>
        </w:rPr>
        <w:t>.....................................................................................................29</w:t>
      </w:r>
    </w:p>
    <w:p>
      <w:pPr>
        <w:snapToGrid w:val="0"/>
        <w:rPr>
          <w:rFonts w:cs="Times New Roman"/>
          <w:color w:val="auto"/>
          <w:szCs w:val="24"/>
          <w:lang w:val="en-US"/>
          <w:highlight w:val="none"/>
        </w:rPr>
      </w:pPr>
      <w:r>
        <w:rPr>
          <w:rFonts w:cs="Times New Roman"/>
          <w:color w:val="auto"/>
          <w:szCs w:val="24"/>
          <w:highlight w:val="none"/>
        </w:rPr>
        <w:t>9.4　Decision criteria</w:t>
      </w:r>
      <w:r>
        <w:rPr>
          <w:rStyle w:val="43"/>
          <w:rFonts w:cs="Times New Roman" w:hint="eastAsia"/>
          <w:bCs/>
          <w:color w:val="auto"/>
          <w:szCs w:val="24"/>
          <w:u w:val="none"/>
          <w14:textFill>
            <w14:solidFill>
              <w14:srgbClr w14:val="0000FF"/>
            </w14:solidFill>
          </w14:textFill>
          <w:lang w:val="en-US" w:eastAsia="zh-CN"/>
          <w:highlight w:val="none"/>
        </w:rPr>
        <w:t>.......................................................................................................30</w:t>
      </w:r>
    </w:p>
    <w:p>
      <w:pPr>
        <w:autoSpaceDE w:val="0"/>
        <w:autoSpaceDN w:val="0"/>
        <w:adjustRightInd w:val="0"/>
        <w:snapToGrid w:val="0"/>
        <w:ind w:firstLineChars="0" w:firstLine="0"/>
        <w:textAlignment w:val="auto"/>
        <w:rPr>
          <w:rFonts w:cs="Times New Roman"/>
          <w:b/>
          <w:color w:val="auto"/>
          <w:lang w:val="en-US"/>
          <w:highlight w:val="none"/>
        </w:rPr>
      </w:pPr>
      <w:r>
        <w:rPr>
          <w:rStyle w:val="43"/>
          <w:rFonts w:cs="Times New Roman"/>
          <w:b/>
          <w:bCs/>
          <w:color w:val="auto"/>
          <w:szCs w:val="24"/>
          <w:u w:val="none"/>
          <w14:textFill>
            <w14:solidFill>
              <w14:srgbClr w14:val="0000FF"/>
            </w14:solidFill>
          </w14:textFill>
          <w:highlight w:val="none"/>
        </w:rPr>
        <w:t>10　</w:t>
      </w:r>
      <w:r>
        <w:rPr>
          <w:rFonts w:cs="Times New Roman"/>
          <w:b/>
          <w:bCs/>
          <w:color w:val="auto"/>
          <w:szCs w:val="24"/>
          <w:highlight w:val="none"/>
        </w:rPr>
        <w:t xml:space="preserve">Pressure sensor </w:t>
      </w:r>
      <w:r>
        <w:rPr>
          <w:rFonts w:cs="Times New Roman"/>
          <w:b/>
          <w:color w:val="auto"/>
          <w:highlight w:val="none"/>
        </w:rPr>
        <w:t>method</w:t>
      </w:r>
      <w:r>
        <w:rPr>
          <w:rStyle w:val="43"/>
          <w:rFonts w:cs="Times New Roman" w:hint="eastAsia"/>
          <w:b/>
          <w:color w:val="auto"/>
          <w:szCs w:val="24"/>
          <w:u w:val="none"/>
          <w14:textFill>
            <w14:solidFill>
              <w14:srgbClr w14:val="0000FF"/>
            </w14:solidFill>
          </w14:textFill>
          <w:lang w:val="en-US" w:eastAsia="zh-CN"/>
          <w:highlight w:val="none"/>
        </w:rPr>
        <w:t>..................................................................................................32</w:t>
      </w:r>
    </w:p>
    <w:p>
      <w:pPr>
        <w:snapToGrid w:val="0"/>
        <w:rPr>
          <w:rFonts w:cs="Times New Roman"/>
          <w:color w:val="auto"/>
          <w:szCs w:val="24"/>
          <w:lang w:val="en-US"/>
          <w:highlight w:val="none"/>
        </w:rPr>
      </w:pPr>
      <w:r>
        <w:rPr>
          <w:rFonts w:cs="Times New Roman"/>
          <w:color w:val="auto"/>
          <w:szCs w:val="24"/>
          <w:highlight w:val="none"/>
        </w:rPr>
        <w:t>10.1　General requirements</w:t>
      </w:r>
      <w:r>
        <w:rPr>
          <w:rStyle w:val="43"/>
          <w:rFonts w:cs="Times New Roman" w:hint="eastAsia"/>
          <w:bCs/>
          <w:color w:val="auto"/>
          <w:szCs w:val="24"/>
          <w:u w:val="none"/>
          <w14:textFill>
            <w14:solidFill>
              <w14:srgbClr w14:val="0000FF"/>
            </w14:solidFill>
          </w14:textFill>
          <w:lang w:val="en-US" w:eastAsia="zh-CN"/>
          <w:highlight w:val="none"/>
        </w:rPr>
        <w:t>.............................................................................................32</w:t>
      </w:r>
    </w:p>
    <w:p>
      <w:pPr>
        <w:snapToGrid w:val="0"/>
        <w:rPr>
          <w:rFonts w:cs="Times New Roman"/>
          <w:color w:val="auto"/>
          <w:szCs w:val="24"/>
          <w:lang w:val="en-US"/>
          <w:highlight w:val="none"/>
        </w:rPr>
      </w:pPr>
      <w:r>
        <w:rPr>
          <w:rFonts w:cs="Times New Roman"/>
          <w:color w:val="auto"/>
          <w:szCs w:val="24"/>
          <w:highlight w:val="none"/>
        </w:rPr>
        <w:t>10.2　Detecting equipment</w:t>
      </w:r>
      <w:r>
        <w:rPr>
          <w:rStyle w:val="43"/>
          <w:rFonts w:cs="Times New Roman" w:hint="eastAsia"/>
          <w:bCs/>
          <w:color w:val="auto"/>
          <w:szCs w:val="24"/>
          <w:u w:val="none"/>
          <w14:textFill>
            <w14:solidFill>
              <w14:srgbClr w14:val="0000FF"/>
            </w14:solidFill>
          </w14:textFill>
          <w:lang w:val="en-US" w:eastAsia="zh-CN"/>
          <w:highlight w:val="none"/>
        </w:rPr>
        <w:t>..............................................................................................32</w:t>
      </w:r>
    </w:p>
    <w:p>
      <w:pPr>
        <w:snapToGrid w:val="0"/>
        <w:rPr>
          <w:rFonts w:cs="Times New Roman"/>
          <w:color w:val="auto"/>
          <w:szCs w:val="24"/>
          <w:lang w:val="en-US"/>
          <w:highlight w:val="none"/>
        </w:rPr>
      </w:pPr>
      <w:r>
        <w:rPr>
          <w:rFonts w:cs="Times New Roman"/>
          <w:color w:val="auto"/>
          <w:szCs w:val="24"/>
          <w:highlight w:val="none"/>
        </w:rPr>
        <w:t>10.3　Detecting method</w:t>
      </w:r>
      <w:r>
        <w:rPr>
          <w:rStyle w:val="43"/>
          <w:rFonts w:cs="Times New Roman" w:hint="eastAsia"/>
          <w:bCs/>
          <w:color w:val="auto"/>
          <w:szCs w:val="24"/>
          <w:u w:val="none"/>
          <w14:textFill>
            <w14:solidFill>
              <w14:srgbClr w14:val="0000FF"/>
            </w14:solidFill>
          </w14:textFill>
          <w:lang w:val="en-US" w:eastAsia="zh-CN"/>
          <w:highlight w:val="none"/>
        </w:rPr>
        <w:t>...................................................................................................33</w:t>
      </w:r>
    </w:p>
    <w:p>
      <w:pPr>
        <w:snapToGrid w:val="0"/>
        <w:rPr>
          <w:rFonts w:cs="Times New Roman"/>
          <w:color w:val="auto"/>
          <w:szCs w:val="24"/>
          <w:lang w:val="en-US"/>
          <w:highlight w:val="none"/>
        </w:rPr>
      </w:pPr>
      <w:r>
        <w:rPr>
          <w:rFonts w:cs="Times New Roman"/>
          <w:color w:val="auto"/>
          <w:szCs w:val="24"/>
          <w:highlight w:val="none"/>
        </w:rPr>
        <w:t>10.4　Decision criteria</w:t>
      </w:r>
      <w:r>
        <w:rPr>
          <w:rStyle w:val="43"/>
          <w:rFonts w:cs="Times New Roman" w:hint="eastAsia"/>
          <w:bCs/>
          <w:color w:val="auto"/>
          <w:szCs w:val="24"/>
          <w:u w:val="none"/>
          <w14:textFill>
            <w14:solidFill>
              <w14:srgbClr w14:val="0000FF"/>
            </w14:solidFill>
          </w14:textFill>
          <w:lang w:val="en-US" w:eastAsia="zh-CN"/>
          <w:highlight w:val="none"/>
        </w:rPr>
        <w:t>.....................................................................................................34</w:t>
      </w:r>
    </w:p>
    <w:p>
      <w:pPr>
        <w:autoSpaceDE w:val="0"/>
        <w:autoSpaceDN w:val="0"/>
        <w:adjustRightInd w:val="0"/>
        <w:snapToGrid w:val="0"/>
        <w:ind w:firstLineChars="0" w:firstLine="0"/>
        <w:textAlignment w:val="auto"/>
        <w:rPr>
          <w:rFonts w:cs="Times New Roman"/>
          <w:b/>
          <w:bCs/>
          <w:color w:val="auto"/>
          <w:szCs w:val="24"/>
          <w:lang w:val="en-US"/>
          <w:highlight w:val="none"/>
        </w:rPr>
      </w:pPr>
      <w:r>
        <w:rPr>
          <w:rStyle w:val="43"/>
          <w:rFonts w:cs="Times New Roman"/>
          <w:b/>
          <w:bCs/>
          <w:color w:val="auto"/>
          <w:szCs w:val="24"/>
          <w:u w:val="none"/>
          <w14:textFill>
            <w14:solidFill>
              <w14:srgbClr w14:val="0000FF"/>
            </w14:solidFill>
          </w14:textFill>
          <w:highlight w:val="none"/>
        </w:rPr>
        <w:t>11　</w:t>
      </w:r>
      <w:r>
        <w:rPr>
          <w:rFonts w:cs="Times New Roman"/>
          <w:b/>
          <w:bCs/>
          <w:color w:val="auto"/>
          <w:szCs w:val="24"/>
          <w:highlight w:val="none"/>
        </w:rPr>
        <w:t>Embedded steel wire drawing</w:t>
      </w:r>
      <w:r>
        <w:rPr>
          <w:rFonts w:cs="Times New Roman"/>
          <w:color w:val="auto"/>
          <w:highlight w:val="none"/>
        </w:rPr>
        <w:t xml:space="preserve"> </w:t>
      </w:r>
      <w:r>
        <w:rPr>
          <w:rFonts w:cs="Times New Roman"/>
          <w:b/>
          <w:bCs/>
          <w:color w:val="auto"/>
          <w:szCs w:val="24"/>
          <w:highlight w:val="none"/>
        </w:rPr>
        <w:t>method</w:t>
      </w:r>
      <w:r>
        <w:rPr>
          <w:rStyle w:val="43"/>
          <w:rFonts w:cs="Times New Roman" w:hint="eastAsia"/>
          <w:b/>
          <w:color w:val="auto"/>
          <w:szCs w:val="24"/>
          <w:u w:val="none"/>
          <w14:textFill>
            <w14:solidFill>
              <w14:srgbClr w14:val="0000FF"/>
            </w14:solidFill>
          </w14:textFill>
          <w:lang w:val="en-US" w:eastAsia="zh-CN"/>
          <w:highlight w:val="none"/>
        </w:rPr>
        <w:t>..........................................................................35</w:t>
      </w:r>
    </w:p>
    <w:p>
      <w:pPr>
        <w:snapToGrid w:val="0"/>
        <w:rPr>
          <w:rFonts w:cs="Times New Roman"/>
          <w:color w:val="auto"/>
          <w:szCs w:val="24"/>
          <w:lang w:val="en-US"/>
          <w:highlight w:val="none"/>
        </w:rPr>
      </w:pPr>
      <w:r>
        <w:rPr>
          <w:rFonts w:cs="Times New Roman"/>
          <w:color w:val="auto"/>
          <w:szCs w:val="24"/>
          <w:highlight w:val="none"/>
        </w:rPr>
        <w:t>11.1　General requirements</w:t>
      </w:r>
      <w:r>
        <w:rPr>
          <w:rStyle w:val="43"/>
          <w:rFonts w:cs="Times New Roman" w:hint="eastAsia"/>
          <w:bCs/>
          <w:color w:val="auto"/>
          <w:szCs w:val="24"/>
          <w:u w:val="none"/>
          <w14:textFill>
            <w14:solidFill>
              <w14:srgbClr w14:val="0000FF"/>
            </w14:solidFill>
          </w14:textFill>
          <w:lang w:val="en-US" w:eastAsia="zh-CN"/>
          <w:highlight w:val="none"/>
        </w:rPr>
        <w:t>.............................................................................................35</w:t>
      </w:r>
    </w:p>
    <w:p>
      <w:pPr>
        <w:snapToGrid w:val="0"/>
        <w:rPr>
          <w:rFonts w:cs="Times New Roman"/>
          <w:color w:val="auto"/>
          <w:szCs w:val="24"/>
          <w:lang w:val="en-US"/>
          <w:highlight w:val="none"/>
        </w:rPr>
      </w:pPr>
      <w:r>
        <w:rPr>
          <w:rFonts w:cs="Times New Roman"/>
          <w:color w:val="auto"/>
          <w:szCs w:val="24"/>
          <w:highlight w:val="none"/>
        </w:rPr>
        <w:t>11.2　Detecting equipment</w:t>
      </w:r>
      <w:r>
        <w:rPr>
          <w:rStyle w:val="43"/>
          <w:rFonts w:cs="Times New Roman" w:hint="eastAsia"/>
          <w:bCs/>
          <w:color w:val="auto"/>
          <w:szCs w:val="24"/>
          <w:u w:val="none"/>
          <w14:textFill>
            <w14:solidFill>
              <w14:srgbClr w14:val="0000FF"/>
            </w14:solidFill>
          </w14:textFill>
          <w:lang w:val="en-US" w:eastAsia="zh-CN"/>
          <w:highlight w:val="none"/>
        </w:rPr>
        <w:t>..............................................................................................35</w:t>
      </w:r>
    </w:p>
    <w:p>
      <w:pPr>
        <w:snapToGrid w:val="0"/>
        <w:rPr>
          <w:rFonts w:cs="Times New Roman"/>
          <w:color w:val="auto"/>
          <w:szCs w:val="24"/>
          <w:lang w:val="en-US"/>
          <w:highlight w:val="none"/>
        </w:rPr>
      </w:pPr>
      <w:r>
        <w:rPr>
          <w:rFonts w:cs="Times New Roman"/>
          <w:color w:val="auto"/>
          <w:szCs w:val="24"/>
          <w:highlight w:val="none"/>
        </w:rPr>
        <w:t>11.3　Detecting method</w:t>
      </w:r>
      <w:r>
        <w:rPr>
          <w:rStyle w:val="43"/>
          <w:rFonts w:cs="Times New Roman" w:hint="eastAsia"/>
          <w:bCs/>
          <w:color w:val="auto"/>
          <w:szCs w:val="24"/>
          <w:u w:val="none"/>
          <w14:textFill>
            <w14:solidFill>
              <w14:srgbClr w14:val="0000FF"/>
            </w14:solidFill>
          </w14:textFill>
          <w:lang w:val="en-US" w:eastAsia="zh-CN"/>
          <w:highlight w:val="none"/>
        </w:rPr>
        <w:t>...................................................................................................36</w:t>
      </w:r>
    </w:p>
    <w:p>
      <w:pPr>
        <w:snapToGrid w:val="0"/>
        <w:rPr>
          <w:rFonts w:cs="Times New Roman"/>
          <w:color w:val="auto"/>
          <w:szCs w:val="24"/>
          <w:lang w:val="en-US"/>
          <w:highlight w:val="none"/>
        </w:rPr>
      </w:pPr>
      <w:r>
        <w:rPr>
          <w:rFonts w:cs="Times New Roman"/>
          <w:color w:val="auto"/>
          <w:szCs w:val="24"/>
          <w:highlight w:val="none"/>
        </w:rPr>
        <w:t>11.4　Decision criteria</w:t>
      </w:r>
      <w:r>
        <w:rPr>
          <w:rStyle w:val="43"/>
          <w:rFonts w:cs="Times New Roman" w:hint="eastAsia"/>
          <w:bCs/>
          <w:color w:val="auto"/>
          <w:szCs w:val="24"/>
          <w:u w:val="none"/>
          <w14:textFill>
            <w14:solidFill>
              <w14:srgbClr w14:val="0000FF"/>
            </w14:solidFill>
          </w14:textFill>
          <w:lang w:val="en-US" w:eastAsia="zh-CN"/>
          <w:highlight w:val="none"/>
        </w:rPr>
        <w:t>.....................................................................................................37</w:t>
      </w:r>
    </w:p>
    <w:p>
      <w:pPr>
        <w:autoSpaceDE w:val="0"/>
        <w:autoSpaceDN w:val="0"/>
        <w:adjustRightInd w:val="0"/>
        <w:snapToGrid w:val="0"/>
        <w:ind w:firstLineChars="0" w:firstLine="0"/>
        <w:textAlignment w:val="auto"/>
        <w:rPr>
          <w:rFonts w:cs="Times New Roman"/>
          <w:b/>
          <w:bCs/>
          <w:color w:val="auto"/>
          <w:szCs w:val="24"/>
          <w:lang w:val="en-US"/>
          <w:highlight w:val="none"/>
        </w:rPr>
      </w:pPr>
      <w:r>
        <w:rPr>
          <w:rFonts w:cs="Times New Roman" w:hint="eastAsia"/>
          <w:b/>
          <w:bCs/>
          <w:color w:val="auto"/>
          <w:szCs w:val="24"/>
          <w:highlight w:val="none"/>
        </w:rPr>
        <w:t>12</w:t>
      </w:r>
      <w:r>
        <w:rPr>
          <w:rStyle w:val="43"/>
          <w:rFonts w:cs="Times New Roman"/>
          <w:b/>
          <w:bCs/>
          <w:color w:val="auto"/>
          <w:szCs w:val="24"/>
          <w:u w:val="none"/>
          <w14:textFill>
            <w14:solidFill>
              <w14:srgbClr w14:val="0000FF"/>
            </w14:solidFill>
          </w14:textFill>
          <w:highlight w:val="none"/>
        </w:rPr>
        <w:t>　</w:t>
      </w:r>
      <w:r>
        <w:rPr>
          <w:rStyle w:val="43"/>
          <w:rFonts w:cs="Times New Roman" w:hint="eastAsia"/>
          <w:b/>
          <w:bCs/>
          <w:color w:val="auto"/>
          <w:szCs w:val="24"/>
          <w:u w:val="none"/>
          <w14:textFill>
            <w14:solidFill>
              <w14:srgbClr w14:val="0000FF"/>
            </w14:solidFill>
          </w14:textFill>
          <w:lang w:val="en-US" w:eastAsia="zh-CN"/>
          <w:highlight w:val="none"/>
        </w:rPr>
        <w:t>N</w:t>
      </w:r>
      <w:r>
        <w:rPr>
          <w:rStyle w:val="43"/>
          <w:rFonts w:cs="Times New Roman" w:hint="eastAsia"/>
          <w:b/>
          <w:bCs/>
          <w:color w:val="auto"/>
          <w:szCs w:val="24"/>
          <w:u w:val="none"/>
          <w14:textFill>
            <w14:solidFill>
              <w14:srgbClr w14:val="0000FF"/>
            </w14:solidFill>
          </w14:textFill>
          <w:highlight w:val="none"/>
        </w:rPr>
        <w:t>on-metallic ultrasonic method</w:t>
      </w:r>
      <w:r>
        <w:rPr>
          <w:rStyle w:val="43"/>
          <w:rFonts w:cs="Times New Roman" w:hint="eastAsia"/>
          <w:b/>
          <w:color w:val="auto"/>
          <w:szCs w:val="24"/>
          <w:u w:val="none"/>
          <w14:textFill>
            <w14:solidFill>
              <w14:srgbClr w14:val="0000FF"/>
            </w14:solidFill>
          </w14:textFill>
          <w:lang w:val="en-US" w:eastAsia="zh-CN"/>
          <w:highlight w:val="none"/>
        </w:rPr>
        <w:t>.....................................................................................38</w:t>
      </w:r>
    </w:p>
    <w:p>
      <w:pPr>
        <w:snapToGrid w:val="0"/>
        <w:rPr>
          <w:rFonts w:cs="Times New Roman"/>
          <w:color w:val="auto"/>
          <w:szCs w:val="24"/>
          <w:lang w:val="en-US"/>
          <w:highlight w:val="none"/>
        </w:rPr>
      </w:pPr>
      <w:r>
        <w:rPr>
          <w:rFonts w:cs="Times New Roman"/>
          <w:color w:val="auto"/>
          <w:szCs w:val="24"/>
          <w:highlight w:val="none"/>
        </w:rPr>
        <w:t>12.1　General requirements</w:t>
      </w:r>
      <w:r>
        <w:rPr>
          <w:rStyle w:val="43"/>
          <w:rFonts w:cs="Times New Roman" w:hint="eastAsia"/>
          <w:bCs/>
          <w:color w:val="auto"/>
          <w:szCs w:val="24"/>
          <w:u w:val="none"/>
          <w14:textFill>
            <w14:solidFill>
              <w14:srgbClr w14:val="0000FF"/>
            </w14:solidFill>
          </w14:textFill>
          <w:lang w:val="en-US" w:eastAsia="zh-CN"/>
          <w:highlight w:val="none"/>
        </w:rPr>
        <w:t>.............................................................................................38</w:t>
      </w:r>
    </w:p>
    <w:p>
      <w:pPr>
        <w:snapToGrid w:val="0"/>
        <w:rPr>
          <w:rFonts w:cs="Times New Roman"/>
          <w:color w:val="auto"/>
          <w:szCs w:val="24"/>
          <w:lang w:val="en-US"/>
          <w:highlight w:val="none"/>
        </w:rPr>
      </w:pPr>
      <w:r>
        <w:rPr>
          <w:rFonts w:cs="Times New Roman"/>
          <w:color w:val="auto"/>
          <w:szCs w:val="24"/>
          <w:highlight w:val="none"/>
        </w:rPr>
        <w:t>12.2　Detecting equipment</w:t>
      </w:r>
      <w:r>
        <w:rPr>
          <w:rStyle w:val="43"/>
          <w:rFonts w:cs="Times New Roman" w:hint="eastAsia"/>
          <w:bCs/>
          <w:color w:val="auto"/>
          <w:szCs w:val="24"/>
          <w:u w:val="none"/>
          <w14:textFill>
            <w14:solidFill>
              <w14:srgbClr w14:val="0000FF"/>
            </w14:solidFill>
          </w14:textFill>
          <w:lang w:val="en-US" w:eastAsia="zh-CN"/>
          <w:highlight w:val="none"/>
        </w:rPr>
        <w:t>..............................................................................................38</w:t>
      </w:r>
    </w:p>
    <w:p>
      <w:pPr>
        <w:snapToGrid w:val="0"/>
        <w:rPr>
          <w:rFonts w:cs="Times New Roman"/>
          <w:color w:val="auto"/>
          <w:szCs w:val="24"/>
          <w:lang w:val="en-US"/>
          <w:highlight w:val="none"/>
        </w:rPr>
      </w:pPr>
      <w:r>
        <w:rPr>
          <w:rFonts w:cs="Times New Roman"/>
          <w:color w:val="auto"/>
          <w:szCs w:val="24"/>
          <w:highlight w:val="none"/>
        </w:rPr>
        <w:t>12.3　Detecting method</w:t>
      </w:r>
      <w:r>
        <w:rPr>
          <w:rStyle w:val="43"/>
          <w:rFonts w:cs="Times New Roman" w:hint="eastAsia"/>
          <w:bCs/>
          <w:color w:val="auto"/>
          <w:szCs w:val="24"/>
          <w:u w:val="none"/>
          <w14:textFill>
            <w14:solidFill>
              <w14:srgbClr w14:val="0000FF"/>
            </w14:solidFill>
          </w14:textFill>
          <w:lang w:val="en-US" w:eastAsia="zh-CN"/>
          <w:highlight w:val="none"/>
        </w:rPr>
        <w:t>...................................................................................................39</w:t>
      </w:r>
    </w:p>
    <w:p>
      <w:pPr>
        <w:snapToGrid w:val="0"/>
        <w:rPr>
          <w:rFonts w:cs="Times New Roman"/>
          <w:color w:val="auto"/>
          <w:szCs w:val="24"/>
          <w:lang w:val="en-US"/>
          <w:highlight w:val="none"/>
        </w:rPr>
      </w:pPr>
      <w:r>
        <w:rPr>
          <w:rFonts w:cs="Times New Roman"/>
          <w:color w:val="auto"/>
          <w:szCs w:val="24"/>
          <w:highlight w:val="none"/>
        </w:rPr>
        <w:t>12.4　Decision criteria</w:t>
      </w:r>
      <w:r>
        <w:rPr>
          <w:rStyle w:val="43"/>
          <w:rFonts w:cs="Times New Roman" w:hint="eastAsia"/>
          <w:bCs/>
          <w:color w:val="auto"/>
          <w:szCs w:val="24"/>
          <w:u w:val="none"/>
          <w14:textFill>
            <w14:solidFill>
              <w14:srgbClr w14:val="0000FF"/>
            </w14:solidFill>
          </w14:textFill>
          <w:lang w:val="en-US" w:eastAsia="zh-CN"/>
          <w:highlight w:val="none"/>
        </w:rPr>
        <w:t>.....................................................................................................41</w:t>
      </w:r>
    </w:p>
    <w:p>
      <w:pPr>
        <w:autoSpaceDE w:val="0"/>
        <w:autoSpaceDN w:val="0"/>
        <w:adjustRightInd w:val="0"/>
        <w:snapToGrid w:val="0"/>
        <w:ind w:firstLineChars="0" w:firstLine="0"/>
        <w:textAlignment w:val="auto"/>
        <w:rPr>
          <w:rFonts w:cs="Times New Roman"/>
          <w:b/>
          <w:bCs/>
          <w:color w:val="auto"/>
          <w:szCs w:val="24"/>
          <w:lang w:val="en-US"/>
          <w:highlight w:val="none"/>
        </w:rPr>
      </w:pPr>
      <w:r>
        <w:rPr>
          <w:rFonts w:cs="Times New Roman"/>
          <w:b/>
          <w:bCs/>
          <w:color w:val="auto"/>
          <w:szCs w:val="24"/>
          <w:highlight w:val="none"/>
        </w:rPr>
        <w:t>13　Impact echo</w:t>
      </w:r>
      <w:r>
        <w:rPr>
          <w:rFonts w:cs="Times New Roman"/>
          <w:color w:val="auto"/>
          <w:highlight w:val="none"/>
        </w:rPr>
        <w:t xml:space="preserve"> </w:t>
      </w:r>
      <w:r>
        <w:rPr>
          <w:rFonts w:cs="Times New Roman"/>
          <w:b/>
          <w:bCs/>
          <w:color w:val="auto"/>
          <w:szCs w:val="24"/>
          <w:highlight w:val="none"/>
        </w:rPr>
        <w:t>method</w:t>
      </w:r>
      <w:r>
        <w:rPr>
          <w:rStyle w:val="43"/>
          <w:rFonts w:cs="Times New Roman" w:hint="eastAsia"/>
          <w:b/>
          <w:color w:val="auto"/>
          <w:szCs w:val="24"/>
          <w:u w:val="none"/>
          <w14:textFill>
            <w14:solidFill>
              <w14:srgbClr w14:val="0000FF"/>
            </w14:solidFill>
          </w14:textFill>
          <w:lang w:val="en-US" w:eastAsia="zh-CN"/>
          <w:highlight w:val="none"/>
        </w:rPr>
        <w:t>........................................................................................................42</w:t>
      </w:r>
    </w:p>
    <w:p>
      <w:pPr>
        <w:snapToGrid w:val="0"/>
        <w:rPr>
          <w:rFonts w:cs="Times New Roman"/>
          <w:color w:val="auto"/>
          <w:szCs w:val="24"/>
          <w:lang w:val="en-US"/>
          <w:highlight w:val="none"/>
        </w:rPr>
      </w:pPr>
      <w:r>
        <w:rPr>
          <w:rFonts w:cs="Times New Roman"/>
          <w:color w:val="auto"/>
          <w:szCs w:val="24"/>
          <w:highlight w:val="none"/>
        </w:rPr>
        <w:t>13.1　General requirements</w:t>
      </w:r>
      <w:r>
        <w:rPr>
          <w:rStyle w:val="43"/>
          <w:rFonts w:cs="Times New Roman" w:hint="eastAsia"/>
          <w:bCs/>
          <w:color w:val="auto"/>
          <w:szCs w:val="24"/>
          <w:u w:val="none"/>
          <w14:textFill>
            <w14:solidFill>
              <w14:srgbClr w14:val="0000FF"/>
            </w14:solidFill>
          </w14:textFill>
          <w:lang w:val="en-US" w:eastAsia="zh-CN"/>
          <w:highlight w:val="none"/>
        </w:rPr>
        <w:t>.............................................................................................42</w:t>
      </w:r>
    </w:p>
    <w:p>
      <w:pPr>
        <w:snapToGrid w:val="0"/>
        <w:rPr>
          <w:rFonts w:cs="Times New Roman"/>
          <w:color w:val="auto"/>
          <w:szCs w:val="24"/>
          <w:lang w:val="en-US"/>
          <w:highlight w:val="none"/>
        </w:rPr>
      </w:pPr>
      <w:r>
        <w:rPr>
          <w:rFonts w:cs="Times New Roman"/>
          <w:color w:val="auto"/>
          <w:szCs w:val="24"/>
          <w:highlight w:val="none"/>
        </w:rPr>
        <w:t>13.2　Detecting equipment</w:t>
      </w:r>
      <w:r>
        <w:rPr>
          <w:rStyle w:val="43"/>
          <w:rFonts w:cs="Times New Roman" w:hint="eastAsia"/>
          <w:bCs/>
          <w:color w:val="auto"/>
          <w:szCs w:val="24"/>
          <w:u w:val="none"/>
          <w14:textFill>
            <w14:solidFill>
              <w14:srgbClr w14:val="0000FF"/>
            </w14:solidFill>
          </w14:textFill>
          <w:lang w:val="en-US" w:eastAsia="zh-CN"/>
          <w:highlight w:val="none"/>
        </w:rPr>
        <w:t>..............................................................................................42</w:t>
      </w:r>
    </w:p>
    <w:p>
      <w:pPr>
        <w:snapToGrid w:val="0"/>
        <w:rPr>
          <w:rFonts w:cs="Times New Roman"/>
          <w:color w:val="auto"/>
          <w:szCs w:val="24"/>
          <w:lang w:val="en-US"/>
          <w:highlight w:val="none"/>
        </w:rPr>
      </w:pPr>
      <w:r>
        <w:rPr>
          <w:rFonts w:cs="Times New Roman"/>
          <w:color w:val="auto"/>
          <w:szCs w:val="24"/>
          <w:highlight w:val="none"/>
        </w:rPr>
        <w:t>13.3　Detecting method</w:t>
      </w:r>
      <w:r>
        <w:rPr>
          <w:rStyle w:val="43"/>
          <w:rFonts w:cs="Times New Roman" w:hint="eastAsia"/>
          <w:bCs/>
          <w:color w:val="auto"/>
          <w:szCs w:val="24"/>
          <w:u w:val="none"/>
          <w14:textFill>
            <w14:solidFill>
              <w14:srgbClr w14:val="0000FF"/>
            </w14:solidFill>
          </w14:textFill>
          <w:lang w:val="en-US" w:eastAsia="zh-CN"/>
          <w:highlight w:val="none"/>
        </w:rPr>
        <w:t>...................................................................................................43</w:t>
      </w:r>
    </w:p>
    <w:p>
      <w:pPr>
        <w:snapToGrid w:val="0"/>
        <w:rPr>
          <w:rFonts w:cs="Times New Roman"/>
          <w:color w:val="auto"/>
          <w:szCs w:val="24"/>
          <w:lang w:val="en-US"/>
          <w:highlight w:val="none"/>
        </w:rPr>
      </w:pPr>
      <w:r>
        <w:rPr>
          <w:rFonts w:cs="Times New Roman"/>
          <w:color w:val="auto"/>
          <w:szCs w:val="24"/>
          <w:highlight w:val="none"/>
        </w:rPr>
        <w:t>13.4　Decision criteria</w:t>
      </w:r>
      <w:r>
        <w:rPr>
          <w:rStyle w:val="43"/>
          <w:rFonts w:cs="Times New Roman" w:hint="eastAsia"/>
          <w:bCs/>
          <w:color w:val="auto"/>
          <w:szCs w:val="24"/>
          <w:u w:val="none"/>
          <w14:textFill>
            <w14:solidFill>
              <w14:srgbClr w14:val="0000FF"/>
            </w14:solidFill>
          </w14:textFill>
          <w:lang w:val="en-US" w:eastAsia="zh-CN"/>
          <w:highlight w:val="none"/>
        </w:rPr>
        <w:t>....................................................................................................44</w:t>
      </w:r>
    </w:p>
    <w:p>
      <w:pPr>
        <w:autoSpaceDE w:val="0"/>
        <w:autoSpaceDN w:val="0"/>
        <w:adjustRightInd w:val="0"/>
        <w:snapToGrid w:val="0"/>
        <w:ind w:firstLineChars="0" w:firstLine="0"/>
        <w:textAlignment w:val="auto"/>
        <w:rPr>
          <w:rFonts w:cs="Times New Roman"/>
          <w:b/>
          <w:bCs/>
          <w:color w:val="auto"/>
          <w:szCs w:val="24"/>
          <w:lang w:val="en-US"/>
          <w:highlight w:val="none"/>
        </w:rPr>
      </w:pPr>
      <w:r>
        <w:rPr>
          <w:rFonts w:cs="Times New Roman"/>
          <w:b/>
          <w:bCs/>
          <w:color w:val="auto"/>
          <w:szCs w:val="24"/>
          <w:highlight w:val="none"/>
        </w:rPr>
        <w:t>14　Back-tensioning method</w:t>
      </w:r>
      <w:r>
        <w:rPr>
          <w:rStyle w:val="43"/>
          <w:rFonts w:cs="Times New Roman" w:hint="eastAsia"/>
          <w:b/>
          <w:color w:val="auto"/>
          <w:szCs w:val="24"/>
          <w:u w:val="none"/>
          <w14:textFill>
            <w14:solidFill>
              <w14:srgbClr w14:val="0000FF"/>
            </w14:solidFill>
          </w14:textFill>
          <w:lang w:val="en-US" w:eastAsia="zh-CN"/>
          <w:highlight w:val="none"/>
        </w:rPr>
        <w:t>.................................................................................................46</w:t>
      </w:r>
    </w:p>
    <w:p>
      <w:pPr>
        <w:snapToGrid w:val="0"/>
        <w:rPr>
          <w:rFonts w:cs="Times New Roman"/>
          <w:color w:val="auto"/>
          <w:szCs w:val="24"/>
          <w:lang w:val="en-US"/>
          <w:highlight w:val="none"/>
        </w:rPr>
      </w:pPr>
      <w:r>
        <w:rPr>
          <w:rFonts w:cs="Times New Roman"/>
          <w:color w:val="auto"/>
          <w:szCs w:val="24"/>
          <w:highlight w:val="none"/>
        </w:rPr>
        <w:t>14.1　General requirements</w:t>
      </w:r>
      <w:r>
        <w:rPr>
          <w:rStyle w:val="43"/>
          <w:rFonts w:cs="Times New Roman" w:hint="eastAsia"/>
          <w:bCs/>
          <w:color w:val="auto"/>
          <w:szCs w:val="24"/>
          <w:u w:val="none"/>
          <w14:textFill>
            <w14:solidFill>
              <w14:srgbClr w14:val="0000FF"/>
            </w14:solidFill>
          </w14:textFill>
          <w:lang w:val="en-US" w:eastAsia="zh-CN"/>
          <w:highlight w:val="none"/>
        </w:rPr>
        <w:t>.............................................................................................46</w:t>
      </w:r>
    </w:p>
    <w:p>
      <w:pPr>
        <w:snapToGrid w:val="0"/>
        <w:rPr>
          <w:rFonts w:cs="Times New Roman"/>
          <w:color w:val="auto"/>
          <w:szCs w:val="24"/>
          <w:lang w:val="en-US"/>
          <w:highlight w:val="none"/>
        </w:rPr>
      </w:pPr>
      <w:r>
        <w:rPr>
          <w:rFonts w:cs="Times New Roman"/>
          <w:color w:val="auto"/>
          <w:szCs w:val="24"/>
          <w:highlight w:val="none"/>
        </w:rPr>
        <w:t>14.2　Detecting equipment</w:t>
      </w:r>
      <w:r>
        <w:rPr>
          <w:rStyle w:val="43"/>
          <w:rFonts w:cs="Times New Roman" w:hint="eastAsia"/>
          <w:bCs/>
          <w:color w:val="auto"/>
          <w:szCs w:val="24"/>
          <w:u w:val="none"/>
          <w14:textFill>
            <w14:solidFill>
              <w14:srgbClr w14:val="0000FF"/>
            </w14:solidFill>
          </w14:textFill>
          <w:lang w:val="en-US" w:eastAsia="zh-CN"/>
          <w:highlight w:val="none"/>
        </w:rPr>
        <w:t>..............................................................................................46</w:t>
      </w:r>
    </w:p>
    <w:p>
      <w:pPr>
        <w:snapToGrid w:val="0"/>
        <w:rPr>
          <w:rFonts w:cs="Times New Roman"/>
          <w:color w:val="auto"/>
          <w:szCs w:val="24"/>
          <w:lang w:val="en-US"/>
          <w:highlight w:val="none"/>
        </w:rPr>
      </w:pPr>
      <w:r>
        <w:rPr>
          <w:rFonts w:cs="Times New Roman"/>
          <w:color w:val="auto"/>
          <w:szCs w:val="24"/>
          <w:highlight w:val="none"/>
        </w:rPr>
        <w:t>14.3　Detecting method</w:t>
      </w:r>
      <w:r>
        <w:rPr>
          <w:rStyle w:val="43"/>
          <w:rFonts w:cs="Times New Roman" w:hint="eastAsia"/>
          <w:bCs/>
          <w:color w:val="auto"/>
          <w:szCs w:val="24"/>
          <w:u w:val="none"/>
          <w14:textFill>
            <w14:solidFill>
              <w14:srgbClr w14:val="0000FF"/>
            </w14:solidFill>
          </w14:textFill>
          <w:lang w:val="en-US" w:eastAsia="zh-CN"/>
          <w:highlight w:val="none"/>
        </w:rPr>
        <w:t>...................................................................................................47</w:t>
      </w:r>
    </w:p>
    <w:p>
      <w:pPr>
        <w:snapToGrid w:val="0"/>
        <w:rPr>
          <w:rFonts w:cs="Times New Roman"/>
          <w:color w:val="auto"/>
          <w:szCs w:val="24"/>
          <w:lang w:val="en-US"/>
          <w:highlight w:val="none"/>
        </w:rPr>
      </w:pPr>
      <w:r>
        <w:rPr>
          <w:rFonts w:cs="Times New Roman"/>
          <w:color w:val="auto"/>
          <w:szCs w:val="24"/>
          <w:highlight w:val="none"/>
        </w:rPr>
        <w:t>14.4　Decision criteria</w:t>
      </w:r>
      <w:r>
        <w:rPr>
          <w:rStyle w:val="43"/>
          <w:rFonts w:cs="Times New Roman" w:hint="eastAsia"/>
          <w:bCs/>
          <w:color w:val="auto"/>
          <w:szCs w:val="24"/>
          <w:u w:val="none"/>
          <w14:textFill>
            <w14:solidFill>
              <w14:srgbClr w14:val="0000FF"/>
            </w14:solidFill>
          </w14:textFill>
          <w:lang w:val="en-US" w:eastAsia="zh-CN"/>
          <w:highlight w:val="none"/>
        </w:rPr>
        <w:t>.....................................................................................................48</w:t>
      </w:r>
    </w:p>
    <w:p>
      <w:pPr>
        <w:autoSpaceDE w:val="0"/>
        <w:autoSpaceDN w:val="0"/>
        <w:adjustRightInd w:val="0"/>
        <w:snapToGrid w:val="0"/>
        <w:ind w:firstLineChars="0" w:firstLine="0"/>
        <w:textAlignment w:val="auto"/>
        <w:rPr>
          <w:rFonts w:cs="Times New Roman"/>
          <w:b/>
          <w:bCs/>
          <w:color w:val="auto"/>
          <w:szCs w:val="24"/>
          <w:lang w:val="en-US"/>
          <w:highlight w:val="none"/>
        </w:rPr>
      </w:pPr>
      <w:r>
        <w:rPr>
          <w:rFonts w:cs="Times New Roman" w:hint="eastAsia"/>
          <w:b/>
          <w:bCs/>
          <w:color w:val="auto"/>
          <w:szCs w:val="24"/>
          <w:lang w:val="en-US" w:eastAsia="zh-CN"/>
          <w:highlight w:val="none"/>
        </w:rPr>
        <w:t xml:space="preserve">15  </w:t>
      </w:r>
      <w:r>
        <w:rPr>
          <w:rFonts w:cs="Times New Roman" w:hint="eastAsia"/>
          <w:b/>
          <w:bCs/>
          <w:color w:val="auto"/>
          <w:szCs w:val="24"/>
          <w:highlight w:val="none"/>
        </w:rPr>
        <w:t>water washing method</w:t>
      </w:r>
      <w:r>
        <w:rPr>
          <w:rStyle w:val="43"/>
          <w:rFonts w:cs="Times New Roman" w:hint="eastAsia"/>
          <w:b/>
          <w:color w:val="auto"/>
          <w:szCs w:val="24"/>
          <w:u w:val="none"/>
          <w14:textFill>
            <w14:solidFill>
              <w14:srgbClr w14:val="0000FF"/>
            </w14:solidFill>
          </w14:textFill>
          <w:lang w:val="en-US" w:eastAsia="zh-CN"/>
          <w:highlight w:val="none"/>
        </w:rPr>
        <w:t>...................................................................................................52</w:t>
      </w:r>
    </w:p>
    <w:p>
      <w:pPr>
        <w:snapToGrid w:val="0"/>
        <w:rPr>
          <w:rFonts w:cs="Times New Roman"/>
          <w:color w:val="auto"/>
          <w:szCs w:val="24"/>
          <w:lang w:val="en-US"/>
          <w:highlight w:val="none"/>
        </w:rPr>
      </w:pPr>
      <w:r>
        <w:rPr>
          <w:rFonts w:cs="Times New Roman"/>
          <w:color w:val="auto"/>
          <w:szCs w:val="24"/>
          <w:highlight w:val="none"/>
        </w:rPr>
        <w:t>15.1　General requirements</w:t>
      </w:r>
      <w:r>
        <w:rPr>
          <w:rStyle w:val="43"/>
          <w:rFonts w:cs="Times New Roman" w:hint="eastAsia"/>
          <w:bCs/>
          <w:color w:val="auto"/>
          <w:szCs w:val="24"/>
          <w:u w:val="none"/>
          <w14:textFill>
            <w14:solidFill>
              <w14:srgbClr w14:val="0000FF"/>
            </w14:solidFill>
          </w14:textFill>
          <w:lang w:val="en-US" w:eastAsia="zh-CN"/>
          <w:highlight w:val="none"/>
        </w:rPr>
        <w:t>...........................................................................................52</w:t>
      </w:r>
    </w:p>
    <w:p>
      <w:pPr>
        <w:snapToGrid w:val="0"/>
        <w:rPr>
          <w:rFonts w:cs="Times New Roman"/>
          <w:color w:val="auto"/>
          <w:szCs w:val="24"/>
          <w:lang w:val="en-US"/>
          <w:highlight w:val="none"/>
        </w:rPr>
      </w:pPr>
      <w:r>
        <w:rPr>
          <w:rFonts w:cs="Times New Roman"/>
          <w:color w:val="auto"/>
          <w:szCs w:val="24"/>
          <w:highlight w:val="none"/>
        </w:rPr>
        <w:t>15.2　Detecting equipment</w:t>
      </w:r>
      <w:r>
        <w:rPr>
          <w:rStyle w:val="43"/>
          <w:rFonts w:cs="Times New Roman" w:hint="eastAsia"/>
          <w:bCs/>
          <w:color w:val="auto"/>
          <w:szCs w:val="24"/>
          <w:u w:val="none"/>
          <w14:textFill>
            <w14:solidFill>
              <w14:srgbClr w14:val="0000FF"/>
            </w14:solidFill>
          </w14:textFill>
          <w:lang w:val="en-US" w:eastAsia="zh-CN"/>
          <w:highlight w:val="none"/>
        </w:rPr>
        <w:t>............................................................................................52</w:t>
      </w:r>
    </w:p>
    <w:p>
      <w:pPr>
        <w:snapToGrid w:val="0"/>
        <w:rPr>
          <w:rFonts w:cs="Times New Roman"/>
          <w:color w:val="auto"/>
          <w:szCs w:val="24"/>
          <w:lang w:val="en-US"/>
          <w:highlight w:val="none"/>
        </w:rPr>
      </w:pPr>
      <w:r>
        <w:rPr>
          <w:rFonts w:cs="Times New Roman"/>
          <w:color w:val="auto"/>
          <w:szCs w:val="24"/>
          <w:highlight w:val="none"/>
        </w:rPr>
        <w:t>15.3　Detecting method</w:t>
      </w:r>
      <w:r>
        <w:rPr>
          <w:rStyle w:val="43"/>
          <w:rFonts w:cs="Times New Roman" w:hint="eastAsia"/>
          <w:bCs/>
          <w:color w:val="auto"/>
          <w:szCs w:val="24"/>
          <w:u w:val="none"/>
          <w14:textFill>
            <w14:solidFill>
              <w14:srgbClr w14:val="0000FF"/>
            </w14:solidFill>
          </w14:textFill>
          <w:lang w:val="en-US" w:eastAsia="zh-CN"/>
          <w:highlight w:val="none"/>
        </w:rPr>
        <w:t>.................................................................................................52</w:t>
      </w:r>
    </w:p>
    <w:p>
      <w:pPr>
        <w:snapToGrid w:val="0"/>
        <w:rPr>
          <w:rFonts w:cs="Times New Roman"/>
          <w:color w:val="auto"/>
          <w:szCs w:val="24"/>
          <w:lang w:val="en-US"/>
          <w:highlight w:val="none"/>
        </w:rPr>
      </w:pPr>
      <w:r>
        <w:rPr>
          <w:rFonts w:cs="Times New Roman"/>
          <w:color w:val="auto"/>
          <w:szCs w:val="24"/>
          <w:highlight w:val="none"/>
        </w:rPr>
        <w:t>15.4　Decision criteria</w:t>
      </w:r>
      <w:r>
        <w:rPr>
          <w:rStyle w:val="43"/>
          <w:rFonts w:cs="Times New Roman" w:hint="eastAsia"/>
          <w:bCs/>
          <w:color w:val="auto"/>
          <w:szCs w:val="24"/>
          <w:u w:val="none"/>
          <w14:textFill>
            <w14:solidFill>
              <w14:srgbClr w14:val="0000FF"/>
            </w14:solidFill>
          </w14:textFill>
          <w:lang w:val="en-US" w:eastAsia="zh-CN"/>
          <w:highlight w:val="none"/>
        </w:rPr>
        <w:t>...................................................................................................53</w:t>
      </w:r>
    </w:p>
    <w:p>
      <w:pPr>
        <w:autoSpaceDE w:val="0"/>
        <w:autoSpaceDN w:val="0"/>
        <w:adjustRightInd w:val="0"/>
        <w:snapToGrid w:val="0"/>
        <w:ind w:firstLineChars="0" w:firstLine="0"/>
        <w:textAlignment w:val="auto"/>
        <w:rPr>
          <w:rFonts w:cs="Times New Roman"/>
          <w:b/>
          <w:bCs/>
          <w:color w:val="auto"/>
          <w:szCs w:val="24"/>
          <w:highlight w:val="none"/>
        </w:rPr>
      </w:pPr>
    </w:p>
    <w:p>
      <w:pPr>
        <w:autoSpaceDE w:val="0"/>
        <w:autoSpaceDN w:val="0"/>
        <w:adjustRightInd w:val="0"/>
        <w:snapToGrid w:val="0"/>
        <w:ind w:firstLineChars="0" w:firstLine="0"/>
        <w:textAlignment w:val="auto"/>
        <w:rPr>
          <w:rFonts w:cs="Times New Roman"/>
          <w:b/>
          <w:bCs/>
          <w:color w:val="auto"/>
          <w:szCs w:val="24"/>
          <w:lang w:val="en-US"/>
          <w:highlight w:val="none"/>
        </w:rPr>
      </w:pPr>
      <w:r>
        <w:rPr>
          <w:rFonts w:cs="Times New Roman"/>
          <w:b/>
          <w:bCs/>
          <w:color w:val="auto"/>
          <w:szCs w:val="24"/>
          <w:highlight w:val="none"/>
        </w:rPr>
        <w:t>1</w:t>
      </w:r>
      <w:r>
        <w:rPr>
          <w:rFonts w:cs="Times New Roman" w:hint="eastAsia"/>
          <w:b/>
          <w:bCs/>
          <w:color w:val="auto"/>
          <w:szCs w:val="24"/>
          <w:lang w:val="en-US" w:eastAsia="zh-CN"/>
          <w:highlight w:val="none"/>
        </w:rPr>
        <w:t>6</w:t>
      </w:r>
      <w:r>
        <w:rPr>
          <w:rFonts w:cs="Times New Roman"/>
          <w:b/>
          <w:bCs/>
          <w:color w:val="auto"/>
          <w:szCs w:val="24"/>
          <w:highlight w:val="none"/>
        </w:rPr>
        <w:t>　</w:t>
      </w:r>
      <w:r>
        <w:rPr>
          <w:rFonts w:cs="Times New Roman" w:hint="eastAsia"/>
          <w:b/>
          <w:bCs/>
          <w:color w:val="auto"/>
          <w:szCs w:val="24"/>
          <w:highlight w:val="none"/>
        </w:rPr>
        <w:t>N</w:t>
      </w:r>
      <w:r>
        <w:rPr>
          <w:rFonts w:cs="Times New Roman"/>
          <w:b/>
          <w:bCs/>
          <w:color w:val="auto"/>
          <w:szCs w:val="24"/>
          <w:highlight w:val="none"/>
        </w:rPr>
        <w:t>ail Shooting method</w:t>
      </w:r>
      <w:r>
        <w:rPr>
          <w:rStyle w:val="43"/>
          <w:rFonts w:cs="Times New Roman" w:hint="eastAsia"/>
          <w:b/>
          <w:color w:val="auto"/>
          <w:szCs w:val="24"/>
          <w:u w:val="none"/>
          <w14:textFill>
            <w14:solidFill>
              <w14:srgbClr w14:val="0000FF"/>
            </w14:solidFill>
          </w14:textFill>
          <w:lang w:val="en-US" w:eastAsia="zh-CN"/>
          <w:highlight w:val="none"/>
        </w:rPr>
        <w:t>......................................................................................................54</w:t>
      </w:r>
    </w:p>
    <w:p>
      <w:pPr>
        <w:snapToGrid w:val="0"/>
        <w:rPr>
          <w:rFonts w:cs="Times New Roman"/>
          <w:color w:val="auto"/>
          <w:szCs w:val="24"/>
          <w:lang w:val="en-US"/>
          <w:highlight w:val="none"/>
        </w:rPr>
      </w:pPr>
      <w:r>
        <w:rPr>
          <w:rFonts w:cs="Times New Roman"/>
          <w:color w:val="auto"/>
          <w:szCs w:val="24"/>
          <w:highlight w:val="none"/>
        </w:rPr>
        <w:t>1</w:t>
      </w:r>
      <w:r>
        <w:rPr>
          <w:rFonts w:cs="Times New Roman" w:hint="eastAsia"/>
          <w:color w:val="auto"/>
          <w:szCs w:val="24"/>
          <w:lang w:val="en-US" w:eastAsia="zh-CN"/>
          <w:highlight w:val="none"/>
        </w:rPr>
        <w:t>6</w:t>
      </w:r>
      <w:r>
        <w:rPr>
          <w:rFonts w:cs="Times New Roman"/>
          <w:color w:val="auto"/>
          <w:szCs w:val="24"/>
          <w:highlight w:val="none"/>
        </w:rPr>
        <w:t>.1　General requirements</w:t>
      </w:r>
      <w:r>
        <w:rPr>
          <w:rStyle w:val="43"/>
          <w:rFonts w:cs="Times New Roman" w:hint="eastAsia"/>
          <w:bCs/>
          <w:color w:val="auto"/>
          <w:szCs w:val="24"/>
          <w:u w:val="none"/>
          <w14:textFill>
            <w14:solidFill>
              <w14:srgbClr w14:val="0000FF"/>
            </w14:solidFill>
          </w14:textFill>
          <w:lang w:val="en-US" w:eastAsia="zh-CN"/>
          <w:highlight w:val="none"/>
        </w:rPr>
        <w:t>.............................................................................................54</w:t>
      </w:r>
    </w:p>
    <w:p>
      <w:pPr>
        <w:snapToGrid w:val="0"/>
        <w:rPr>
          <w:rStyle w:val="43"/>
          <w:rFonts w:cs="Times New Roman" w:hint="eastAsia"/>
          <w:bCs/>
          <w:color w:val="auto"/>
          <w:szCs w:val="24"/>
          <w:u w:val="none"/>
          <w14:textFill>
            <w14:solidFill>
              <w14:srgbClr w14:val="0000FF"/>
            </w14:solidFill>
          </w14:textFill>
          <w:lang w:val="en-US" w:eastAsia="zh-CN"/>
          <w:highlight w:val="none"/>
        </w:rPr>
      </w:pPr>
      <w:r>
        <w:rPr>
          <w:rFonts w:cs="Times New Roman"/>
          <w:color w:val="auto"/>
          <w:szCs w:val="24"/>
          <w:highlight w:val="none"/>
        </w:rPr>
        <w:t>1</w:t>
      </w:r>
      <w:r>
        <w:rPr>
          <w:rFonts w:cs="Times New Roman" w:hint="eastAsia"/>
          <w:color w:val="auto"/>
          <w:szCs w:val="24"/>
          <w:lang w:val="en-US" w:eastAsia="zh-CN"/>
          <w:highlight w:val="none"/>
        </w:rPr>
        <w:t>6</w:t>
      </w:r>
      <w:r>
        <w:rPr>
          <w:rFonts w:cs="Times New Roman"/>
          <w:color w:val="auto"/>
          <w:szCs w:val="24"/>
          <w:highlight w:val="none"/>
        </w:rPr>
        <w:t>.2　Detecting equipment</w:t>
      </w:r>
      <w:r>
        <w:rPr>
          <w:rStyle w:val="43"/>
          <w:rFonts w:cs="Times New Roman" w:hint="eastAsia"/>
          <w:bCs/>
          <w:color w:val="auto"/>
          <w:szCs w:val="24"/>
          <w:u w:val="none"/>
          <w14:textFill>
            <w14:solidFill>
              <w14:srgbClr w14:val="0000FF"/>
            </w14:solidFill>
          </w14:textFill>
          <w:lang w:val="en-US" w:eastAsia="zh-CN"/>
          <w:highlight w:val="none"/>
        </w:rPr>
        <w:t>..............................................................................................54</w:t>
      </w:r>
    </w:p>
    <w:p>
      <w:pPr>
        <w:snapToGrid w:val="0"/>
        <w:rPr>
          <w:rFonts w:cs="Times New Roman"/>
          <w:color w:val="auto"/>
          <w:szCs w:val="24"/>
          <w:lang w:val="en-US"/>
          <w:highlight w:val="none"/>
        </w:rPr>
      </w:pPr>
      <w:r>
        <w:rPr>
          <w:rFonts w:cs="Times New Roman"/>
          <w:color w:val="auto"/>
          <w:szCs w:val="24"/>
          <w:highlight w:val="none"/>
        </w:rPr>
        <w:t>1</w:t>
      </w:r>
      <w:r>
        <w:rPr>
          <w:rFonts w:cs="Times New Roman" w:hint="eastAsia"/>
          <w:color w:val="auto"/>
          <w:szCs w:val="24"/>
          <w:lang w:val="en-US" w:eastAsia="zh-CN"/>
          <w:highlight w:val="none"/>
        </w:rPr>
        <w:t>6</w:t>
      </w:r>
      <w:r>
        <w:rPr>
          <w:rFonts w:cs="Times New Roman"/>
          <w:color w:val="auto"/>
          <w:szCs w:val="24"/>
          <w:highlight w:val="none"/>
        </w:rPr>
        <w:t>.3　Detecting method</w:t>
      </w:r>
      <w:r>
        <w:rPr>
          <w:rStyle w:val="43"/>
          <w:rFonts w:cs="Times New Roman" w:hint="eastAsia"/>
          <w:bCs/>
          <w:color w:val="auto"/>
          <w:szCs w:val="24"/>
          <w:u w:val="none"/>
          <w14:textFill>
            <w14:solidFill>
              <w14:srgbClr w14:val="0000FF"/>
            </w14:solidFill>
          </w14:textFill>
          <w:lang w:val="en-US" w:eastAsia="zh-CN"/>
          <w:highlight w:val="none"/>
        </w:rPr>
        <w:t>...................................................................................................54</w:t>
      </w:r>
    </w:p>
    <w:p>
      <w:pPr>
        <w:snapToGrid w:val="0"/>
        <w:rPr>
          <w:rFonts w:cs="Times New Roman"/>
          <w:color w:val="auto"/>
          <w:szCs w:val="24"/>
          <w:lang w:val="en-US"/>
          <w:highlight w:val="none"/>
        </w:rPr>
      </w:pPr>
      <w:r>
        <w:rPr>
          <w:rFonts w:cs="Times New Roman"/>
          <w:color w:val="auto"/>
          <w:szCs w:val="24"/>
          <w:highlight w:val="none"/>
        </w:rPr>
        <w:t>1</w:t>
      </w:r>
      <w:r>
        <w:rPr>
          <w:rFonts w:cs="Times New Roman" w:hint="eastAsia"/>
          <w:color w:val="auto"/>
          <w:szCs w:val="24"/>
          <w:lang w:val="en-US" w:eastAsia="zh-CN"/>
          <w:highlight w:val="none"/>
        </w:rPr>
        <w:t>6</w:t>
      </w:r>
      <w:r>
        <w:rPr>
          <w:rFonts w:cs="Times New Roman"/>
          <w:color w:val="auto"/>
          <w:szCs w:val="24"/>
          <w:highlight w:val="none"/>
        </w:rPr>
        <w:t>.4　Decision criteria</w:t>
      </w:r>
      <w:r>
        <w:rPr>
          <w:rStyle w:val="43"/>
          <w:rFonts w:cs="Times New Roman" w:hint="eastAsia"/>
          <w:bCs/>
          <w:color w:val="auto"/>
          <w:szCs w:val="24"/>
          <w:u w:val="none"/>
          <w14:textFill>
            <w14:solidFill>
              <w14:srgbClr w14:val="0000FF"/>
            </w14:solidFill>
          </w14:textFill>
          <w:lang w:val="en-US" w:eastAsia="zh-CN"/>
          <w:highlight w:val="none"/>
        </w:rPr>
        <w:t>.....................................................................................................57</w:t>
      </w:r>
    </w:p>
    <w:p>
      <w:pPr>
        <w:autoSpaceDE w:val="0"/>
        <w:autoSpaceDN w:val="0"/>
        <w:adjustRightInd w:val="0"/>
        <w:snapToGrid w:val="0"/>
        <w:ind w:firstLineChars="0" w:firstLine="0"/>
        <w:textAlignment w:val="auto"/>
        <w:rPr>
          <w:rFonts w:cs="Times New Roman"/>
          <w:b/>
          <w:bCs/>
          <w:color w:val="auto"/>
          <w:szCs w:val="24"/>
          <w:lang w:val="en-US"/>
          <w:highlight w:val="none"/>
        </w:rPr>
      </w:pPr>
      <w:r>
        <w:rPr>
          <w:rFonts w:cs="Times New Roman"/>
          <w:b/>
          <w:bCs/>
          <w:color w:val="auto"/>
          <w:szCs w:val="24"/>
          <w:highlight w:val="none"/>
        </w:rPr>
        <w:t>1</w:t>
      </w:r>
      <w:r>
        <w:rPr>
          <w:rFonts w:cs="Times New Roman" w:hint="eastAsia"/>
          <w:b/>
          <w:bCs/>
          <w:color w:val="auto"/>
          <w:szCs w:val="24"/>
          <w:lang w:val="en-US" w:eastAsia="zh-CN"/>
          <w:highlight w:val="none"/>
        </w:rPr>
        <w:t>7</w:t>
      </w:r>
      <w:r>
        <w:rPr>
          <w:rFonts w:cs="Times New Roman"/>
          <w:b/>
          <w:bCs/>
          <w:color w:val="auto"/>
          <w:szCs w:val="24"/>
          <w:highlight w:val="none"/>
        </w:rPr>
        <w:t>　Detecting method for connection used in steel structure</w:t>
      </w:r>
      <w:r>
        <w:rPr>
          <w:rStyle w:val="43"/>
          <w:rFonts w:cs="Times New Roman" w:hint="eastAsia"/>
          <w:b/>
          <w:color w:val="auto"/>
          <w:szCs w:val="24"/>
          <w:u w:val="none"/>
          <w14:textFill>
            <w14:solidFill>
              <w14:srgbClr w14:val="0000FF"/>
            </w14:solidFill>
          </w14:textFill>
          <w:lang w:val="en-US" w:eastAsia="zh-CN"/>
          <w:highlight w:val="none"/>
        </w:rPr>
        <w:t>.............................................58</w:t>
      </w:r>
    </w:p>
    <w:p>
      <w:pPr>
        <w:snapToGrid w:val="0"/>
        <w:rPr>
          <w:rFonts w:cs="Times New Roman"/>
          <w:color w:val="auto"/>
          <w:szCs w:val="24"/>
          <w:lang w:val="en-US"/>
          <w:highlight w:val="none"/>
        </w:rPr>
      </w:pPr>
      <w:r>
        <w:rPr>
          <w:rFonts w:cs="Times New Roman"/>
          <w:color w:val="auto"/>
          <w:szCs w:val="24"/>
          <w:highlight w:val="none"/>
        </w:rPr>
        <w:t>1</w:t>
      </w:r>
      <w:r>
        <w:rPr>
          <w:rFonts w:cs="Times New Roman" w:hint="eastAsia"/>
          <w:color w:val="auto"/>
          <w:szCs w:val="24"/>
          <w:lang w:val="en-US" w:eastAsia="zh-CN"/>
          <w:highlight w:val="none"/>
        </w:rPr>
        <w:t>7</w:t>
      </w:r>
      <w:r>
        <w:rPr>
          <w:rFonts w:cs="Times New Roman"/>
          <w:color w:val="auto"/>
          <w:szCs w:val="24"/>
          <w:highlight w:val="none"/>
        </w:rPr>
        <w:t>.1　General requirements</w:t>
      </w:r>
      <w:r>
        <w:rPr>
          <w:rStyle w:val="43"/>
          <w:rFonts w:cs="Times New Roman" w:hint="eastAsia"/>
          <w:bCs/>
          <w:color w:val="auto"/>
          <w:szCs w:val="24"/>
          <w:u w:val="none"/>
          <w14:textFill>
            <w14:solidFill>
              <w14:srgbClr w14:val="0000FF"/>
            </w14:solidFill>
          </w14:textFill>
          <w:lang w:val="en-US" w:eastAsia="zh-CN"/>
          <w:highlight w:val="none"/>
        </w:rPr>
        <w:t>.............................................................................................58</w:t>
      </w:r>
    </w:p>
    <w:p>
      <w:pPr>
        <w:snapToGrid w:val="0"/>
        <w:rPr>
          <w:rFonts w:cs="Times New Roman"/>
          <w:color w:val="auto"/>
          <w:szCs w:val="24"/>
          <w:lang w:val="en-US"/>
          <w:highlight w:val="none"/>
        </w:rPr>
      </w:pPr>
      <w:r>
        <w:rPr>
          <w:rFonts w:cs="Times New Roman"/>
          <w:color w:val="auto"/>
          <w:szCs w:val="24"/>
          <w:highlight w:val="none"/>
        </w:rPr>
        <w:t>1</w:t>
      </w:r>
      <w:r>
        <w:rPr>
          <w:rFonts w:cs="Times New Roman" w:hint="eastAsia"/>
          <w:color w:val="auto"/>
          <w:szCs w:val="24"/>
          <w:lang w:val="en-US" w:eastAsia="zh-CN"/>
          <w:highlight w:val="none"/>
        </w:rPr>
        <w:t>7</w:t>
      </w:r>
      <w:r>
        <w:rPr>
          <w:rFonts w:cs="Times New Roman"/>
          <w:color w:val="auto"/>
          <w:szCs w:val="24"/>
          <w:highlight w:val="none"/>
        </w:rPr>
        <w:t>.2　Ultrasonic</w:t>
      </w:r>
      <w:r>
        <w:rPr>
          <w:rFonts w:cs="Times New Roman"/>
          <w:color w:val="auto"/>
          <w:highlight w:val="none"/>
        </w:rPr>
        <w:t xml:space="preserve"> method</w:t>
      </w:r>
      <w:r>
        <w:rPr>
          <w:rStyle w:val="43"/>
          <w:rFonts w:cs="Times New Roman" w:hint="eastAsia"/>
          <w:bCs/>
          <w:color w:val="auto"/>
          <w:szCs w:val="24"/>
          <w:u w:val="none"/>
          <w14:textFill>
            <w14:solidFill>
              <w14:srgbClr w14:val="0000FF"/>
            </w14:solidFill>
          </w14:textFill>
          <w:lang w:val="en-US" w:eastAsia="zh-CN"/>
          <w:highlight w:val="none"/>
        </w:rPr>
        <w:t>..................................................................................................58</w:t>
      </w:r>
    </w:p>
    <w:p>
      <w:pPr>
        <w:snapToGrid w:val="0"/>
        <w:rPr>
          <w:rFonts w:cs="Times New Roman"/>
          <w:color w:val="auto"/>
          <w:szCs w:val="24"/>
          <w:lang w:val="en-US"/>
          <w:highlight w:val="none"/>
        </w:rPr>
      </w:pPr>
      <w:r>
        <w:rPr>
          <w:rFonts w:cs="Times New Roman"/>
          <w:color w:val="auto"/>
          <w:szCs w:val="24"/>
          <w:highlight w:val="none"/>
        </w:rPr>
        <w:t>1</w:t>
      </w:r>
      <w:r>
        <w:rPr>
          <w:rFonts w:cs="Times New Roman" w:hint="eastAsia"/>
          <w:color w:val="auto"/>
          <w:szCs w:val="24"/>
          <w:lang w:val="en-US" w:eastAsia="zh-CN"/>
          <w:highlight w:val="none"/>
        </w:rPr>
        <w:t>7</w:t>
      </w:r>
      <w:r>
        <w:rPr>
          <w:rFonts w:cs="Times New Roman"/>
          <w:color w:val="auto"/>
          <w:szCs w:val="24"/>
          <w:highlight w:val="none"/>
        </w:rPr>
        <w:t>.3　Ray</w:t>
      </w:r>
      <w:r>
        <w:rPr>
          <w:rFonts w:cs="Times New Roman"/>
          <w:color w:val="auto"/>
          <w:highlight w:val="none"/>
        </w:rPr>
        <w:t xml:space="preserve"> method</w:t>
      </w:r>
      <w:r>
        <w:rPr>
          <w:rStyle w:val="43"/>
          <w:rFonts w:cs="Times New Roman" w:hint="eastAsia"/>
          <w:bCs/>
          <w:color w:val="auto"/>
          <w:szCs w:val="24"/>
          <w:u w:val="none"/>
          <w14:textFill>
            <w14:solidFill>
              <w14:srgbClr w14:val="0000FF"/>
            </w14:solidFill>
          </w14:textFill>
          <w:lang w:val="en-US" w:eastAsia="zh-CN"/>
          <w:highlight w:val="none"/>
        </w:rPr>
        <w:t>............................................................................................................59</w:t>
      </w:r>
    </w:p>
    <w:p>
      <w:pPr>
        <w:snapToGrid w:val="0"/>
        <w:rPr>
          <w:rFonts w:cs="Times New Roman"/>
          <w:color w:val="auto"/>
          <w:szCs w:val="24"/>
          <w:lang w:val="en-US"/>
          <w:highlight w:val="none"/>
        </w:rPr>
      </w:pPr>
      <w:r>
        <w:rPr>
          <w:rFonts w:cs="Times New Roman"/>
          <w:color w:val="auto"/>
          <w:szCs w:val="24"/>
          <w:highlight w:val="none"/>
        </w:rPr>
        <w:t>1</w:t>
      </w:r>
      <w:r>
        <w:rPr>
          <w:rFonts w:cs="Times New Roman" w:hint="eastAsia"/>
          <w:color w:val="auto"/>
          <w:szCs w:val="24"/>
          <w:lang w:val="en-US" w:eastAsia="zh-CN"/>
          <w:highlight w:val="none"/>
        </w:rPr>
        <w:t>7</w:t>
      </w:r>
      <w:r>
        <w:rPr>
          <w:rFonts w:cs="Times New Roman"/>
          <w:color w:val="auto"/>
          <w:szCs w:val="24"/>
          <w:highlight w:val="none"/>
        </w:rPr>
        <w:t>.4　Magnetic particle</w:t>
      </w:r>
      <w:r>
        <w:rPr>
          <w:rFonts w:cs="Times New Roman"/>
          <w:color w:val="auto"/>
          <w:highlight w:val="none"/>
        </w:rPr>
        <w:t xml:space="preserve"> method</w:t>
      </w:r>
      <w:r>
        <w:rPr>
          <w:rStyle w:val="43"/>
          <w:rFonts w:cs="Times New Roman" w:hint="eastAsia"/>
          <w:bCs/>
          <w:color w:val="auto"/>
          <w:szCs w:val="24"/>
          <w:u w:val="none"/>
          <w14:textFill>
            <w14:solidFill>
              <w14:srgbClr w14:val="0000FF"/>
            </w14:solidFill>
          </w14:textFill>
          <w:lang w:val="en-US" w:eastAsia="zh-CN"/>
          <w:highlight w:val="none"/>
        </w:rPr>
        <w:t>.......................................................................................60</w:t>
      </w:r>
    </w:p>
    <w:p>
      <w:pPr>
        <w:snapToGrid w:val="0"/>
        <w:rPr>
          <w:rFonts w:cs="Times New Roman"/>
          <w:color w:val="auto"/>
          <w:szCs w:val="24"/>
          <w:lang w:val="en-US"/>
          <w:highlight w:val="none"/>
        </w:rPr>
      </w:pPr>
      <w:r>
        <w:rPr>
          <w:rFonts w:cs="Times New Roman"/>
          <w:color w:val="auto"/>
          <w:szCs w:val="24"/>
          <w:highlight w:val="none"/>
        </w:rPr>
        <w:t>1</w:t>
      </w:r>
      <w:r>
        <w:rPr>
          <w:rFonts w:cs="Times New Roman" w:hint="eastAsia"/>
          <w:color w:val="auto"/>
          <w:szCs w:val="24"/>
          <w:lang w:val="en-US" w:eastAsia="zh-CN"/>
          <w:highlight w:val="none"/>
        </w:rPr>
        <w:t>7</w:t>
      </w:r>
      <w:r>
        <w:rPr>
          <w:rFonts w:cs="Times New Roman"/>
          <w:color w:val="auto"/>
          <w:szCs w:val="24"/>
          <w:highlight w:val="none"/>
        </w:rPr>
        <w:t>.5　Infiltration</w:t>
      </w:r>
      <w:r>
        <w:rPr>
          <w:rFonts w:cs="Times New Roman"/>
          <w:color w:val="auto"/>
          <w:highlight w:val="none"/>
        </w:rPr>
        <w:t xml:space="preserve"> method</w:t>
      </w:r>
      <w:r>
        <w:rPr>
          <w:rStyle w:val="43"/>
          <w:rFonts w:cs="Times New Roman" w:hint="eastAsia"/>
          <w:bCs/>
          <w:color w:val="auto"/>
          <w:szCs w:val="24"/>
          <w:u w:val="none"/>
          <w14:textFill>
            <w14:solidFill>
              <w14:srgbClr w14:val="0000FF"/>
            </w14:solidFill>
          </w14:textFill>
          <w:lang w:val="en-US" w:eastAsia="zh-CN"/>
          <w:highlight w:val="none"/>
        </w:rPr>
        <w:t>.................................................................................................60</w:t>
      </w:r>
    </w:p>
    <w:p>
      <w:pPr>
        <w:snapToGrid w:val="0"/>
        <w:rPr>
          <w:rFonts w:cs="Times New Roman"/>
          <w:color w:val="auto"/>
          <w:szCs w:val="24"/>
          <w:lang w:val="en-US"/>
          <w:highlight w:val="none"/>
        </w:rPr>
      </w:pPr>
      <w:r>
        <w:rPr>
          <w:rFonts w:cs="Times New Roman"/>
          <w:color w:val="auto"/>
          <w:szCs w:val="24"/>
          <w:highlight w:val="none"/>
        </w:rPr>
        <w:t>1</w:t>
      </w:r>
      <w:r>
        <w:rPr>
          <w:rFonts w:cs="Times New Roman" w:hint="eastAsia"/>
          <w:color w:val="auto"/>
          <w:szCs w:val="24"/>
          <w:lang w:val="en-US" w:eastAsia="zh-CN"/>
          <w:highlight w:val="none"/>
        </w:rPr>
        <w:t>7</w:t>
      </w:r>
      <w:r>
        <w:rPr>
          <w:rFonts w:cs="Times New Roman"/>
          <w:color w:val="auto"/>
          <w:szCs w:val="24"/>
          <w:highlight w:val="none"/>
        </w:rPr>
        <w:t>.6　Ultrasonic phased array testing</w:t>
      </w:r>
      <w:r>
        <w:rPr>
          <w:rFonts w:cs="Times New Roman"/>
          <w:color w:val="auto"/>
          <w:highlight w:val="none"/>
        </w:rPr>
        <w:t xml:space="preserve"> method</w:t>
      </w:r>
      <w:r>
        <w:rPr>
          <w:rStyle w:val="43"/>
          <w:rFonts w:cs="Times New Roman" w:hint="eastAsia"/>
          <w:bCs/>
          <w:color w:val="auto"/>
          <w:szCs w:val="24"/>
          <w:u w:val="none"/>
          <w14:textFill>
            <w14:solidFill>
              <w14:srgbClr w14:val="0000FF"/>
            </w14:solidFill>
          </w14:textFill>
          <w:lang w:val="en-US" w:eastAsia="zh-CN"/>
          <w:highlight w:val="none"/>
        </w:rPr>
        <w:t>.................................................................61</w:t>
      </w:r>
    </w:p>
    <w:p>
      <w:pPr>
        <w:snapToGrid w:val="0"/>
        <w:rPr>
          <w:rFonts w:cs="Times New Roman"/>
          <w:color w:val="auto"/>
          <w:szCs w:val="24"/>
          <w:lang w:val="en-US"/>
          <w:highlight w:val="none"/>
        </w:rPr>
      </w:pPr>
      <w:r>
        <w:rPr>
          <w:rFonts w:cs="Times New Roman"/>
          <w:color w:val="auto"/>
          <w:szCs w:val="24"/>
          <w:highlight w:val="none"/>
        </w:rPr>
        <w:t>1</w:t>
      </w:r>
      <w:r>
        <w:rPr>
          <w:rFonts w:cs="Times New Roman" w:hint="eastAsia"/>
          <w:color w:val="auto"/>
          <w:szCs w:val="24"/>
          <w:lang w:val="en-US" w:eastAsia="zh-CN"/>
          <w:highlight w:val="none"/>
        </w:rPr>
        <w:t>7</w:t>
      </w:r>
      <w:r>
        <w:rPr>
          <w:rFonts w:cs="Times New Roman"/>
          <w:color w:val="auto"/>
          <w:szCs w:val="24"/>
          <w:highlight w:val="none"/>
        </w:rPr>
        <w:t>.7　Torque coefficient</w:t>
      </w:r>
      <w:r>
        <w:rPr>
          <w:rFonts w:cs="Times New Roman"/>
          <w:color w:val="auto"/>
          <w:highlight w:val="none"/>
        </w:rPr>
        <w:t xml:space="preserve"> method</w:t>
      </w:r>
      <w:r>
        <w:rPr>
          <w:rStyle w:val="43"/>
          <w:rFonts w:cs="Times New Roman" w:hint="eastAsia"/>
          <w:bCs/>
          <w:color w:val="auto"/>
          <w:szCs w:val="24"/>
          <w:u w:val="none"/>
          <w14:textFill>
            <w14:solidFill>
              <w14:srgbClr w14:val="0000FF"/>
            </w14:solidFill>
          </w14:textFill>
          <w:lang w:val="en-US" w:eastAsia="zh-CN"/>
          <w:highlight w:val="none"/>
        </w:rPr>
        <w:t>.....................................................................................62</w:t>
      </w:r>
    </w:p>
    <w:p>
      <w:pPr>
        <w:pStyle w:val="38"/>
        <w:snapToGrid w:val="0"/>
        <w:spacing w:after="0"/>
        <w:ind w:firstLineChars="200" w:firstLine="480"/>
        <w:rPr>
          <w:rStyle w:val="43"/>
          <w:rFonts w:cs="Times New Roman" w:hint="eastAsia"/>
          <w:bCs/>
          <w:color w:val="auto"/>
          <w:szCs w:val="24"/>
          <w:u w:val="none"/>
          <w14:textFill>
            <w14:solidFill>
              <w14:srgbClr w14:val="0000FF"/>
            </w14:solidFill>
          </w14:textFill>
          <w:lang w:val="en-US" w:eastAsia="zh-CN"/>
          <w:highlight w:val="none"/>
        </w:rPr>
      </w:pPr>
      <w:r>
        <w:rPr>
          <w:rFonts w:cs="Times New Roman"/>
          <w:color w:val="auto"/>
          <w:szCs w:val="24"/>
          <w:highlight w:val="none"/>
        </w:rPr>
        <w:t>1</w:t>
      </w:r>
      <w:r>
        <w:rPr>
          <w:rFonts w:cs="Times New Roman" w:hint="eastAsia"/>
          <w:color w:val="auto"/>
          <w:szCs w:val="24"/>
          <w:lang w:val="en-US" w:eastAsia="zh-CN"/>
          <w:highlight w:val="none"/>
        </w:rPr>
        <w:t>7</w:t>
      </w:r>
      <w:r>
        <w:rPr>
          <w:rFonts w:cs="Times New Roman"/>
          <w:color w:val="auto"/>
          <w:szCs w:val="24"/>
          <w:highlight w:val="none"/>
        </w:rPr>
        <w:t>.8　Release – rebate method used in detecting high strength bolt</w:t>
      </w:r>
      <w:r>
        <w:rPr>
          <w:rStyle w:val="43"/>
          <w:rFonts w:cs="Times New Roman" w:hint="eastAsia"/>
          <w:bCs/>
          <w:color w:val="auto"/>
          <w:szCs w:val="24"/>
          <w:u w:val="none"/>
          <w14:textFill>
            <w14:solidFill>
              <w14:srgbClr w14:val="0000FF"/>
            </w14:solidFill>
          </w14:textFill>
          <w:lang w:val="en-US" w:eastAsia="zh-CN"/>
          <w:highlight w:val="none"/>
        </w:rPr>
        <w:t>...............................63</w:t>
      </w:r>
    </w:p>
    <w:p>
      <w:pPr>
        <w:pStyle w:val="38"/>
        <w:snapToGrid w:val="0"/>
        <w:spacing w:after="0"/>
        <w:ind w:firstLineChars="200" w:firstLine="480"/>
        <w:rPr>
          <w:rStyle w:val="43"/>
          <w:rFonts w:cs="Times New Roman"/>
          <w:bCs/>
          <w:color w:val="auto"/>
          <w:szCs w:val="24"/>
          <w:u w:val="none"/>
          <w14:textFill>
            <w14:solidFill>
              <w14:srgbClr w14:val="0000FF"/>
            </w14:solidFill>
          </w14:textFill>
          <w:lang w:val="en-US" w:eastAsia="zh-CN"/>
          <w:highlight w:val="none"/>
        </w:rPr>
      </w:pPr>
      <w:r>
        <w:rPr>
          <w:rStyle w:val="43"/>
          <w:rFonts w:cs="Times New Roman" w:hint="eastAsia"/>
          <w:bCs/>
          <w:color w:val="auto"/>
          <w:szCs w:val="24"/>
          <w:u w:val="none"/>
          <w14:textFill>
            <w14:solidFill>
              <w14:srgbClr w14:val="0000FF"/>
            </w14:solidFill>
          </w14:textFill>
          <w:lang w:val="en-US" w:eastAsia="zh-CN"/>
          <w:highlight w:val="none"/>
        </w:rPr>
        <w:t>17.9</w:t>
      </w:r>
      <w:r>
        <w:rPr>
          <w:rFonts w:cs="Times New Roman"/>
          <w:color w:val="auto"/>
          <w:szCs w:val="24"/>
          <w:highlight w:val="none"/>
        </w:rPr>
        <w:t>　</w:t>
      </w:r>
      <w:r>
        <w:rPr>
          <w:rStyle w:val="43"/>
          <w:rFonts w:cs="Times New Roman" w:hint="eastAsia"/>
          <w:bCs/>
          <w:color w:val="auto"/>
          <w:szCs w:val="24"/>
          <w:u w:val="none"/>
          <w14:textFill>
            <w14:solidFill>
              <w14:srgbClr w14:val="0000FF"/>
            </w14:solidFill>
          </w14:textFill>
          <w:lang w:val="en-US" w:eastAsia="zh-CN"/>
          <w:highlight w:val="none"/>
        </w:rPr>
        <w:t>Dimensional inspection method.............................................................................64</w:t>
      </w:r>
    </w:p>
    <w:p>
      <w:pPr>
        <w:keepNext w:val="0"/>
        <w:keepLines w:val="0"/>
        <w:pageBreakBefore w:val="0"/>
        <w:widowControl w:val="0"/>
        <w:kinsoku/>
        <w:wordWrap/>
        <w:overflowPunct/>
        <w:topLinePunct w:val="0"/>
        <w:autoSpaceDE w:val="0"/>
        <w:autoSpaceDN w:val="0"/>
        <w:bidi w:val="0"/>
        <w:adjustRightInd w:val="0"/>
        <w:snapToGrid w:val="0"/>
        <w:ind w:left="1200" w:hangingChars="500" w:hanging="1200"/>
        <w:textAlignment w:val="auto"/>
        <w:rPr>
          <w:rFonts w:cs="Times New Roman"/>
          <w:b/>
          <w:bCs/>
          <w:color w:val="auto"/>
          <w:szCs w:val="24"/>
          <w:lang w:val="en-US"/>
          <w:highlight w:val="none"/>
        </w:rPr>
      </w:pPr>
      <w:r>
        <w:rPr>
          <w:rFonts w:cs="Times New Roman"/>
          <w:b/>
          <w:bCs/>
          <w:color w:val="auto"/>
          <w:szCs w:val="24"/>
          <w:highlight w:val="none"/>
        </w:rPr>
        <w:t>Appendix A　Record sheet on filling degree of sleeve grouting by endoscopic detection</w:t>
      </w:r>
      <w:r>
        <w:rPr>
          <w:rFonts w:cs="Times New Roman" w:hint="eastAsia"/>
          <w:b/>
          <w:bCs/>
          <w:color w:val="auto"/>
          <w:szCs w:val="24"/>
          <w:lang w:val="en-US" w:eastAsia="zh-CN"/>
          <w:highlight w:val="none"/>
        </w:rPr>
        <w:t>...............................................................................................................</w:t>
      </w:r>
      <w:r>
        <w:rPr>
          <w:rStyle w:val="43"/>
          <w:rFonts w:cs="Times New Roman" w:hint="eastAsia"/>
          <w:b/>
          <w:bCs/>
          <w:color w:val="auto"/>
          <w:szCs w:val="24"/>
          <w:u w:val="none"/>
          <w14:textFill>
            <w14:solidFill>
              <w14:srgbClr w14:val="0000FF"/>
            </w14:solidFill>
          </w14:textFill>
          <w:lang w:val="en-US" w:eastAsia="zh-CN"/>
          <w:highlight w:val="none"/>
        </w:rPr>
        <w:t>65</w:t>
      </w:r>
    </w:p>
    <w:p>
      <w:pPr>
        <w:keepNext w:val="0"/>
        <w:keepLines w:val="0"/>
        <w:pageBreakBefore w:val="0"/>
        <w:widowControl w:val="0"/>
        <w:kinsoku/>
        <w:wordWrap/>
        <w:overflowPunct/>
        <w:topLinePunct w:val="0"/>
        <w:autoSpaceDE w:val="0"/>
        <w:autoSpaceDN w:val="0"/>
        <w:bidi w:val="0"/>
        <w:adjustRightInd w:val="0"/>
        <w:snapToGrid w:val="0"/>
        <w:ind w:left="1200" w:hangingChars="500" w:hanging="1200"/>
        <w:textAlignment w:val="auto"/>
        <w:rPr>
          <w:rFonts w:cs="Times New Roman"/>
          <w:b/>
          <w:bCs/>
          <w:color w:val="auto"/>
          <w:szCs w:val="24"/>
          <w:lang w:val="en-US"/>
          <w:highlight w:val="none"/>
        </w:rPr>
      </w:pPr>
      <w:r>
        <w:rPr>
          <w:rFonts w:cs="Times New Roman"/>
          <w:b/>
          <w:bCs/>
          <w:color w:val="auto"/>
          <w:szCs w:val="24"/>
          <w:highlight w:val="none"/>
        </w:rPr>
        <w:t xml:space="preserve">Appendix B　Record sheet on filling degree of sleeve grouting by </w:t>
      </w:r>
      <w:r>
        <w:rPr>
          <w:rStyle w:val="43"/>
          <w:rFonts w:cs="Times New Roman"/>
          <w:b/>
          <w:bCs/>
          <w:color w:val="auto"/>
          <w:szCs w:val="24"/>
          <w:u w:val="none"/>
          <w14:textFill>
            <w14:solidFill>
              <w14:srgbClr w14:val="0000FF"/>
            </w14:solidFill>
          </w14:textFill>
          <w:highlight w:val="none"/>
        </w:rPr>
        <w:t>damping sensor</w:t>
      </w:r>
      <w:r>
        <w:rPr>
          <w:rFonts w:cs="Times New Roman"/>
          <w:b/>
          <w:bCs/>
          <w:color w:val="auto"/>
          <w:szCs w:val="24"/>
          <w:highlight w:val="none"/>
        </w:rPr>
        <w:t xml:space="preserve"> </w:t>
      </w:r>
      <w:r>
        <w:rPr>
          <w:rFonts w:cs="Times New Roman" w:hint="eastAsia"/>
          <w:b/>
          <w:bCs/>
          <w:color w:val="auto"/>
          <w:szCs w:val="24"/>
          <w:highlight w:val="none"/>
        </w:rPr>
        <w:t>method</w:t>
      </w:r>
      <w:r>
        <w:rPr>
          <w:rFonts w:cs="Times New Roman" w:hint="eastAsia"/>
          <w:b/>
          <w:bCs/>
          <w:color w:val="auto"/>
          <w:szCs w:val="24"/>
          <w:lang w:val="en-US" w:eastAsia="zh-CN"/>
          <w:highlight w:val="none"/>
        </w:rPr>
        <w:t>...........................................................................................66</w:t>
      </w:r>
    </w:p>
    <w:p>
      <w:pPr>
        <w:autoSpaceDE w:val="0"/>
        <w:autoSpaceDN w:val="0"/>
        <w:adjustRightInd w:val="0"/>
        <w:snapToGrid w:val="0"/>
        <w:ind w:firstLineChars="0" w:firstLine="0"/>
        <w:textAlignment w:val="auto"/>
        <w:rPr>
          <w:rFonts w:cs="Times New Roman"/>
          <w:b/>
          <w:bCs/>
          <w:color w:val="auto"/>
          <w:szCs w:val="24"/>
          <w:lang w:val="en-US"/>
          <w:highlight w:val="none"/>
        </w:rPr>
      </w:pPr>
      <w:r>
        <w:rPr>
          <w:rFonts w:cs="Times New Roman"/>
          <w:b/>
          <w:bCs/>
          <w:color w:val="auto"/>
          <w:szCs w:val="24"/>
          <w:highlight w:val="none"/>
        </w:rPr>
        <w:t xml:space="preserve">Appendix C　Record sheet on filling degree of sleeve grouting by chip </w:t>
      </w:r>
      <w:r>
        <w:rPr>
          <w:rFonts w:cs="Times New Roman" w:hint="eastAsia"/>
          <w:b/>
          <w:bCs/>
          <w:color w:val="auto"/>
          <w:szCs w:val="24"/>
          <w:highlight w:val="none"/>
        </w:rPr>
        <w:t>method</w:t>
      </w:r>
      <w:r>
        <w:rPr>
          <w:rFonts w:cs="Times New Roman" w:hint="eastAsia"/>
          <w:b/>
          <w:bCs/>
          <w:color w:val="auto"/>
          <w:szCs w:val="24"/>
          <w:lang w:val="en-US" w:eastAsia="zh-CN"/>
          <w:highlight w:val="none"/>
        </w:rPr>
        <w:t>.............67</w:t>
      </w:r>
    </w:p>
    <w:p>
      <w:pPr>
        <w:keepNext w:val="0"/>
        <w:keepLines w:val="0"/>
        <w:pageBreakBefore w:val="0"/>
        <w:widowControl w:val="0"/>
        <w:kinsoku/>
        <w:wordWrap/>
        <w:overflowPunct/>
        <w:topLinePunct w:val="0"/>
        <w:autoSpaceDE w:val="0"/>
        <w:autoSpaceDN w:val="0"/>
        <w:bidi w:val="0"/>
        <w:adjustRightInd w:val="0"/>
        <w:snapToGrid w:val="0"/>
        <w:ind w:left="1200" w:hangingChars="500" w:hanging="1200"/>
        <w:textAlignment w:val="auto"/>
        <w:rPr>
          <w:rFonts w:cs="Times New Roman"/>
          <w:b/>
          <w:bCs/>
          <w:color w:val="auto"/>
          <w:szCs w:val="24"/>
          <w:lang w:val="en-US"/>
          <w:highlight w:val="none"/>
        </w:rPr>
      </w:pPr>
      <w:r>
        <w:rPr>
          <w:rFonts w:cs="Times New Roman"/>
          <w:b/>
          <w:bCs/>
          <w:color w:val="auto"/>
          <w:szCs w:val="24"/>
          <w:highlight w:val="none"/>
        </w:rPr>
        <w:t xml:space="preserve">Appendix D　Record sheet on filling degree of sleeve grouting by resistivity </w:t>
      </w:r>
      <w:r>
        <w:rPr>
          <w:rFonts w:cs="Times New Roman" w:hint="eastAsia"/>
          <w:b/>
          <w:bCs/>
          <w:color w:val="auto"/>
          <w:szCs w:val="24"/>
          <w:highlight w:val="none"/>
        </w:rPr>
        <w:t>method</w:t>
      </w:r>
      <w:r>
        <w:rPr>
          <w:rFonts w:cs="Times New Roman" w:hint="eastAsia"/>
          <w:b/>
          <w:bCs/>
          <w:color w:val="auto"/>
          <w:szCs w:val="24"/>
          <w:lang w:val="en-US" w:eastAsia="zh-CN"/>
          <w:highlight w:val="none"/>
        </w:rPr>
        <w:t>..................................................................................................................68</w:t>
      </w:r>
    </w:p>
    <w:p>
      <w:pPr>
        <w:keepNext w:val="0"/>
        <w:keepLines w:val="0"/>
        <w:pageBreakBefore w:val="0"/>
        <w:widowControl w:val="0"/>
        <w:kinsoku/>
        <w:wordWrap/>
        <w:overflowPunct/>
        <w:topLinePunct w:val="0"/>
        <w:autoSpaceDE w:val="0"/>
        <w:autoSpaceDN w:val="0"/>
        <w:bidi w:val="0"/>
        <w:adjustRightInd w:val="0"/>
        <w:snapToGrid w:val="0"/>
        <w:ind w:left="1200" w:hangingChars="500" w:hanging="1200"/>
        <w:textAlignment w:val="auto"/>
        <w:rPr>
          <w:rFonts w:cs="Times New Roman"/>
          <w:b/>
          <w:bCs/>
          <w:color w:val="auto"/>
          <w:szCs w:val="24"/>
          <w:lang w:val="en-US"/>
          <w:highlight w:val="none"/>
        </w:rPr>
      </w:pPr>
      <w:r>
        <w:rPr>
          <w:rFonts w:cs="Times New Roman"/>
          <w:b/>
          <w:bCs/>
          <w:color w:val="auto"/>
          <w:szCs w:val="24"/>
          <w:highlight w:val="none"/>
        </w:rPr>
        <w:t xml:space="preserve">Appendix E　Record sheet on filling degree of sleeve grouting by capacitance </w:t>
      </w:r>
      <w:r>
        <w:rPr>
          <w:rFonts w:cs="Times New Roman" w:hint="eastAsia"/>
          <w:b/>
          <w:bCs/>
          <w:color w:val="auto"/>
          <w:szCs w:val="24"/>
          <w:highlight w:val="none"/>
        </w:rPr>
        <w:t>method</w:t>
      </w:r>
      <w:r>
        <w:rPr>
          <w:rFonts w:cs="Times New Roman" w:hint="eastAsia"/>
          <w:b/>
          <w:bCs/>
          <w:color w:val="auto"/>
          <w:szCs w:val="24"/>
          <w:lang w:val="en-US" w:eastAsia="zh-CN"/>
          <w:highlight w:val="none"/>
        </w:rPr>
        <w:t>..................................................................................................................69</w:t>
      </w:r>
    </w:p>
    <w:p>
      <w:pPr>
        <w:keepNext w:val="0"/>
        <w:keepLines w:val="0"/>
        <w:pageBreakBefore w:val="0"/>
        <w:widowControl w:val="0"/>
        <w:kinsoku/>
        <w:wordWrap/>
        <w:overflowPunct/>
        <w:topLinePunct w:val="0"/>
        <w:autoSpaceDE w:val="0"/>
        <w:autoSpaceDN w:val="0"/>
        <w:bidi w:val="0"/>
        <w:adjustRightInd w:val="0"/>
        <w:snapToGrid w:val="0"/>
        <w:ind w:left="1200" w:hangingChars="500" w:hanging="1200"/>
        <w:textAlignment w:val="auto"/>
        <w:rPr>
          <w:rFonts w:cs="Times New Roman"/>
          <w:b/>
          <w:bCs/>
          <w:color w:val="auto"/>
          <w:szCs w:val="24"/>
          <w:highlight w:val="none"/>
        </w:rPr>
      </w:pPr>
      <w:r>
        <w:rPr>
          <w:rFonts w:cs="Times New Roman"/>
          <w:b/>
          <w:bCs/>
          <w:color w:val="auto"/>
          <w:szCs w:val="24"/>
          <w:highlight w:val="none"/>
        </w:rPr>
        <w:t xml:space="preserve">Appendix F　Record sheet on filling degree of sleeve grouting by piezoelectric </w:t>
      </w:r>
      <w:r>
        <w:rPr>
          <w:rFonts w:cs="Times New Roman" w:hint="eastAsia"/>
          <w:b/>
          <w:bCs/>
          <w:color w:val="auto"/>
          <w:szCs w:val="24"/>
          <w:highlight w:val="none"/>
        </w:rPr>
        <w:t>method</w:t>
      </w:r>
      <w:r>
        <w:rPr>
          <w:rFonts w:cs="Times New Roman" w:hint="eastAsia"/>
          <w:b/>
          <w:bCs/>
          <w:color w:val="auto"/>
          <w:szCs w:val="24"/>
          <w:lang w:val="en-US" w:eastAsia="zh-CN"/>
          <w:highlight w:val="none"/>
        </w:rPr>
        <w:t>..................................................................................................................70</w:t>
      </w:r>
      <w:r>
        <w:rPr>
          <w:rFonts w:cs="Times New Roman"/>
          <w:b/>
          <w:bCs/>
          <w:color w:val="auto"/>
          <w:szCs w:val="24"/>
          <w:highlight w:val="none"/>
        </w:rPr>
        <w:t xml:space="preserve"> </w:t>
      </w:r>
    </w:p>
    <w:p>
      <w:pPr>
        <w:keepNext w:val="0"/>
        <w:keepLines w:val="0"/>
        <w:pageBreakBefore w:val="0"/>
        <w:widowControl w:val="0"/>
        <w:kinsoku/>
        <w:wordWrap/>
        <w:overflowPunct/>
        <w:topLinePunct w:val="0"/>
        <w:autoSpaceDE w:val="0"/>
        <w:autoSpaceDN w:val="0"/>
        <w:bidi w:val="0"/>
        <w:adjustRightInd w:val="0"/>
        <w:snapToGrid w:val="0"/>
        <w:ind w:left="1200" w:hangingChars="500" w:hanging="1200"/>
        <w:textAlignment w:val="auto"/>
        <w:rPr>
          <w:rFonts w:cs="Times New Roman"/>
          <w:b/>
          <w:bCs/>
          <w:color w:val="auto"/>
          <w:szCs w:val="24"/>
          <w:lang w:val="en-US"/>
          <w:highlight w:val="none"/>
        </w:rPr>
      </w:pPr>
      <w:r>
        <w:rPr>
          <w:rFonts w:cs="Times New Roman"/>
          <w:b/>
          <w:bCs/>
          <w:color w:val="auto"/>
          <w:szCs w:val="24"/>
          <w:highlight w:val="none"/>
        </w:rPr>
        <w:t xml:space="preserve">Appendix G　Record sheet on filling degree of sleeve grouting by pressure sensor </w:t>
      </w:r>
      <w:r>
        <w:rPr>
          <w:rFonts w:cs="Times New Roman" w:hint="eastAsia"/>
          <w:b/>
          <w:bCs/>
          <w:color w:val="auto"/>
          <w:szCs w:val="24"/>
          <w:highlight w:val="none"/>
        </w:rPr>
        <w:t>method</w:t>
      </w:r>
      <w:r>
        <w:rPr>
          <w:rFonts w:cs="Times New Roman" w:hint="eastAsia"/>
          <w:b/>
          <w:bCs/>
          <w:color w:val="auto"/>
          <w:szCs w:val="24"/>
          <w:lang w:val="en-US" w:eastAsia="zh-CN"/>
          <w:highlight w:val="none"/>
        </w:rPr>
        <w:t>..................................................................................................................71</w:t>
      </w:r>
    </w:p>
    <w:p>
      <w:pPr>
        <w:keepNext w:val="0"/>
        <w:keepLines w:val="0"/>
        <w:pageBreakBefore w:val="0"/>
        <w:widowControl w:val="0"/>
        <w:kinsoku/>
        <w:wordWrap/>
        <w:overflowPunct/>
        <w:topLinePunct w:val="0"/>
        <w:autoSpaceDE w:val="0"/>
        <w:autoSpaceDN w:val="0"/>
        <w:bidi w:val="0"/>
        <w:adjustRightInd w:val="0"/>
        <w:snapToGrid w:val="0"/>
        <w:ind w:left="1200" w:hangingChars="500" w:hanging="1200"/>
        <w:textAlignment w:val="auto"/>
        <w:rPr>
          <w:rFonts w:cs="Times New Roman"/>
          <w:b/>
          <w:bCs/>
          <w:color w:val="auto"/>
          <w:szCs w:val="24"/>
          <w:lang w:val="en-US"/>
          <w:highlight w:val="none"/>
        </w:rPr>
      </w:pPr>
      <w:r>
        <w:rPr>
          <w:rFonts w:cs="Times New Roman"/>
          <w:b/>
          <w:bCs/>
          <w:color w:val="auto"/>
          <w:szCs w:val="24"/>
          <w:highlight w:val="none"/>
        </w:rPr>
        <w:t xml:space="preserve">Appendix H　Record sheet on filling degree of sleeve grouting by embedded steel wire drawing </w:t>
      </w:r>
      <w:r>
        <w:rPr>
          <w:rFonts w:cs="Times New Roman" w:hint="eastAsia"/>
          <w:b/>
          <w:bCs/>
          <w:color w:val="auto"/>
          <w:szCs w:val="24"/>
          <w:highlight w:val="none"/>
        </w:rPr>
        <w:t>method</w:t>
      </w:r>
      <w:r>
        <w:rPr>
          <w:rFonts w:cs="Times New Roman" w:hint="eastAsia"/>
          <w:b/>
          <w:bCs/>
          <w:color w:val="auto"/>
          <w:szCs w:val="24"/>
          <w:lang w:val="en-US" w:eastAsia="zh-CN"/>
          <w:highlight w:val="none"/>
        </w:rPr>
        <w:t>...................................................................................................72</w:t>
      </w:r>
    </w:p>
    <w:p>
      <w:pPr>
        <w:autoSpaceDE w:val="0"/>
        <w:autoSpaceDN w:val="0"/>
        <w:adjustRightInd w:val="0"/>
        <w:snapToGrid w:val="0"/>
        <w:ind w:firstLineChars="0" w:firstLine="0"/>
        <w:textAlignment w:val="auto"/>
        <w:rPr>
          <w:rFonts w:cs="Times New Roman"/>
          <w:b/>
          <w:bCs/>
          <w:color w:val="auto"/>
          <w:szCs w:val="24"/>
          <w:lang w:val="en-US"/>
          <w:highlight w:val="none"/>
        </w:rPr>
      </w:pPr>
      <w:r>
        <w:rPr>
          <w:rFonts w:cs="Times New Roman"/>
          <w:b/>
          <w:bCs/>
          <w:color w:val="auto"/>
          <w:szCs w:val="24"/>
          <w:highlight w:val="none"/>
        </w:rPr>
        <w:t xml:space="preserve">Appendix J　Record sheet on </w:t>
      </w:r>
      <w:r>
        <w:rPr>
          <w:rFonts w:cs="Times New Roman" w:hint="eastAsia"/>
          <w:b/>
          <w:bCs/>
          <w:color w:val="auto"/>
          <w:szCs w:val="24"/>
          <w:highlight w:val="none"/>
        </w:rPr>
        <w:t>non-ultrasonic</w:t>
      </w:r>
      <w:r>
        <w:rPr>
          <w:rFonts w:cs="Times New Roman"/>
          <w:b/>
          <w:bCs/>
          <w:color w:val="auto"/>
          <w:szCs w:val="24"/>
          <w:highlight w:val="none"/>
        </w:rPr>
        <w:t xml:space="preserve"> detection</w:t>
      </w:r>
      <w:r>
        <w:rPr>
          <w:rFonts w:cs="Times New Roman" w:hint="eastAsia"/>
          <w:b/>
          <w:bCs/>
          <w:color w:val="auto"/>
          <w:szCs w:val="24"/>
          <w:lang w:val="en-US" w:eastAsia="zh-CN"/>
          <w:highlight w:val="none"/>
        </w:rPr>
        <w:t>.....................................................73</w:t>
      </w:r>
    </w:p>
    <w:p>
      <w:pPr>
        <w:autoSpaceDE w:val="0"/>
        <w:autoSpaceDN w:val="0"/>
        <w:adjustRightInd w:val="0"/>
        <w:snapToGrid w:val="0"/>
        <w:ind w:firstLineChars="0" w:firstLine="0"/>
        <w:textAlignment w:val="auto"/>
        <w:rPr>
          <w:rFonts w:cs="Times New Roman"/>
          <w:b/>
          <w:bCs/>
          <w:color w:val="auto"/>
          <w:szCs w:val="24"/>
          <w:lang w:val="en-US"/>
          <w:highlight w:val="none"/>
        </w:rPr>
      </w:pPr>
      <w:r>
        <w:rPr>
          <w:rFonts w:cs="Times New Roman"/>
          <w:b/>
          <w:bCs/>
          <w:color w:val="auto"/>
          <w:szCs w:val="24"/>
          <w:highlight w:val="none"/>
        </w:rPr>
        <w:t xml:space="preserve">Appendix K　Record sheet on impact echo </w:t>
      </w:r>
      <w:r>
        <w:rPr>
          <w:rFonts w:cs="Times New Roman" w:hint="eastAsia"/>
          <w:b/>
          <w:bCs/>
          <w:color w:val="auto"/>
          <w:szCs w:val="24"/>
          <w:highlight w:val="none"/>
        </w:rPr>
        <w:t>method</w:t>
      </w:r>
      <w:r>
        <w:rPr>
          <w:rFonts w:cs="Times New Roman" w:hint="eastAsia"/>
          <w:b/>
          <w:bCs/>
          <w:color w:val="auto"/>
          <w:szCs w:val="24"/>
          <w:lang w:val="en-US" w:eastAsia="zh-CN"/>
          <w:highlight w:val="none"/>
        </w:rPr>
        <w:t>...........................................................74</w:t>
      </w:r>
    </w:p>
    <w:p>
      <w:pPr>
        <w:autoSpaceDE w:val="0"/>
        <w:autoSpaceDN w:val="0"/>
        <w:adjustRightInd w:val="0"/>
        <w:snapToGrid w:val="0"/>
        <w:ind w:firstLineChars="0" w:firstLine="0"/>
        <w:textAlignment w:val="auto"/>
        <w:rPr>
          <w:rFonts w:cs="Times New Roman"/>
          <w:b/>
          <w:bCs/>
          <w:color w:val="auto"/>
          <w:szCs w:val="24"/>
          <w:lang w:val="en-US"/>
          <w:highlight w:val="none"/>
        </w:rPr>
      </w:pPr>
      <w:r>
        <w:rPr>
          <w:rFonts w:cs="Times New Roman"/>
          <w:b/>
          <w:bCs/>
          <w:color w:val="auto"/>
          <w:szCs w:val="24"/>
          <w:highlight w:val="none"/>
        </w:rPr>
        <w:t>Appendix L　Record sheet on</w:t>
      </w:r>
      <w:r>
        <w:rPr>
          <w:rFonts w:cs="Times New Roman" w:hint="eastAsia"/>
          <w:b/>
          <w:bCs/>
          <w:color w:val="auto"/>
          <w:szCs w:val="24"/>
          <w:highlight w:val="none"/>
        </w:rPr>
        <w:t xml:space="preserve"> </w:t>
      </w:r>
      <w:r>
        <w:rPr>
          <w:rFonts w:cs="Times New Roman"/>
          <w:b/>
          <w:bCs/>
          <w:color w:val="auto"/>
          <w:szCs w:val="24"/>
          <w:highlight w:val="none"/>
        </w:rPr>
        <w:t xml:space="preserve">back-tensioning </w:t>
      </w:r>
      <w:r>
        <w:rPr>
          <w:rFonts w:cs="Times New Roman" w:hint="eastAsia"/>
          <w:b/>
          <w:bCs/>
          <w:color w:val="auto"/>
          <w:szCs w:val="24"/>
          <w:highlight w:val="none"/>
        </w:rPr>
        <w:t>method</w:t>
      </w:r>
      <w:r>
        <w:rPr>
          <w:rFonts w:cs="Times New Roman" w:hint="eastAsia"/>
          <w:b/>
          <w:bCs/>
          <w:color w:val="auto"/>
          <w:szCs w:val="24"/>
          <w:lang w:val="en-US" w:eastAsia="zh-CN"/>
          <w:highlight w:val="none"/>
        </w:rPr>
        <w:t>.....................................................75</w:t>
      </w:r>
    </w:p>
    <w:p>
      <w:pPr>
        <w:pStyle w:val="38"/>
        <w:snapToGrid w:val="0"/>
        <w:spacing w:after="0"/>
        <w:ind w:firstLineChars="0" w:firstLine="0"/>
        <w:rPr>
          <w:rFonts w:cs="Times New Roman"/>
          <w:b/>
          <w:bCs/>
          <w:color w:val="auto"/>
          <w:szCs w:val="24"/>
          <w:lang w:val="en-US"/>
          <w:highlight w:val="none"/>
        </w:rPr>
      </w:pPr>
      <w:r>
        <w:rPr>
          <w:rFonts w:cs="Times New Roman"/>
          <w:b/>
          <w:bCs/>
          <w:color w:val="auto"/>
          <w:szCs w:val="24"/>
          <w:highlight w:val="none"/>
        </w:rPr>
        <w:t xml:space="preserve">Appendix M　Record sheet on shooting nail </w:t>
      </w:r>
      <w:r>
        <w:rPr>
          <w:rFonts w:cs="Times New Roman" w:hint="eastAsia"/>
          <w:b/>
          <w:bCs/>
          <w:color w:val="auto"/>
          <w:szCs w:val="24"/>
          <w:highlight w:val="none"/>
        </w:rPr>
        <w:t>method</w:t>
      </w:r>
      <w:r>
        <w:rPr>
          <w:rFonts w:cs="Times New Roman" w:hint="eastAsia"/>
          <w:b/>
          <w:bCs/>
          <w:color w:val="auto"/>
          <w:szCs w:val="24"/>
          <w:lang w:val="en-US" w:eastAsia="zh-CN"/>
          <w:highlight w:val="none"/>
        </w:rPr>
        <w:t>.........................................................75</w:t>
      </w:r>
    </w:p>
    <w:p>
      <w:pPr>
        <w:pStyle w:val="38"/>
        <w:snapToGrid w:val="0"/>
        <w:spacing w:after="0"/>
        <w:ind w:firstLineChars="0" w:firstLine="0"/>
        <w:rPr>
          <w:rFonts w:cs="Times New Roman"/>
          <w:b/>
          <w:bCs/>
          <w:color w:val="auto"/>
          <w:szCs w:val="24"/>
          <w:lang w:val="en-US"/>
          <w:highlight w:val="none"/>
        </w:rPr>
      </w:pPr>
      <w:r>
        <w:rPr>
          <w:rFonts w:cs="Times New Roman"/>
          <w:b/>
          <w:bCs/>
          <w:color w:val="auto"/>
          <w:szCs w:val="24"/>
          <w:highlight w:val="none"/>
        </w:rPr>
        <w:t xml:space="preserve">Appendix N　Device calibration record sheet on shooting nail </w:t>
      </w:r>
      <w:r>
        <w:rPr>
          <w:rFonts w:cs="Times New Roman" w:hint="eastAsia"/>
          <w:b/>
          <w:bCs/>
          <w:color w:val="auto"/>
          <w:szCs w:val="24"/>
          <w:highlight w:val="none"/>
        </w:rPr>
        <w:t>method</w:t>
      </w:r>
      <w:r>
        <w:rPr>
          <w:rFonts w:cs="Times New Roman" w:hint="eastAsia"/>
          <w:b/>
          <w:bCs/>
          <w:color w:val="auto"/>
          <w:szCs w:val="24"/>
          <w:lang w:val="en-US" w:eastAsia="zh-CN"/>
          <w:highlight w:val="none"/>
        </w:rPr>
        <w:t>...........................77</w:t>
      </w:r>
    </w:p>
    <w:p>
      <w:pPr>
        <w:autoSpaceDE w:val="0"/>
        <w:autoSpaceDN w:val="0"/>
        <w:adjustRightInd w:val="0"/>
        <w:snapToGrid w:val="0"/>
        <w:ind w:firstLineChars="0" w:firstLine="0"/>
        <w:textAlignment w:val="auto"/>
        <w:rPr>
          <w:rStyle w:val="43"/>
          <w:rFonts w:cs="Times New Roman"/>
          <w:b/>
          <w:bCs/>
          <w:color w:val="auto"/>
          <w:szCs w:val="24"/>
          <w:u w:val="none"/>
          <w14:textFill>
            <w14:solidFill>
              <w14:srgbClr w14:val="0000FF"/>
            </w14:solidFill>
          </w14:textFill>
          <w:lang w:val="en-US"/>
          <w:highlight w:val="none"/>
        </w:rPr>
      </w:pPr>
      <w:r>
        <w:rPr>
          <w:rStyle w:val="43"/>
          <w:rFonts w:cs="Times New Roman"/>
          <w:b/>
          <w:bCs/>
          <w:color w:val="auto"/>
          <w:szCs w:val="24"/>
          <w:u w:val="none"/>
          <w14:textFill>
            <w14:solidFill>
              <w14:srgbClr w14:val="0000FF"/>
            </w14:solidFill>
          </w14:textFill>
          <w:highlight w:val="none"/>
        </w:rPr>
        <w:t>Explanation of wording</w:t>
      </w:r>
      <w:r>
        <w:rPr>
          <w:rFonts w:cs="Times New Roman" w:hint="eastAsia"/>
          <w:b/>
          <w:bCs/>
          <w:color w:val="auto"/>
          <w:szCs w:val="24"/>
          <w:lang w:val="en-US" w:eastAsia="zh-CN"/>
          <w:highlight w:val="none"/>
        </w:rPr>
        <w:t>..........................................................................................................78</w:t>
      </w:r>
    </w:p>
    <w:p>
      <w:pPr>
        <w:autoSpaceDE w:val="0"/>
        <w:autoSpaceDN w:val="0"/>
        <w:adjustRightInd w:val="0"/>
        <w:snapToGrid w:val="0"/>
        <w:ind w:firstLineChars="0" w:firstLine="0"/>
        <w:textAlignment w:val="auto"/>
        <w:rPr>
          <w:rStyle w:val="43"/>
          <w:rFonts w:cs="Times New Roman"/>
          <w:b/>
          <w:bCs/>
          <w:color w:val="auto"/>
          <w:szCs w:val="24"/>
          <w:u w:val="none"/>
          <w14:textFill>
            <w14:solidFill>
              <w14:srgbClr w14:val="0000FF"/>
            </w14:solidFill>
          </w14:textFill>
          <w:lang w:val="en-US"/>
          <w:highlight w:val="none"/>
        </w:rPr>
      </w:pPr>
      <w:r>
        <w:rPr>
          <w:rStyle w:val="43"/>
          <w:rFonts w:cs="Times New Roman"/>
          <w:b/>
          <w:bCs/>
          <w:color w:val="auto"/>
          <w:szCs w:val="24"/>
          <w:u w:val="none"/>
          <w14:textFill>
            <w14:solidFill>
              <w14:srgbClr w14:val="0000FF"/>
            </w14:solidFill>
          </w14:textFill>
          <w:highlight w:val="none"/>
        </w:rPr>
        <w:t>List of quoted standards</w:t>
      </w:r>
      <w:r>
        <w:rPr>
          <w:rFonts w:cs="Times New Roman" w:hint="eastAsia"/>
          <w:b/>
          <w:bCs/>
          <w:color w:val="auto"/>
          <w:szCs w:val="24"/>
          <w:lang w:val="en-US" w:eastAsia="zh-CN"/>
          <w:highlight w:val="none"/>
        </w:rPr>
        <w:t>.........................................................................................................79</w:t>
      </w:r>
    </w:p>
    <w:p>
      <w:pPr>
        <w:autoSpaceDE w:val="0"/>
        <w:autoSpaceDN w:val="0"/>
        <w:adjustRightInd w:val="0"/>
        <w:snapToGrid w:val="0"/>
        <w:ind w:firstLineChars="0" w:firstLine="0"/>
        <w:textAlignment w:val="auto"/>
        <w:rPr>
          <w:rFonts w:cs="Times New Roman"/>
          <w:b/>
          <w:bCs/>
          <w:color w:val="auto"/>
          <w:szCs w:val="24"/>
          <w:lang w:val="en-US"/>
          <w:highlight w:val="none"/>
        </w:rPr>
      </w:pPr>
      <w:r>
        <w:rPr>
          <w:rFonts w:cs="Times New Roman"/>
          <w:b/>
          <w:bCs/>
          <w:color w:val="auto"/>
          <w:szCs w:val="24"/>
          <w:highlight w:val="none"/>
        </w:rPr>
        <w:t xml:space="preserve">Addition: </w:t>
      </w:r>
      <w:r>
        <w:rPr>
          <w:rStyle w:val="43"/>
          <w:rFonts w:cs="Times New Roman"/>
          <w:b/>
          <w:bCs/>
          <w:color w:val="auto"/>
          <w:szCs w:val="24"/>
          <w:u w:val="none"/>
          <w14:textFill>
            <w14:solidFill>
              <w14:srgbClr w14:val="0000FF"/>
            </w14:solidFill>
          </w14:textFill>
          <w:highlight w:val="none"/>
        </w:rPr>
        <w:t>Explanation of provisions</w:t>
      </w:r>
      <w:r>
        <w:rPr>
          <w:rFonts w:cs="Times New Roman" w:hint="eastAsia"/>
          <w:b/>
          <w:bCs/>
          <w:color w:val="auto"/>
          <w:szCs w:val="24"/>
          <w:lang w:val="en-US" w:eastAsia="zh-CN"/>
          <w:highlight w:val="none"/>
        </w:rPr>
        <w:t>......................................................................................80</w:t>
      </w:r>
    </w:p>
    <w:p>
      <w:pPr>
        <w:rPr>
          <w:rFonts w:cs="Times New Roman"/>
          <w:color w:val="auto"/>
          <w:highlight w:val="none"/>
        </w:rPr>
      </w:pPr>
    </w:p>
    <w:p>
      <w:pPr>
        <w:rPr>
          <w:rFonts w:cs="Times New Roman"/>
          <w:color w:val="auto"/>
          <w:highlight w:val="none"/>
        </w:rPr>
        <w:sectPr>
          <w:headerReference w:type="even" r:id="rId2"/>
          <w:headerReference w:type="first" r:id="rId3"/>
          <w:footerReference w:type="default" r:id="rId4"/>
          <w:footerReference w:type="even" r:id="rId5"/>
          <w:pgSz w:w="11906" w:h="16838"/>
          <w:pgMar w:top="1134" w:right="1416" w:bottom="1134" w:left="1418" w:header="851" w:footer="757" w:gutter="0"/>
          <w:pgBorders>
            <w:top w:val="none" w:sz="0" w:space="0" w:color="auto"/>
            <w:left w:val="none" w:sz="0" w:space="0" w:color="auto"/>
            <w:bottom w:val="none" w:sz="0" w:space="0" w:color="auto"/>
            <w:right w:val="none" w:sz="0" w:space="0" w:color="auto"/>
          </w:pgBorders>
          <w:pgNumType w:start="1"/>
          <w:cols w:num="1" w:space="425"/>
          <w:docGrid w:type="lines" w:linePitch="312" w:charSpace="0"/>
        </w:sectPr>
      </w:pPr>
    </w:p>
    <w:p>
      <w:pPr>
        <w:pStyle w:val="1"/>
        <w:ind w:rightChars="0" w:right="0" w:firstLineChars="0" w:firstLine="0"/>
        <w:rPr>
          <w:rFonts w:cs="Times New Roman"/>
          <w:color w:val="auto"/>
          <w:highlight w:val="none"/>
        </w:rPr>
      </w:pPr>
      <w:bookmarkStart w:id="10" w:name="_Toc3806"/>
      <w:bookmarkStart w:id="11" w:name="_Toc21847"/>
      <w:bookmarkStart w:id="12" w:name="_Toc17435"/>
      <w:bookmarkStart w:id="13" w:name="_Toc1817"/>
      <w:r>
        <w:rPr>
          <w:rFonts w:cs="Times New Roman"/>
          <w:color w:val="auto"/>
          <w:highlight w:val="none"/>
        </w:rPr>
        <w:t>1　总　　则</w:t>
      </w:r>
      <w:bookmarkEnd w:id="3"/>
      <w:bookmarkEnd w:id="4"/>
      <w:bookmarkEnd w:id="5"/>
      <w:bookmarkEnd w:id="6"/>
      <w:bookmarkEnd w:id="7"/>
      <w:bookmarkEnd w:id="8"/>
      <w:bookmarkEnd w:id="9"/>
      <w:bookmarkEnd w:id="10"/>
      <w:bookmarkEnd w:id="11"/>
      <w:bookmarkEnd w:id="12"/>
      <w:bookmarkEnd w:id="13"/>
    </w:p>
    <w:p>
      <w:pPr>
        <w:pStyle w:val="23"/>
        <w:spacing w:line="360" w:lineRule="auto"/>
        <w:ind w:firstLineChars="0" w:firstLine="0"/>
        <w:rPr>
          <w:rFonts w:ascii="Times New Roman" w:cs="Times New Roman" w:hAnsi="Times New Roman"/>
          <w:color w:val="auto"/>
          <w:highlight w:val="none"/>
        </w:rPr>
      </w:pPr>
      <w:bookmarkStart w:id="14" w:name="_Toc3645"/>
      <w:bookmarkStart w:id="15" w:name="_Toc31528"/>
      <w:bookmarkStart w:id="16" w:name="_Toc11590"/>
      <w:bookmarkStart w:id="17" w:name="_Toc30177550"/>
      <w:bookmarkStart w:id="18" w:name="_Toc35004498"/>
      <w:bookmarkStart w:id="19" w:name="_Toc6024"/>
      <w:bookmarkStart w:id="20" w:name="_Toc38546154"/>
      <w:bookmarkStart w:id="21" w:name="_Toc34312104"/>
      <w:bookmarkStart w:id="22" w:name="_Toc35004165"/>
      <w:bookmarkStart w:id="23" w:name="_Toc495584121"/>
      <w:r>
        <w:rPr>
          <w:rFonts w:ascii="Times New Roman" w:cs="Times New Roman" w:hAnsi="Times New Roman"/>
          <w:b/>
          <w:color w:val="auto"/>
          <w:highlight w:val="none"/>
        </w:rPr>
        <w:t>1.0.1　</w:t>
      </w:r>
      <w:r>
        <w:rPr>
          <w:rFonts w:ascii="Times New Roman" w:cs="Times New Roman" w:hAnsi="Times New Roman"/>
          <w:color w:val="auto"/>
          <w:highlight w:val="none"/>
        </w:rPr>
        <w:t>为规范</w:t>
      </w:r>
      <w:r>
        <w:rPr>
          <w:rFonts w:ascii="Times New Roman" w:cs="Times New Roman" w:hAnsi="Times New Roman" w:hint="eastAsia"/>
          <w:color w:val="auto"/>
          <w:lang w:val="en-US" w:eastAsia="zh-CN"/>
          <w:highlight w:val="none"/>
        </w:rPr>
        <w:t>广东省</w:t>
      </w:r>
      <w:r>
        <w:rPr>
          <w:rFonts w:ascii="Times New Roman" w:cs="Times New Roman" w:hAnsi="Times New Roman"/>
          <w:color w:val="auto"/>
          <w:szCs w:val="28"/>
          <w:highlight w:val="none"/>
        </w:rPr>
        <w:t>装配式桥梁构件连接的检测与评定</w:t>
      </w:r>
      <w:r>
        <w:rPr>
          <w:rFonts w:ascii="Times New Roman" w:cs="Times New Roman" w:hAnsi="Times New Roman"/>
          <w:color w:val="auto"/>
          <w:highlight w:val="none"/>
        </w:rPr>
        <w:t>，保障检测质量，</w:t>
      </w:r>
      <w:r>
        <w:rPr>
          <w:rFonts w:ascii="Times New Roman" w:cs="Times New Roman" w:hAnsi="Times New Roman" w:hint="eastAsia"/>
          <w:color w:val="auto"/>
          <w:highlight w:val="none"/>
        </w:rPr>
        <w:t>做到安全适用、数据可靠、评定准确，</w:t>
      </w:r>
      <w:r>
        <w:rPr>
          <w:rFonts w:ascii="Times New Roman" w:cs="Times New Roman" w:hAnsi="Times New Roman"/>
          <w:color w:val="auto"/>
          <w:highlight w:val="none"/>
        </w:rPr>
        <w:t>制定本标准。</w:t>
      </w:r>
    </w:p>
    <w:p>
      <w:pPr>
        <w:ind w:firstLineChars="0" w:firstLine="0"/>
        <w:rPr>
          <w:rFonts w:cs="Times New Roman"/>
          <w:color w:val="auto"/>
          <w:szCs w:val="28"/>
          <w:highlight w:val="none"/>
        </w:rPr>
      </w:pPr>
      <w:r>
        <w:rPr>
          <w:rFonts w:cs="Times New Roman"/>
          <w:b/>
          <w:color w:val="auto"/>
          <w:szCs w:val="28"/>
          <w:highlight w:val="none"/>
        </w:rPr>
        <w:t>1.0.2　</w:t>
      </w:r>
      <w:r>
        <w:rPr>
          <w:rFonts w:cs="Times New Roman"/>
          <w:color w:val="auto"/>
          <w:szCs w:val="28"/>
          <w:highlight w:val="none"/>
        </w:rPr>
        <w:t>本标准适用于</w:t>
      </w:r>
      <w:r>
        <w:rPr>
          <w:rFonts w:cs="Times New Roman" w:hint="eastAsia"/>
          <w:color w:val="auto"/>
          <w:szCs w:val="28"/>
          <w:lang w:val="en-US" w:eastAsia="zh-CN"/>
          <w:highlight w:val="none"/>
        </w:rPr>
        <w:t>广东省</w:t>
      </w:r>
      <w:r>
        <w:rPr>
          <w:rFonts w:cs="Times New Roman"/>
          <w:color w:val="auto"/>
          <w:szCs w:val="28"/>
          <w:highlight w:val="none"/>
        </w:rPr>
        <w:t>装配式桥梁构件连接的检测与评定。</w:t>
      </w:r>
    </w:p>
    <w:p>
      <w:pPr>
        <w:pStyle w:val="19"/>
        <w:ind w:firstLineChars="0" w:firstLine="0"/>
        <w:rPr>
          <w:color w:val="auto"/>
          <w:shd w:val="pct10" w:color="auto" w:fill="FFFFFF"/>
          <w:lang w:val="en-US"/>
          <w:highlight w:val="none"/>
        </w:rPr>
      </w:pPr>
      <w:r>
        <w:rPr>
          <w:rFonts w:hint="eastAsia"/>
          <w:b/>
          <w:bCs/>
          <w:color w:val="auto"/>
          <w:shd w:val="pct10" w:color="auto" w:fill="FFFFFF"/>
          <w:lang w:val="en-US" w:eastAsia="zh-CN"/>
          <w:highlight w:val="none"/>
        </w:rPr>
        <w:t>条文说明</w:t>
      </w:r>
      <w:r>
        <w:rPr>
          <w:b/>
          <w:bCs/>
          <w:color w:val="auto"/>
          <w:shd w:val="pct10" w:color="auto" w:fill="FFFFFF"/>
          <w:lang w:val="en-US"/>
          <w:highlight w:val="none"/>
        </w:rPr>
        <w:t>1.0.2　</w:t>
      </w:r>
      <w:r>
        <w:rPr>
          <w:bCs/>
          <w:color w:val="auto"/>
          <w:shd w:val="pct10" w:color="auto" w:fill="FFFFFF"/>
          <w:lang w:val="en-US"/>
          <w:highlight w:val="none"/>
        </w:rPr>
        <w:t>装配式桥梁构件连接是保证结构安全的重要节点，本标准的内容主要是针对灌浆套筒连接、湿接缝连接、焊接、螺栓连接等节点的检测。对此，</w:t>
      </w:r>
      <w:r>
        <w:rPr>
          <w:color w:val="auto"/>
          <w:shd w:val="pct10" w:color="auto" w:fill="FFFFFF"/>
          <w:lang w:val="en-US"/>
          <w:highlight w:val="none"/>
        </w:rPr>
        <w:t>本标准对用于装配式桥梁构件连接检测的内窥镜法、预埋传感器法、芯片法、电阻率法、电容法、压电法、压力传感器法、预埋钢丝拉拔法、超声波法、冲击回波法、复拉法、射钉法、</w:t>
      </w:r>
      <w:r>
        <w:rPr>
          <w:rFonts w:hint="eastAsia"/>
          <w:color w:val="auto"/>
          <w:shd w:val="pct10" w:color="auto" w:fill="FFFFFF"/>
          <w:lang w:val="en-US"/>
          <w:highlight w:val="none"/>
        </w:rPr>
        <w:t>射线法、</w:t>
      </w:r>
      <w:r>
        <w:rPr>
          <w:color w:val="auto"/>
          <w:shd w:val="pct10" w:color="auto" w:fill="FFFFFF"/>
          <w:lang w:val="en-US"/>
          <w:highlight w:val="none"/>
        </w:rPr>
        <w:t>磁粉法、渗透法等方法进行了相关规定。</w:t>
      </w:r>
    </w:p>
    <w:p>
      <w:pPr>
        <w:ind w:firstLineChars="0" w:firstLine="0"/>
        <w:rPr>
          <w:rFonts w:cs="Times New Roman"/>
          <w:color w:val="auto"/>
          <w:szCs w:val="28"/>
          <w:highlight w:val="none"/>
        </w:rPr>
      </w:pPr>
    </w:p>
    <w:p>
      <w:pPr>
        <w:ind w:firstLineChars="0" w:firstLine="0"/>
        <w:rPr>
          <w:rFonts w:cs="Times New Roman"/>
          <w:color w:val="auto"/>
          <w:szCs w:val="28"/>
          <w:highlight w:val="none"/>
        </w:rPr>
      </w:pPr>
      <w:r>
        <w:rPr>
          <w:rFonts w:cs="Times New Roman"/>
          <w:b/>
          <w:color w:val="auto"/>
          <w:szCs w:val="28"/>
          <w:highlight w:val="none"/>
        </w:rPr>
        <w:t>1.0.3　</w:t>
      </w:r>
      <w:r>
        <w:rPr>
          <w:rFonts w:cs="Times New Roman"/>
          <w:color w:val="auto"/>
          <w:szCs w:val="28"/>
          <w:highlight w:val="none"/>
        </w:rPr>
        <w:t>装配式桥梁构件连接检测与评定除应符合本标准规定外，尚</w:t>
      </w:r>
      <w:r>
        <w:rPr>
          <w:rFonts w:cs="Times New Roman" w:hint="eastAsia"/>
          <w:color w:val="auto"/>
          <w:szCs w:val="28"/>
          <w:highlight w:val="none"/>
        </w:rPr>
        <w:t>应符合国家、行业现行有关标准的规定</w:t>
      </w:r>
      <w:r>
        <w:rPr>
          <w:rFonts w:cs="Times New Roman"/>
          <w:color w:val="auto"/>
          <w:szCs w:val="28"/>
          <w:highlight w:val="none"/>
        </w:rPr>
        <w:t>。</w:t>
      </w:r>
    </w:p>
    <w:p>
      <w:pPr>
        <w:pStyle w:val="19"/>
        <w:ind w:firstLineChars="0" w:firstLine="0"/>
        <w:rPr>
          <w:color w:val="auto"/>
          <w:shd w:val="pct10" w:color="auto" w:fill="FFFFFF"/>
          <w:lang w:val="en-US"/>
          <w:highlight w:val="none"/>
        </w:rPr>
      </w:pPr>
      <w:r>
        <w:rPr>
          <w:rFonts w:hint="eastAsia"/>
          <w:b/>
          <w:bCs/>
          <w:color w:val="auto"/>
          <w:shd w:val="pct10" w:color="auto" w:fill="FFFFFF"/>
          <w:lang w:val="en-US" w:eastAsia="zh-CN"/>
          <w:highlight w:val="none"/>
        </w:rPr>
        <w:t>条文说明</w:t>
      </w:r>
      <w:r>
        <w:rPr>
          <w:b/>
          <w:bCs/>
          <w:color w:val="auto"/>
          <w:shd w:val="pct10" w:color="auto" w:fill="FFFFFF"/>
          <w:lang w:val="en-US"/>
          <w:highlight w:val="none"/>
        </w:rPr>
        <w:t>1.0.3　</w:t>
      </w:r>
      <w:r>
        <w:rPr>
          <w:color w:val="auto"/>
          <w:shd w:val="pct10" w:color="auto" w:fill="FFFFFF"/>
          <w:lang w:val="en-US"/>
          <w:highlight w:val="none"/>
        </w:rPr>
        <w:t>装配式桥梁构件连接涉及到的现行标准主要有：《钢结构设计标准》GB 50017、《钢结构工程施工质量验收标准》GB 50205、《钢结构焊接规范》GB 50661、《钢筋焊接及验收规程》JGJ 18、《钢筋机械连接技术规程》JGJ 107、《混凝土强度检验评定标准》GB/T 50107、《钢筋套筒灌浆连接应用技术规程》JGJ 355、《钢筋连接用套筒灌浆料》JG/T 408、《焊缝无损检测 超声检测 技术、检测等级和评定》GB/T 11345、《焊缝无损检测 射线检测 第1部分：X和伽玛射线的胶片技术》GB/T 3323.1、《焊缝无损检测 磁粉检测》GB/T 26951、《焊缝无损检测 焊缝渗透检测 验收等级》GB/T 26953等。</w:t>
      </w:r>
    </w:p>
    <w:p>
      <w:pPr>
        <w:ind w:firstLineChars="0" w:firstLine="0"/>
        <w:rPr>
          <w:rFonts w:cs="Times New Roman"/>
          <w:color w:val="auto"/>
          <w:szCs w:val="28"/>
          <w:highlight w:val="none"/>
        </w:rPr>
      </w:pPr>
    </w:p>
    <w:p>
      <w:pPr>
        <w:pStyle w:val="19"/>
        <w:ind w:firstLineChars="0" w:firstLine="0"/>
        <w:rPr>
          <w:color w:val="auto"/>
          <w:shd w:val="pct10" w:color="auto" w:fill="FFFFFF"/>
          <w:lang w:val="en-US"/>
          <w:highlight w:val="none"/>
        </w:rPr>
      </w:pPr>
    </w:p>
    <w:p>
      <w:pPr>
        <w:widowControl/>
        <w:spacing w:line="240" w:lineRule="auto"/>
        <w:ind w:firstLineChars="0" w:firstLine="0"/>
        <w:jc w:val="left"/>
        <w:textAlignment w:val="auto"/>
        <w:rPr>
          <w:rFonts w:eastAsia="仿宋" w:cs="Times New Roman"/>
          <w:color w:val="auto"/>
          <w:kern w:val="0"/>
          <w:szCs w:val="24"/>
          <w:lang w:val="zh-CN"/>
          <w:highlight w:val="none"/>
        </w:rPr>
      </w:pPr>
      <w:r>
        <w:rPr>
          <w:rFonts w:eastAsia="仿宋" w:cs="Times New Roman"/>
          <w:color w:val="auto"/>
          <w:kern w:val="0"/>
          <w:szCs w:val="24"/>
          <w:lang w:val="zh-CN"/>
          <w:highlight w:val="none"/>
        </w:rPr>
        <w:br w:type="page"/>
      </w:r>
    </w:p>
    <w:p>
      <w:pPr>
        <w:widowControl/>
        <w:spacing w:line="240" w:lineRule="auto"/>
        <w:ind w:firstLineChars="0" w:firstLine="0"/>
        <w:jc w:val="left"/>
        <w:textAlignment w:val="auto"/>
        <w:rPr>
          <w:rFonts w:eastAsia="仿宋" w:cs="Times New Roman"/>
          <w:color w:val="auto"/>
          <w:kern w:val="0"/>
          <w:szCs w:val="24"/>
          <w:lang w:val="zh-CN"/>
          <w:highlight w:val="none"/>
        </w:rPr>
      </w:pPr>
    </w:p>
    <w:p>
      <w:pPr>
        <w:pStyle w:val="1"/>
        <w:ind w:rightChars="0" w:right="0" w:firstLineChars="0" w:firstLine="0"/>
        <w:rPr>
          <w:rFonts w:cs="Times New Roman"/>
          <w:color w:val="auto"/>
          <w:lang w:val="el-GR"/>
          <w:highlight w:val="none"/>
        </w:rPr>
      </w:pPr>
      <w:bookmarkStart w:id="24" w:name="_Toc8609"/>
      <w:bookmarkStart w:id="25" w:name="_Toc28264"/>
      <w:bookmarkStart w:id="26" w:name="_Toc18326"/>
      <w:bookmarkStart w:id="27" w:name="_Toc19123"/>
      <w:bookmarkStart w:id="28" w:name="_Toc13769"/>
      <w:r>
        <w:rPr>
          <w:rFonts w:cs="Times New Roman"/>
          <w:color w:val="auto"/>
          <w:lang w:val="el-GR"/>
          <w:highlight w:val="none"/>
        </w:rPr>
        <w:t>2　</w:t>
      </w:r>
      <w:bookmarkEnd w:id="14"/>
      <w:bookmarkEnd w:id="15"/>
      <w:bookmarkEnd w:id="16"/>
      <w:bookmarkEnd w:id="17"/>
      <w:bookmarkEnd w:id="18"/>
      <w:bookmarkEnd w:id="19"/>
      <w:bookmarkEnd w:id="20"/>
      <w:bookmarkEnd w:id="21"/>
      <w:bookmarkEnd w:id="22"/>
      <w:bookmarkEnd w:id="24"/>
      <w:r>
        <w:rPr>
          <w:rFonts w:cs="Times New Roman"/>
          <w:color w:val="auto"/>
          <w:lang w:val="el-GR"/>
          <w:highlight w:val="none"/>
        </w:rPr>
        <w:t>术语</w:t>
      </w:r>
      <w:r>
        <w:rPr>
          <w:rFonts w:cs="Times New Roman" w:hint="eastAsia"/>
          <w:color w:val="auto"/>
          <w:highlight w:val="none"/>
        </w:rPr>
        <w:t>和</w:t>
      </w:r>
      <w:r>
        <w:rPr>
          <w:rFonts w:cs="Times New Roman"/>
          <w:color w:val="auto"/>
          <w:lang w:val="el-GR"/>
          <w:highlight w:val="none"/>
        </w:rPr>
        <w:t>符号</w:t>
      </w:r>
      <w:bookmarkEnd w:id="25"/>
      <w:bookmarkEnd w:id="26"/>
      <w:bookmarkEnd w:id="27"/>
      <w:bookmarkEnd w:id="28"/>
    </w:p>
    <w:p>
      <w:pPr>
        <w:pStyle w:val="2"/>
        <w:tabs>
          <w:tab w:val="left" w:pos="0"/>
        </w:tabs>
        <w:rPr>
          <w:rFonts w:ascii="Times New Roman" w:cs="Times New Roman" w:hAnsi="Times New Roman"/>
          <w:b/>
          <w:color w:val="auto"/>
          <w:highlight w:val="none"/>
        </w:rPr>
      </w:pPr>
      <w:bookmarkStart w:id="29" w:name="_Toc30177551"/>
      <w:bookmarkStart w:id="30" w:name="_Toc31550"/>
      <w:bookmarkStart w:id="31" w:name="_Toc20761"/>
      <w:bookmarkStart w:id="32" w:name="_Toc20083"/>
      <w:bookmarkStart w:id="33" w:name="_Toc20498"/>
      <w:bookmarkStart w:id="34" w:name="_Toc35004499"/>
      <w:bookmarkStart w:id="35" w:name="_Toc2849"/>
      <w:bookmarkStart w:id="36" w:name="_Toc38546155"/>
      <w:bookmarkStart w:id="37" w:name="_Toc34312105"/>
      <w:bookmarkStart w:id="38" w:name="_Toc35004166"/>
      <w:bookmarkStart w:id="39" w:name="_Toc12958"/>
      <w:r>
        <w:rPr>
          <w:rFonts w:ascii="Times New Roman" w:cs="Times New Roman" w:hAnsi="Times New Roman"/>
          <w:color w:val="auto"/>
          <w:highlight w:val="none"/>
        </w:rPr>
        <w:t>2.1　</w:t>
      </w:r>
      <w:r>
        <w:rPr>
          <w:rFonts w:ascii="Times New Roman" w:cs="Times New Roman" w:hAnsi="Times New Roman"/>
          <w:b/>
          <w:color w:val="auto"/>
          <w:highlight w:val="none"/>
        </w:rPr>
        <w:t>术语</w:t>
      </w:r>
      <w:bookmarkEnd w:id="29"/>
      <w:bookmarkEnd w:id="30"/>
      <w:bookmarkEnd w:id="31"/>
      <w:bookmarkEnd w:id="32"/>
      <w:bookmarkEnd w:id="33"/>
      <w:bookmarkEnd w:id="34"/>
      <w:bookmarkEnd w:id="35"/>
      <w:bookmarkEnd w:id="36"/>
      <w:bookmarkEnd w:id="37"/>
      <w:bookmarkEnd w:id="38"/>
      <w:bookmarkEnd w:id="39"/>
    </w:p>
    <w:p>
      <w:pPr>
        <w:pStyle w:val="3"/>
        <w:tabs>
          <w:tab w:val="left" w:pos="0"/>
          <w:tab w:val="left" w:pos="567"/>
          <w:tab w:val="left" w:pos="709"/>
          <w:tab w:val="left" w:pos="1560"/>
        </w:tabs>
        <w:rPr>
          <w:rFonts w:cs="Times New Roman"/>
          <w:color w:val="auto"/>
          <w:highlight w:val="none"/>
        </w:rPr>
      </w:pPr>
      <w:bookmarkStart w:id="40" w:name="_Toc4630"/>
      <w:bookmarkStart w:id="41" w:name="_Toc32695"/>
      <w:bookmarkStart w:id="42" w:name="_Toc456112595"/>
      <w:r>
        <w:rPr>
          <w:rFonts w:cs="Times New Roman"/>
          <w:b/>
          <w:color w:val="auto"/>
          <w:highlight w:val="none"/>
        </w:rPr>
        <w:t>2.1.1　装配式桥梁　　</w:t>
      </w:r>
      <w:r>
        <w:rPr>
          <w:rFonts w:cs="Times New Roman"/>
          <w:color w:val="auto"/>
          <w:highlight w:val="none"/>
        </w:rPr>
        <w:t>prefabricated bridge</w:t>
      </w:r>
    </w:p>
    <w:p>
      <w:pPr>
        <w:rPr>
          <w:rFonts w:cs="Times New Roman"/>
          <w:color w:val="auto"/>
          <w:highlight w:val="none"/>
        </w:rPr>
      </w:pPr>
      <w:r>
        <w:rPr>
          <w:rFonts w:cs="Times New Roman"/>
          <w:color w:val="auto"/>
          <w:highlight w:val="none"/>
        </w:rPr>
        <w:t>由预制构件或部件通过各种可靠的方式连接组合成整体的桥梁。</w:t>
      </w:r>
    </w:p>
    <w:p>
      <w:pPr>
        <w:pStyle w:val="3"/>
        <w:tabs>
          <w:tab w:val="left" w:pos="0"/>
          <w:tab w:val="left" w:pos="567"/>
          <w:tab w:val="left" w:pos="709"/>
          <w:tab w:val="left" w:pos="1560"/>
        </w:tabs>
        <w:rPr>
          <w:rFonts w:cs="Times New Roman"/>
          <w:b/>
          <w:color w:val="auto"/>
          <w:szCs w:val="24"/>
          <w:highlight w:val="none"/>
        </w:rPr>
      </w:pPr>
      <w:r>
        <w:rPr>
          <w:rFonts w:cs="Times New Roman"/>
          <w:b/>
          <w:color w:val="auto"/>
          <w:highlight w:val="none"/>
        </w:rPr>
        <w:t>2.1.</w:t>
      </w:r>
      <w:r>
        <w:rPr>
          <w:rFonts w:cs="Times New Roman" w:hint="eastAsia"/>
          <w:b/>
          <w:color w:val="auto"/>
          <w:highlight w:val="none"/>
        </w:rPr>
        <w:t>2</w:t>
      </w:r>
      <w:r>
        <w:rPr>
          <w:rFonts w:cs="Times New Roman"/>
          <w:b/>
          <w:color w:val="auto"/>
          <w:highlight w:val="none"/>
        </w:rPr>
        <w:t>　</w:t>
      </w:r>
      <w:r>
        <w:rPr>
          <w:rFonts w:cs="Times New Roman"/>
          <w:b/>
          <w:color w:val="auto"/>
          <w:szCs w:val="24"/>
          <w:highlight w:val="none"/>
        </w:rPr>
        <w:t>构件</w:t>
      </w:r>
      <w:r>
        <w:rPr>
          <w:rFonts w:cs="Times New Roman"/>
          <w:b/>
          <w:color w:val="auto"/>
          <w:highlight w:val="none"/>
        </w:rPr>
        <w:t>　　</w:t>
      </w:r>
      <w:r>
        <w:rPr>
          <w:rFonts w:cs="Times New Roman" w:hint="eastAsia"/>
          <w:b/>
          <w:color w:val="auto"/>
          <w:highlight w:val="none"/>
        </w:rPr>
        <w:t>component</w:t>
      </w:r>
    </w:p>
    <w:p>
      <w:pPr>
        <w:rPr>
          <w:rFonts w:cs="Times New Roman"/>
          <w:color w:val="auto"/>
          <w:kern w:val="0"/>
          <w:szCs w:val="21"/>
          <w:highlight w:val="none"/>
        </w:rPr>
      </w:pPr>
      <w:r>
        <w:rPr>
          <w:rFonts w:cs="Times New Roman" w:hint="eastAsia"/>
          <w:color w:val="auto"/>
          <w:kern w:val="0"/>
          <w:highlight w:val="none"/>
        </w:rPr>
        <w:t>组成桥梁结构的最小单元。</w:t>
      </w:r>
    </w:p>
    <w:p>
      <w:pPr>
        <w:pStyle w:val="3"/>
        <w:tabs>
          <w:tab w:val="left" w:pos="0"/>
          <w:tab w:val="left" w:pos="567"/>
          <w:tab w:val="left" w:pos="709"/>
          <w:tab w:val="left" w:pos="1560"/>
        </w:tabs>
        <w:rPr>
          <w:rFonts w:cs="Times New Roman"/>
          <w:b/>
          <w:color w:val="auto"/>
          <w:szCs w:val="24"/>
          <w:highlight w:val="none"/>
        </w:rPr>
      </w:pPr>
      <w:r>
        <w:rPr>
          <w:rFonts w:cs="Times New Roman"/>
          <w:b/>
          <w:bCs w:val="0"/>
          <w:color w:val="auto"/>
          <w:szCs w:val="21"/>
          <w:highlight w:val="none"/>
        </w:rPr>
        <w:t>2.1.</w:t>
      </w:r>
      <w:r>
        <w:rPr>
          <w:rFonts w:cs="Times New Roman" w:hint="eastAsia"/>
          <w:b/>
          <w:bCs w:val="0"/>
          <w:color w:val="auto"/>
          <w:szCs w:val="21"/>
          <w:highlight w:val="none"/>
        </w:rPr>
        <w:t>3</w:t>
      </w:r>
      <w:r>
        <w:rPr>
          <w:rFonts w:cs="Times New Roman"/>
          <w:color w:val="auto"/>
          <w:highlight w:val="none"/>
        </w:rPr>
        <w:t>　</w:t>
      </w:r>
      <w:r>
        <w:rPr>
          <w:rFonts w:cs="Times New Roman" w:hint="eastAsia"/>
          <w:b/>
          <w:color w:val="auto"/>
          <w:szCs w:val="24"/>
          <w:highlight w:val="none"/>
        </w:rPr>
        <w:t>预制</w:t>
      </w:r>
      <w:r>
        <w:rPr>
          <w:rFonts w:cs="Times New Roman"/>
          <w:b/>
          <w:color w:val="auto"/>
          <w:szCs w:val="24"/>
          <w:highlight w:val="none"/>
        </w:rPr>
        <w:t>构件</w:t>
      </w:r>
      <w:r>
        <w:rPr>
          <w:rFonts w:cs="Times New Roman"/>
          <w:b/>
          <w:color w:val="auto"/>
          <w:highlight w:val="none"/>
        </w:rPr>
        <w:t>　　</w:t>
      </w:r>
      <w:r>
        <w:rPr>
          <w:rFonts w:cs="Times New Roman" w:hint="eastAsia"/>
          <w:color w:val="auto"/>
          <w:szCs w:val="24"/>
          <w:highlight w:val="none"/>
        </w:rPr>
        <w:t>precast component</w:t>
      </w:r>
    </w:p>
    <w:p>
      <w:pPr>
        <w:rPr>
          <w:rFonts w:cs="Times New Roman" w:hint="eastAsia"/>
          <w:color w:val="auto"/>
          <w:kern w:val="0"/>
          <w:highlight w:val="none"/>
        </w:rPr>
      </w:pPr>
      <w:r>
        <w:rPr>
          <w:rFonts w:cs="Times New Roman"/>
          <w:color w:val="auto"/>
          <w:kern w:val="0"/>
          <w:highlight w:val="none"/>
        </w:rPr>
        <w:t>在工厂或现场通过机械化的设备及模具预先</w:t>
      </w:r>
      <w:r>
        <w:rPr>
          <w:rFonts w:cs="Times New Roman" w:hint="eastAsia"/>
          <w:color w:val="auto"/>
          <w:kern w:val="0"/>
          <w:highlight w:val="none"/>
        </w:rPr>
        <w:t>生产</w:t>
      </w:r>
      <w:r>
        <w:rPr>
          <w:rFonts w:cs="Times New Roman"/>
          <w:color w:val="auto"/>
          <w:kern w:val="0"/>
          <w:highlight w:val="none"/>
        </w:rPr>
        <w:t>制作的钢筋混凝土、预应力钢筋混凝土</w:t>
      </w:r>
      <w:r>
        <w:rPr>
          <w:rFonts w:cs="Times New Roman" w:hint="eastAsia"/>
          <w:color w:val="auto"/>
          <w:kern w:val="0"/>
          <w:highlight w:val="none"/>
        </w:rPr>
        <w:t>、钢构件等组成桥梁结构的最小单元</w:t>
      </w:r>
    </w:p>
    <w:p>
      <w:pPr>
        <w:pStyle w:val="3"/>
        <w:tabs>
          <w:tab w:val="left" w:pos="0"/>
          <w:tab w:val="left" w:pos="567"/>
          <w:tab w:val="left" w:pos="709"/>
          <w:tab w:val="left" w:pos="1560"/>
        </w:tabs>
        <w:rPr>
          <w:rFonts w:cs="Times New Roman"/>
          <w:b/>
          <w:color w:val="auto"/>
          <w:highlight w:val="none"/>
        </w:rPr>
      </w:pPr>
      <w:r>
        <w:rPr>
          <w:rFonts w:cs="Times New Roman"/>
          <w:b/>
          <w:color w:val="auto"/>
          <w:highlight w:val="none"/>
        </w:rPr>
        <w:t>2.1.</w:t>
      </w:r>
      <w:r>
        <w:rPr>
          <w:rFonts w:cs="Times New Roman" w:hint="eastAsia"/>
          <w:b/>
          <w:color w:val="auto"/>
          <w:lang w:val="en-US" w:eastAsia="zh-CN"/>
          <w:highlight w:val="none"/>
        </w:rPr>
        <w:t>4</w:t>
      </w:r>
      <w:r>
        <w:rPr>
          <w:rFonts w:cs="Times New Roman"/>
          <w:b/>
          <w:color w:val="auto"/>
          <w:highlight w:val="none"/>
        </w:rPr>
        <w:t>　灌浆饱满度　　</w:t>
      </w:r>
      <w:r>
        <w:rPr>
          <w:rFonts w:cs="Times New Roman"/>
          <w:color w:val="auto"/>
          <w:highlight w:val="none"/>
        </w:rPr>
        <w:t>grouting plumpness</w:t>
      </w:r>
    </w:p>
    <w:p>
      <w:pPr>
        <w:rPr>
          <w:rFonts w:cs="Times New Roman" w:hint="eastAsia"/>
          <w:color w:val="auto"/>
          <w:kern w:val="0"/>
          <w:highlight w:val="none"/>
        </w:rPr>
      </w:pPr>
      <w:r>
        <w:rPr>
          <w:rFonts w:cs="Times New Roman"/>
          <w:color w:val="auto"/>
          <w:kern w:val="0"/>
          <w:szCs w:val="21"/>
          <w:highlight w:val="none"/>
        </w:rPr>
        <w:t>套筒、波纹管或孔道内灌浆结束并稳定后，钢筋周边填充水泥基高强灌浆料拌合物的充盈程度。</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2.1.</w:t>
      </w:r>
      <w:r>
        <w:rPr>
          <w:rFonts w:cs="Times New Roman" w:hint="eastAsia"/>
          <w:b/>
          <w:color w:val="auto"/>
          <w:lang w:val="en-US" w:eastAsia="zh-CN"/>
          <w:highlight w:val="none"/>
        </w:rPr>
        <w:t>5</w:t>
      </w:r>
      <w:r>
        <w:rPr>
          <w:rFonts w:cs="Times New Roman"/>
          <w:b/>
          <w:color w:val="auto"/>
          <w:highlight w:val="none"/>
        </w:rPr>
        <w:t>　内窥镜法　　</w:t>
      </w:r>
      <w:r>
        <w:rPr>
          <w:rFonts w:cs="Times New Roman" w:hint="eastAsia"/>
          <w:color w:val="auto"/>
          <w:highlight w:val="none"/>
        </w:rPr>
        <w:t>observation method using endoscopy</w:t>
      </w:r>
    </w:p>
    <w:p>
      <w:pPr>
        <w:rPr>
          <w:rFonts w:eastAsia="宋体" w:cs="Times New Roman"/>
          <w:color w:val="auto"/>
          <w:highlight w:val="none"/>
        </w:rPr>
      </w:pPr>
      <w:r>
        <w:rPr>
          <w:rFonts w:eastAsia="宋体" w:cs="Times New Roman"/>
          <w:color w:val="auto"/>
          <w:highlight w:val="none"/>
        </w:rPr>
        <w:t>利用带尺寸测量功能的内窥镜，在灌浆前和灌浆后对套筒内部进行观测，根据观测结果判断套筒内钢筋插入长度及灌浆</w:t>
      </w:r>
      <w:r>
        <w:rPr>
          <w:rFonts w:cs="Times New Roman"/>
          <w:color w:val="auto"/>
          <w:highlight w:val="none"/>
        </w:rPr>
        <w:t>饱满</w:t>
      </w:r>
      <w:r>
        <w:rPr>
          <w:rFonts w:eastAsia="宋体" w:cs="Times New Roman"/>
          <w:color w:val="auto"/>
          <w:highlight w:val="none"/>
        </w:rPr>
        <w:t>度的</w:t>
      </w:r>
      <w:r>
        <w:rPr>
          <w:rFonts w:eastAsia="宋体" w:cs="Times New Roman" w:hint="eastAsia"/>
          <w:color w:val="auto"/>
          <w:highlight w:val="none"/>
        </w:rPr>
        <w:t>检测</w:t>
      </w:r>
      <w:r>
        <w:rPr>
          <w:rFonts w:eastAsia="宋体" w:cs="Times New Roman"/>
          <w:color w:val="auto"/>
          <w:highlight w:val="none"/>
        </w:rPr>
        <w:t>方法。</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2.1.</w:t>
      </w:r>
      <w:r>
        <w:rPr>
          <w:rFonts w:cs="Times New Roman" w:hint="eastAsia"/>
          <w:b/>
          <w:color w:val="auto"/>
          <w:lang w:val="en-US" w:eastAsia="zh-CN"/>
          <w:highlight w:val="none"/>
        </w:rPr>
        <w:t>6</w:t>
      </w:r>
      <w:r>
        <w:rPr>
          <w:rFonts w:cs="Times New Roman"/>
          <w:b/>
          <w:color w:val="auto"/>
          <w:highlight w:val="none"/>
        </w:rPr>
        <w:t>　阻尼传感器法　　</w:t>
      </w:r>
      <w:r>
        <w:rPr>
          <w:rFonts w:cs="Times New Roman"/>
          <w:color w:val="auto"/>
          <w:highlight w:val="none"/>
        </w:rPr>
        <w:t>damping sensor method</w:t>
      </w:r>
    </w:p>
    <w:p>
      <w:pPr>
        <w:rPr>
          <w:rFonts w:cs="Times New Roman"/>
          <w:color w:val="auto"/>
          <w:highlight w:val="none"/>
        </w:rPr>
      </w:pPr>
      <w:r>
        <w:rPr>
          <w:rFonts w:cs="Times New Roman"/>
          <w:color w:val="auto"/>
          <w:highlight w:val="none"/>
        </w:rPr>
        <w:t>灌浆前在套筒出浆口预埋传感器，灌浆过程中或灌浆结束一定时间内，通过数据采集系统获得</w:t>
      </w:r>
      <w:r>
        <w:rPr>
          <w:rFonts w:cs="Times New Roman"/>
          <w:bCs/>
          <w:color w:val="auto"/>
          <w:highlight w:val="none"/>
        </w:rPr>
        <w:t>阻尼相关</w:t>
      </w:r>
      <w:r>
        <w:rPr>
          <w:rFonts w:cs="Times New Roman"/>
          <w:color w:val="auto"/>
          <w:highlight w:val="none"/>
        </w:rPr>
        <w:t>的波形及振动能量值判断灌浆饱满度的</w:t>
      </w:r>
      <w:r>
        <w:rPr>
          <w:rFonts w:eastAsia="宋体" w:cs="Times New Roman" w:hint="eastAsia"/>
          <w:color w:val="auto"/>
          <w:highlight w:val="none"/>
        </w:rPr>
        <w:t>检测</w:t>
      </w:r>
      <w:r>
        <w:rPr>
          <w:rFonts w:cs="Times New Roman"/>
          <w:color w:val="auto"/>
          <w:highlight w:val="none"/>
        </w:rPr>
        <w:t>方法。</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2.1.</w:t>
      </w:r>
      <w:r>
        <w:rPr>
          <w:rFonts w:cs="Times New Roman" w:hint="eastAsia"/>
          <w:b/>
          <w:color w:val="auto"/>
          <w:lang w:val="en-US" w:eastAsia="zh-CN"/>
          <w:highlight w:val="none"/>
        </w:rPr>
        <w:t>7</w:t>
      </w:r>
      <w:r>
        <w:rPr>
          <w:rFonts w:cs="Times New Roman"/>
          <w:b/>
          <w:color w:val="auto"/>
          <w:highlight w:val="none"/>
        </w:rPr>
        <w:t>　芯片法　　</w:t>
      </w:r>
      <w:r>
        <w:rPr>
          <w:rFonts w:cs="Times New Roman"/>
          <w:color w:val="auto"/>
          <w:highlight w:val="none"/>
        </w:rPr>
        <w:t>chip embedded method</w:t>
      </w:r>
    </w:p>
    <w:p>
      <w:pPr>
        <w:rPr>
          <w:rFonts w:cs="Times New Roman"/>
          <w:color w:val="auto"/>
          <w:highlight w:val="none"/>
        </w:rPr>
      </w:pPr>
      <w:r>
        <w:rPr>
          <w:rFonts w:cs="Times New Roman"/>
          <w:color w:val="auto"/>
          <w:highlight w:val="none"/>
        </w:rPr>
        <w:t>灌浆前在套筒出浆口预埋芯片装置，灌浆过程中或灌浆结束一定时间内，通过</w:t>
      </w:r>
      <w:r>
        <w:rPr>
          <w:rFonts w:cs="Times New Roman"/>
          <w:color w:val="auto"/>
          <w:szCs w:val="24"/>
          <w:highlight w:val="none"/>
        </w:rPr>
        <w:t>在出浆口区域扫查是否有芯片信号来</w:t>
      </w:r>
      <w:r>
        <w:rPr>
          <w:rFonts w:cs="Times New Roman"/>
          <w:color w:val="auto"/>
          <w:highlight w:val="none"/>
        </w:rPr>
        <w:t>判断灌浆饱满度的</w:t>
      </w:r>
      <w:r>
        <w:rPr>
          <w:rFonts w:eastAsia="宋体" w:cs="Times New Roman" w:hint="eastAsia"/>
          <w:color w:val="auto"/>
          <w:highlight w:val="none"/>
        </w:rPr>
        <w:t>检测</w:t>
      </w:r>
      <w:r>
        <w:rPr>
          <w:rFonts w:cs="Times New Roman"/>
          <w:color w:val="auto"/>
          <w:highlight w:val="none"/>
        </w:rPr>
        <w:t>方法。</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2.1.</w:t>
      </w:r>
      <w:r>
        <w:rPr>
          <w:rFonts w:cs="Times New Roman" w:hint="eastAsia"/>
          <w:b/>
          <w:color w:val="auto"/>
          <w:lang w:val="en-US" w:eastAsia="zh-CN"/>
          <w:highlight w:val="none"/>
        </w:rPr>
        <w:t>8</w:t>
      </w:r>
      <w:r>
        <w:rPr>
          <w:rFonts w:cs="Times New Roman"/>
          <w:b/>
          <w:color w:val="auto"/>
          <w:highlight w:val="none"/>
        </w:rPr>
        <w:t>　电阻率法　　</w:t>
      </w:r>
      <w:r>
        <w:rPr>
          <w:rFonts w:cs="Times New Roman"/>
          <w:color w:val="auto"/>
          <w:highlight w:val="none"/>
        </w:rPr>
        <w:t>resistivity method</w:t>
      </w:r>
    </w:p>
    <w:p>
      <w:pPr>
        <w:rPr>
          <w:rFonts w:cs="Times New Roman"/>
          <w:color w:val="auto"/>
          <w:highlight w:val="none"/>
        </w:rPr>
      </w:pPr>
      <w:r>
        <w:rPr>
          <w:rFonts w:cs="Times New Roman"/>
          <w:color w:val="auto"/>
          <w:highlight w:val="none"/>
        </w:rPr>
        <w:t>灌浆前在套筒出浆口预</w:t>
      </w:r>
      <w:r>
        <w:rPr>
          <w:rFonts w:cs="Times New Roman"/>
          <w:color w:val="auto"/>
          <w:szCs w:val="24"/>
          <w:highlight w:val="none"/>
        </w:rPr>
        <w:t>埋电极探头，灌浆过程中或灌浆结束一定时间内，通过数据采集系统获得的电阻</w:t>
      </w:r>
      <w:r>
        <w:rPr>
          <w:rFonts w:cs="Times New Roman"/>
          <w:color w:val="auto"/>
          <w:highlight w:val="none"/>
        </w:rPr>
        <w:t>值判断灌浆饱满度的</w:t>
      </w:r>
      <w:r>
        <w:rPr>
          <w:rFonts w:eastAsia="宋体" w:cs="Times New Roman" w:hint="eastAsia"/>
          <w:color w:val="auto"/>
          <w:highlight w:val="none"/>
        </w:rPr>
        <w:t>检测</w:t>
      </w:r>
      <w:r>
        <w:rPr>
          <w:rFonts w:cs="Times New Roman"/>
          <w:color w:val="auto"/>
          <w:highlight w:val="none"/>
        </w:rPr>
        <w:t>方法。</w:t>
      </w:r>
    </w:p>
    <w:p>
      <w:pPr>
        <w:pStyle w:val="3"/>
        <w:tabs>
          <w:tab w:val="left" w:pos="0"/>
          <w:tab w:val="left" w:pos="567"/>
          <w:tab w:val="left" w:pos="709"/>
          <w:tab w:val="left" w:pos="1560"/>
        </w:tabs>
        <w:rPr>
          <w:rFonts w:cs="Times New Roman"/>
          <w:color w:val="auto"/>
          <w:highlight w:val="none"/>
        </w:rPr>
      </w:pPr>
      <w:r>
        <w:rPr>
          <w:rFonts w:cs="Times New Roman"/>
          <w:b/>
          <w:bCs/>
          <w:color w:val="auto"/>
          <w:szCs w:val="32"/>
          <w:highlight w:val="none"/>
        </w:rPr>
        <w:t>2.1.</w:t>
      </w:r>
      <w:r>
        <w:rPr>
          <w:rFonts w:cs="Times New Roman" w:hint="eastAsia"/>
          <w:b/>
          <w:bCs/>
          <w:color w:val="auto"/>
          <w:szCs w:val="32"/>
          <w:lang w:val="en-US" w:eastAsia="zh-CN"/>
          <w:highlight w:val="none"/>
        </w:rPr>
        <w:t>9</w:t>
      </w:r>
      <w:r>
        <w:rPr>
          <w:rFonts w:cs="Times New Roman"/>
          <w:b/>
          <w:bCs/>
          <w:color w:val="auto"/>
          <w:szCs w:val="32"/>
          <w:highlight w:val="none"/>
        </w:rPr>
        <w:t>　电容法</w:t>
      </w:r>
      <w:r>
        <w:rPr>
          <w:rFonts w:cs="Times New Roman"/>
          <w:b/>
          <w:bCs/>
          <w:color w:val="auto"/>
          <w:highlight w:val="none"/>
        </w:rPr>
        <w:t>　　</w:t>
      </w:r>
      <w:r>
        <w:rPr>
          <w:rFonts w:cs="Times New Roman"/>
          <w:bCs/>
          <w:color w:val="auto"/>
          <w:szCs w:val="32"/>
          <w:highlight w:val="none"/>
        </w:rPr>
        <w:t>capacitance method</w:t>
      </w:r>
    </w:p>
    <w:p>
      <w:pPr>
        <w:rPr>
          <w:rFonts w:cs="Times New Roman"/>
          <w:color w:val="auto"/>
          <w:highlight w:val="none"/>
        </w:rPr>
      </w:pPr>
      <w:r>
        <w:rPr>
          <w:rFonts w:cs="Times New Roman"/>
          <w:color w:val="auto"/>
          <w:highlight w:val="none"/>
        </w:rPr>
        <w:t>灌浆前在套筒出浆口预埋电容探头，灌浆过程中或灌浆结束一定时间内，通过数据采集系统获得的电容值判断灌浆饱满度的</w:t>
      </w:r>
      <w:r>
        <w:rPr>
          <w:rFonts w:eastAsia="宋体" w:cs="Times New Roman" w:hint="eastAsia"/>
          <w:color w:val="auto"/>
          <w:highlight w:val="none"/>
        </w:rPr>
        <w:t>检测</w:t>
      </w:r>
      <w:r>
        <w:rPr>
          <w:rFonts w:cs="Times New Roman"/>
          <w:color w:val="auto"/>
          <w:highlight w:val="none"/>
        </w:rPr>
        <w:t>方法。</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2.1.</w:t>
      </w:r>
      <w:r>
        <w:rPr>
          <w:rFonts w:cs="Times New Roman" w:hint="eastAsia"/>
          <w:b/>
          <w:color w:val="auto"/>
          <w:lang w:val="en-US" w:eastAsia="zh-CN"/>
          <w:highlight w:val="none"/>
        </w:rPr>
        <w:t>10</w:t>
      </w:r>
      <w:r>
        <w:rPr>
          <w:rFonts w:cs="Times New Roman"/>
          <w:b/>
          <w:color w:val="auto"/>
          <w:highlight w:val="none"/>
        </w:rPr>
        <w:t>　压电法　　</w:t>
      </w:r>
      <w:r>
        <w:rPr>
          <w:rFonts w:cs="Times New Roman"/>
          <w:color w:val="auto"/>
          <w:highlight w:val="none"/>
        </w:rPr>
        <w:t>piezoelectric method</w:t>
      </w:r>
    </w:p>
    <w:p>
      <w:pPr>
        <w:rPr>
          <w:rFonts w:cs="Times New Roman"/>
          <w:color w:val="auto"/>
          <w:highlight w:val="none"/>
        </w:rPr>
      </w:pPr>
      <w:r>
        <w:rPr>
          <w:rFonts w:cs="Times New Roman"/>
          <w:color w:val="auto"/>
          <w:highlight w:val="none"/>
        </w:rPr>
        <w:t>灌浆前在套筒出浆口预埋压电传感器，灌浆过程中或灌浆结束一定时间内，通过数据采集系统获得的电压值判断灌浆饱满度的</w:t>
      </w:r>
      <w:r>
        <w:rPr>
          <w:rFonts w:eastAsia="宋体" w:cs="Times New Roman" w:hint="eastAsia"/>
          <w:color w:val="auto"/>
          <w:highlight w:val="none"/>
        </w:rPr>
        <w:t>检测</w:t>
      </w:r>
      <w:r>
        <w:rPr>
          <w:rFonts w:cs="Times New Roman"/>
          <w:color w:val="auto"/>
          <w:highlight w:val="none"/>
        </w:rPr>
        <w:t>方法。</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2.1.</w:t>
      </w:r>
      <w:r>
        <w:rPr>
          <w:rFonts w:cs="Times New Roman" w:hint="eastAsia"/>
          <w:b/>
          <w:color w:val="auto"/>
          <w:highlight w:val="none"/>
        </w:rPr>
        <w:t>1</w:t>
      </w:r>
      <w:r>
        <w:rPr>
          <w:rFonts w:cs="Times New Roman" w:hint="eastAsia"/>
          <w:b/>
          <w:color w:val="auto"/>
          <w:lang w:val="en-US" w:eastAsia="zh-CN"/>
          <w:highlight w:val="none"/>
        </w:rPr>
        <w:t>1</w:t>
      </w:r>
      <w:r>
        <w:rPr>
          <w:rFonts w:cs="Times New Roman"/>
          <w:b/>
          <w:color w:val="auto"/>
          <w:highlight w:val="none"/>
        </w:rPr>
        <w:t>　压力传感器法　　</w:t>
      </w:r>
      <w:r>
        <w:rPr>
          <w:rFonts w:cs="Times New Roman"/>
          <w:color w:val="auto"/>
          <w:highlight w:val="none"/>
        </w:rPr>
        <w:t>pressure sensor method</w:t>
      </w:r>
    </w:p>
    <w:p>
      <w:pPr>
        <w:rPr>
          <w:rFonts w:cs="Times New Roman"/>
          <w:color w:val="auto"/>
          <w:highlight w:val="none"/>
        </w:rPr>
      </w:pPr>
      <w:r>
        <w:rPr>
          <w:rFonts w:cs="Times New Roman"/>
          <w:color w:val="auto"/>
          <w:highlight w:val="none"/>
        </w:rPr>
        <w:t>利用传感装置获取浆料上升后的压力变化，通过采集到的压力变化数据曲线判断灌浆饱满度的</w:t>
      </w:r>
      <w:r>
        <w:rPr>
          <w:rFonts w:eastAsia="宋体" w:cs="Times New Roman" w:hint="eastAsia"/>
          <w:color w:val="auto"/>
          <w:highlight w:val="none"/>
        </w:rPr>
        <w:t>检测</w:t>
      </w:r>
      <w:r>
        <w:rPr>
          <w:rFonts w:cs="Times New Roman"/>
          <w:color w:val="auto"/>
          <w:highlight w:val="none"/>
        </w:rPr>
        <w:t>方法。</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2.1.1</w:t>
      </w:r>
      <w:r>
        <w:rPr>
          <w:rFonts w:cs="Times New Roman" w:hint="eastAsia"/>
          <w:b/>
          <w:color w:val="auto"/>
          <w:lang w:val="en-US" w:eastAsia="zh-CN"/>
          <w:highlight w:val="none"/>
        </w:rPr>
        <w:t>2</w:t>
      </w:r>
      <w:r>
        <w:rPr>
          <w:rFonts w:cs="Times New Roman"/>
          <w:b/>
          <w:color w:val="auto"/>
          <w:highlight w:val="none"/>
        </w:rPr>
        <w:t>　预埋钢丝拉拔法　　</w:t>
      </w:r>
      <w:r>
        <w:rPr>
          <w:rFonts w:cs="Times New Roman"/>
          <w:color w:val="auto"/>
          <w:highlight w:val="none"/>
        </w:rPr>
        <w:t>embedded steel wire drawing method</w:t>
      </w:r>
    </w:p>
    <w:p>
      <w:pPr>
        <w:rPr>
          <w:rFonts w:cs="Times New Roman"/>
          <w:color w:val="auto"/>
          <w:highlight w:val="none"/>
        </w:rPr>
      </w:pPr>
      <w:r>
        <w:rPr>
          <w:rFonts w:cs="Times New Roman"/>
          <w:color w:val="auto"/>
          <w:highlight w:val="none"/>
        </w:rPr>
        <w:t>灌浆前在套筒出浆口预埋钢丝，灌浆后一定时间后对预埋钢丝进行拉拔，通过拉拔力值判断灌浆饱满度的</w:t>
      </w:r>
      <w:r>
        <w:rPr>
          <w:rFonts w:eastAsia="宋体" w:cs="Times New Roman" w:hint="eastAsia"/>
          <w:color w:val="auto"/>
          <w:highlight w:val="none"/>
        </w:rPr>
        <w:t>检测</w:t>
      </w:r>
      <w:r>
        <w:rPr>
          <w:rFonts w:cs="Times New Roman"/>
          <w:color w:val="auto"/>
          <w:highlight w:val="none"/>
        </w:rPr>
        <w:t>方法。</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2.1.1</w:t>
      </w:r>
      <w:r>
        <w:rPr>
          <w:rFonts w:cs="Times New Roman" w:hint="eastAsia"/>
          <w:b/>
          <w:color w:val="auto"/>
          <w:lang w:val="en-US" w:eastAsia="zh-CN"/>
          <w:highlight w:val="none"/>
        </w:rPr>
        <w:t>3</w:t>
      </w:r>
      <w:r>
        <w:rPr>
          <w:rFonts w:cs="Times New Roman"/>
          <w:b/>
          <w:color w:val="auto"/>
          <w:highlight w:val="none"/>
        </w:rPr>
        <w:t>　超声波法　　</w:t>
      </w:r>
      <w:r>
        <w:rPr>
          <w:rFonts w:cs="Times New Roman"/>
          <w:color w:val="auto"/>
          <w:highlight w:val="none"/>
        </w:rPr>
        <w:t>ultrasonic method</w:t>
      </w:r>
    </w:p>
    <w:p>
      <w:pPr>
        <w:rPr>
          <w:rFonts w:cs="Times New Roman"/>
          <w:color w:val="auto"/>
          <w:highlight w:val="none"/>
        </w:rPr>
      </w:pPr>
      <w:r>
        <w:rPr>
          <w:rFonts w:cs="Times New Roman"/>
          <w:color w:val="auto"/>
          <w:highlight w:val="none"/>
        </w:rPr>
        <w:t>超声波在被检材料中传播时，根据材料的缺陷所显示的声学性质对超声波传播的影响来探测缺陷的</w:t>
      </w:r>
      <w:r>
        <w:rPr>
          <w:rFonts w:eastAsia="宋体" w:cs="Times New Roman" w:hint="eastAsia"/>
          <w:color w:val="auto"/>
          <w:highlight w:val="none"/>
        </w:rPr>
        <w:t>检测</w:t>
      </w:r>
      <w:r>
        <w:rPr>
          <w:rFonts w:cs="Times New Roman"/>
          <w:color w:val="auto"/>
          <w:highlight w:val="none"/>
        </w:rPr>
        <w:t>方法。</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2.1.1</w:t>
      </w:r>
      <w:r>
        <w:rPr>
          <w:rFonts w:cs="Times New Roman" w:hint="eastAsia"/>
          <w:b/>
          <w:color w:val="auto"/>
          <w:lang w:val="en-US" w:eastAsia="zh-CN"/>
          <w:highlight w:val="none"/>
        </w:rPr>
        <w:t>4</w:t>
      </w:r>
      <w:r>
        <w:rPr>
          <w:rFonts w:cs="Times New Roman"/>
          <w:b/>
          <w:color w:val="auto"/>
          <w:highlight w:val="none"/>
        </w:rPr>
        <w:t>　冲击回波法　　</w:t>
      </w:r>
      <w:r>
        <w:rPr>
          <w:rFonts w:cs="Times New Roman"/>
          <w:color w:val="auto"/>
          <w:highlight w:val="none"/>
        </w:rPr>
        <w:t>impact echo method</w:t>
      </w:r>
    </w:p>
    <w:p>
      <w:pPr>
        <w:rPr>
          <w:rFonts w:cs="Times New Roman"/>
          <w:color w:val="auto"/>
          <w:highlight w:val="none"/>
        </w:rPr>
      </w:pPr>
      <w:r>
        <w:rPr>
          <w:rFonts w:cs="Times New Roman" w:hint="eastAsia"/>
          <w:color w:val="auto"/>
          <w:highlight w:val="none"/>
        </w:rPr>
        <w:t>通过瞬时力学冲击产生瞬态弹性波并由设置在冲击点附近的宽频传感器接收弹性波信号，根据弹性波信号的反射特性，以此判断预应力孔道压浆密实度的</w:t>
      </w:r>
      <w:r>
        <w:rPr>
          <w:rFonts w:eastAsia="宋体" w:cs="Times New Roman" w:hint="eastAsia"/>
          <w:color w:val="auto"/>
          <w:highlight w:val="none"/>
        </w:rPr>
        <w:t>检测</w:t>
      </w:r>
      <w:r>
        <w:rPr>
          <w:rFonts w:cs="Times New Roman" w:hint="eastAsia"/>
          <w:color w:val="auto"/>
          <w:highlight w:val="none"/>
        </w:rPr>
        <w:t>方法。</w:t>
      </w:r>
    </w:p>
    <w:p>
      <w:pPr>
        <w:pStyle w:val="3"/>
        <w:tabs>
          <w:tab w:val="left" w:pos="0"/>
          <w:tab w:val="left" w:pos="567"/>
          <w:tab w:val="left" w:pos="709"/>
          <w:tab w:val="left" w:pos="1560"/>
        </w:tabs>
        <w:rPr>
          <w:rFonts w:cs="Times New Roman"/>
          <w:b/>
          <w:color w:val="auto"/>
          <w:highlight w:val="none"/>
        </w:rPr>
      </w:pPr>
      <w:r>
        <w:rPr>
          <w:rFonts w:cs="Times New Roman"/>
          <w:b/>
          <w:color w:val="auto"/>
          <w:highlight w:val="none"/>
        </w:rPr>
        <w:t>2.1.1</w:t>
      </w:r>
      <w:r>
        <w:rPr>
          <w:rFonts w:cs="Times New Roman" w:hint="eastAsia"/>
          <w:b/>
          <w:color w:val="auto"/>
          <w:lang w:val="en-US" w:eastAsia="zh-CN"/>
          <w:highlight w:val="none"/>
        </w:rPr>
        <w:t>5</w:t>
      </w:r>
      <w:r>
        <w:rPr>
          <w:rFonts w:cs="Times New Roman"/>
          <w:color w:val="auto"/>
          <w:highlight w:val="none"/>
        </w:rPr>
        <w:t>　</w:t>
      </w:r>
      <w:r>
        <w:rPr>
          <w:rFonts w:cs="Times New Roman"/>
          <w:b/>
          <w:color w:val="auto"/>
          <w:highlight w:val="none"/>
        </w:rPr>
        <w:t>复拉法</w:t>
      </w:r>
      <w:r>
        <w:rPr>
          <w:rFonts w:cs="Times New Roman"/>
          <w:color w:val="auto"/>
          <w:highlight w:val="none"/>
        </w:rPr>
        <w:t>　　back-tensioning method</w:t>
      </w:r>
    </w:p>
    <w:p>
      <w:pPr>
        <w:rPr>
          <w:rFonts w:cs="Times New Roman"/>
          <w:color w:val="auto"/>
          <w:highlight w:val="none"/>
        </w:rPr>
      </w:pPr>
      <w:r>
        <w:rPr>
          <w:rFonts w:cs="Times New Roman"/>
          <w:color w:val="auto"/>
          <w:highlight w:val="none"/>
        </w:rPr>
        <w:t>通过千斤顶对结构已张拉的预应力筋再次施加载荷，以检测锚下有效预应力的方法。</w:t>
      </w:r>
    </w:p>
    <w:p>
      <w:pPr>
        <w:pStyle w:val="3"/>
        <w:tabs>
          <w:tab w:val="left" w:pos="0"/>
          <w:tab w:val="left" w:pos="567"/>
          <w:tab w:val="left" w:pos="709"/>
          <w:tab w:val="left" w:pos="1560"/>
        </w:tabs>
        <w:rPr>
          <w:rFonts w:cs="Times New Roman"/>
          <w:b/>
          <w:color w:val="auto"/>
          <w:highlight w:val="none"/>
        </w:rPr>
      </w:pPr>
      <w:r>
        <w:rPr>
          <w:rFonts w:cs="Times New Roman"/>
          <w:b/>
          <w:color w:val="auto"/>
          <w:highlight w:val="none"/>
        </w:rPr>
        <w:t>2.1.1</w:t>
      </w:r>
      <w:r>
        <w:rPr>
          <w:rFonts w:cs="Times New Roman" w:hint="eastAsia"/>
          <w:b/>
          <w:color w:val="auto"/>
          <w:lang w:val="en-US" w:eastAsia="zh-CN"/>
          <w:highlight w:val="none"/>
        </w:rPr>
        <w:t>6</w:t>
      </w:r>
      <w:r>
        <w:rPr>
          <w:rFonts w:cs="Times New Roman"/>
          <w:color w:val="auto"/>
          <w:highlight w:val="none"/>
        </w:rPr>
        <w:t>　</w:t>
      </w:r>
      <w:r>
        <w:rPr>
          <w:rFonts w:cs="Times New Roman"/>
          <w:b/>
          <w:color w:val="auto"/>
          <w:highlight w:val="none"/>
        </w:rPr>
        <w:t>射钉法</w:t>
      </w:r>
      <w:r>
        <w:rPr>
          <w:rFonts w:cs="Times New Roman"/>
          <w:color w:val="auto"/>
          <w:highlight w:val="none"/>
        </w:rPr>
        <w:t>　　nail shooting method</w:t>
      </w:r>
    </w:p>
    <w:p>
      <w:pPr>
        <w:rPr>
          <w:rFonts w:cs="Times New Roman"/>
          <w:color w:val="auto"/>
          <w:highlight w:val="none"/>
        </w:rPr>
      </w:pPr>
      <w:r>
        <w:rPr>
          <w:rFonts w:cs="Times New Roman"/>
          <w:color w:val="auto"/>
          <w:highlight w:val="none"/>
        </w:rPr>
        <w:t>通过精确控制的动力将一支特制的钢钉射入混凝土中，根据贯入深度值来推定混凝土强度的</w:t>
      </w:r>
      <w:r>
        <w:rPr>
          <w:rFonts w:eastAsia="宋体" w:cs="Times New Roman" w:hint="eastAsia"/>
          <w:color w:val="auto"/>
          <w:highlight w:val="none"/>
        </w:rPr>
        <w:t>检测</w:t>
      </w:r>
      <w:r>
        <w:rPr>
          <w:rFonts w:cs="Times New Roman"/>
          <w:color w:val="auto"/>
          <w:highlight w:val="none"/>
        </w:rPr>
        <w:t>方法。</w:t>
      </w:r>
    </w:p>
    <w:p>
      <w:pPr>
        <w:pStyle w:val="3"/>
        <w:tabs>
          <w:tab w:val="left" w:pos="0"/>
          <w:tab w:val="left" w:pos="567"/>
          <w:tab w:val="left" w:pos="709"/>
          <w:tab w:val="left" w:pos="1560"/>
        </w:tabs>
        <w:rPr>
          <w:rFonts w:cs="Times New Roman"/>
          <w:b/>
          <w:color w:val="auto"/>
          <w:highlight w:val="none"/>
        </w:rPr>
      </w:pPr>
      <w:r>
        <w:rPr>
          <w:rFonts w:cs="Times New Roman"/>
          <w:b/>
          <w:color w:val="auto"/>
          <w:highlight w:val="none"/>
        </w:rPr>
        <w:t>2.1.1</w:t>
      </w:r>
      <w:r>
        <w:rPr>
          <w:rFonts w:cs="Times New Roman" w:hint="eastAsia"/>
          <w:b/>
          <w:color w:val="auto"/>
          <w:lang w:val="en-US" w:eastAsia="zh-CN"/>
          <w:highlight w:val="none"/>
        </w:rPr>
        <w:t>7</w:t>
      </w:r>
      <w:r>
        <w:rPr>
          <w:rFonts w:cs="Times New Roman"/>
          <w:color w:val="auto"/>
          <w:highlight w:val="none"/>
        </w:rPr>
        <w:t>　</w:t>
      </w:r>
      <w:r>
        <w:rPr>
          <w:rFonts w:cs="Times New Roman"/>
          <w:b/>
          <w:color w:val="auto"/>
          <w:highlight w:val="none"/>
        </w:rPr>
        <w:t>射线法</w:t>
      </w:r>
      <w:r>
        <w:rPr>
          <w:rFonts w:cs="Times New Roman"/>
          <w:color w:val="auto"/>
          <w:highlight w:val="none"/>
        </w:rPr>
        <w:t>　　ray method</w:t>
      </w:r>
    </w:p>
    <w:p>
      <w:pPr>
        <w:rPr>
          <w:rFonts w:cs="Times New Roman"/>
          <w:color w:val="auto"/>
          <w:highlight w:val="none"/>
        </w:rPr>
      </w:pPr>
      <w:r>
        <w:rPr>
          <w:rFonts w:cs="Times New Roman"/>
          <w:color w:val="auto"/>
          <w:highlight w:val="none"/>
        </w:rPr>
        <w:t>采用X或γ射线透视摄片法和工业电视实时成像，从胶片和成像上显出材料、零部件及焊缝的内部缺陷的</w:t>
      </w:r>
      <w:r>
        <w:rPr>
          <w:rFonts w:eastAsia="宋体" w:cs="Times New Roman" w:hint="eastAsia"/>
          <w:color w:val="auto"/>
          <w:highlight w:val="none"/>
        </w:rPr>
        <w:t>检测</w:t>
      </w:r>
      <w:r>
        <w:rPr>
          <w:rFonts w:cs="Times New Roman"/>
          <w:color w:val="auto"/>
          <w:highlight w:val="none"/>
        </w:rPr>
        <w:t>方法。</w:t>
      </w:r>
    </w:p>
    <w:p>
      <w:pPr>
        <w:pStyle w:val="3"/>
        <w:tabs>
          <w:tab w:val="left" w:pos="0"/>
          <w:tab w:val="left" w:pos="567"/>
          <w:tab w:val="left" w:pos="709"/>
          <w:tab w:val="left" w:pos="1560"/>
        </w:tabs>
        <w:rPr>
          <w:rFonts w:cs="Times New Roman"/>
          <w:b/>
          <w:color w:val="auto"/>
          <w:highlight w:val="none"/>
        </w:rPr>
      </w:pPr>
      <w:r>
        <w:rPr>
          <w:rFonts w:cs="Times New Roman"/>
          <w:b/>
          <w:color w:val="auto"/>
          <w:highlight w:val="none"/>
        </w:rPr>
        <w:t>2.1.1</w:t>
      </w:r>
      <w:r>
        <w:rPr>
          <w:rFonts w:cs="Times New Roman" w:hint="eastAsia"/>
          <w:b/>
          <w:color w:val="auto"/>
          <w:lang w:val="en-US" w:eastAsia="zh-CN"/>
          <w:highlight w:val="none"/>
        </w:rPr>
        <w:t>8</w:t>
      </w:r>
      <w:r>
        <w:rPr>
          <w:rFonts w:cs="Times New Roman"/>
          <w:color w:val="auto"/>
          <w:highlight w:val="none"/>
        </w:rPr>
        <w:t>　</w:t>
      </w:r>
      <w:r>
        <w:rPr>
          <w:rFonts w:cs="Times New Roman"/>
          <w:b/>
          <w:color w:val="auto"/>
          <w:highlight w:val="none"/>
        </w:rPr>
        <w:t>磁粉法</w:t>
      </w:r>
      <w:r>
        <w:rPr>
          <w:rFonts w:cs="Times New Roman"/>
          <w:color w:val="auto"/>
          <w:highlight w:val="none"/>
        </w:rPr>
        <w:t>　　magnetic particle method</w:t>
      </w:r>
    </w:p>
    <w:p>
      <w:pPr>
        <w:rPr>
          <w:rFonts w:cs="Times New Roman"/>
          <w:color w:val="auto"/>
          <w:highlight w:val="none"/>
        </w:rPr>
      </w:pPr>
      <w:r>
        <w:rPr>
          <w:rFonts w:cs="Times New Roman"/>
          <w:color w:val="auto"/>
          <w:highlight w:val="none"/>
        </w:rPr>
        <w:t>将钢铁等磁性材料制作的工件予以磁化，利用缺陷部位的漏磁能吸附磁粉的特征，依磁粉分布显示被探测物件表面缺陷和近表面缺陷的探伤方法。</w:t>
      </w:r>
    </w:p>
    <w:p>
      <w:pPr>
        <w:pStyle w:val="3"/>
        <w:tabs>
          <w:tab w:val="left" w:pos="0"/>
          <w:tab w:val="left" w:pos="567"/>
          <w:tab w:val="left" w:pos="709"/>
          <w:tab w:val="left" w:pos="1560"/>
        </w:tabs>
        <w:rPr>
          <w:rFonts w:cs="Times New Roman"/>
          <w:b/>
          <w:color w:val="auto"/>
          <w:highlight w:val="none"/>
        </w:rPr>
      </w:pPr>
      <w:r>
        <w:rPr>
          <w:rFonts w:cs="Times New Roman"/>
          <w:b/>
          <w:color w:val="auto"/>
          <w:highlight w:val="none"/>
        </w:rPr>
        <w:t>2.1.1</w:t>
      </w:r>
      <w:r>
        <w:rPr>
          <w:rFonts w:cs="Times New Roman" w:hint="eastAsia"/>
          <w:b/>
          <w:color w:val="auto"/>
          <w:lang w:val="en-US" w:eastAsia="zh-CN"/>
          <w:highlight w:val="none"/>
        </w:rPr>
        <w:t>9</w:t>
      </w:r>
      <w:r>
        <w:rPr>
          <w:rFonts w:cs="Times New Roman"/>
          <w:color w:val="auto"/>
          <w:highlight w:val="none"/>
        </w:rPr>
        <w:t>　</w:t>
      </w:r>
      <w:r>
        <w:rPr>
          <w:rFonts w:cs="Times New Roman"/>
          <w:b/>
          <w:color w:val="auto"/>
          <w:highlight w:val="none"/>
        </w:rPr>
        <w:t>渗透法</w:t>
      </w:r>
      <w:r>
        <w:rPr>
          <w:rFonts w:cs="Times New Roman"/>
          <w:color w:val="auto"/>
          <w:highlight w:val="none"/>
        </w:rPr>
        <w:t>　　infiltration method</w:t>
      </w:r>
    </w:p>
    <w:p>
      <w:pPr>
        <w:rPr>
          <w:rFonts w:cs="Times New Roman"/>
          <w:color w:val="auto"/>
          <w:highlight w:val="none"/>
        </w:rPr>
      </w:pPr>
      <w:r>
        <w:rPr>
          <w:rFonts w:cs="Times New Roman"/>
          <w:color w:val="auto"/>
          <w:highlight w:val="none"/>
        </w:rPr>
        <w:t>利用毛细现象检查材料表面缺陷的一种无损检验方法。</w:t>
      </w:r>
    </w:p>
    <w:p>
      <w:pPr>
        <w:pStyle w:val="3"/>
        <w:tabs>
          <w:tab w:val="left" w:pos="0"/>
          <w:tab w:val="left" w:pos="567"/>
          <w:tab w:val="left" w:pos="709"/>
          <w:tab w:val="left" w:pos="1560"/>
        </w:tabs>
        <w:rPr>
          <w:rFonts w:cs="Times New Roman"/>
          <w:b/>
          <w:color w:val="auto"/>
          <w:highlight w:val="none"/>
        </w:rPr>
      </w:pPr>
      <w:r>
        <w:rPr>
          <w:rFonts w:cs="Times New Roman"/>
          <w:b/>
          <w:color w:val="auto"/>
          <w:highlight w:val="none"/>
        </w:rPr>
        <w:t>2.1.</w:t>
      </w:r>
      <w:r>
        <w:rPr>
          <w:rFonts w:cs="Times New Roman" w:hint="eastAsia"/>
          <w:b/>
          <w:color w:val="auto"/>
          <w:lang w:val="en-US" w:eastAsia="zh-CN"/>
          <w:highlight w:val="none"/>
        </w:rPr>
        <w:t>20</w:t>
      </w:r>
      <w:r>
        <w:rPr>
          <w:rFonts w:cs="Times New Roman"/>
          <w:color w:val="auto"/>
          <w:highlight w:val="none"/>
        </w:rPr>
        <w:t>　</w:t>
      </w:r>
      <w:r>
        <w:rPr>
          <w:rFonts w:cs="Times New Roman"/>
          <w:b/>
          <w:color w:val="auto"/>
          <w:highlight w:val="none"/>
        </w:rPr>
        <w:t>相控阵法</w:t>
      </w:r>
      <w:r>
        <w:rPr>
          <w:rFonts w:cs="Times New Roman"/>
          <w:color w:val="auto"/>
          <w:highlight w:val="none"/>
        </w:rPr>
        <w:t>　　phased array method</w:t>
      </w:r>
    </w:p>
    <w:p>
      <w:pPr>
        <w:rPr>
          <w:rFonts w:cs="Times New Roman"/>
          <w:color w:val="auto"/>
          <w:highlight w:val="none"/>
        </w:rPr>
      </w:pPr>
      <w:r>
        <w:rPr>
          <w:rFonts w:cs="Times New Roman"/>
          <w:color w:val="auto"/>
          <w:highlight w:val="none"/>
        </w:rPr>
        <w:t>以电子方式改变由装有多个独立晶片的探头生成的超声束，实现检测声束的移动、偏转和聚焦等功能，在接收声波回波后进行信号处理并以图像显示焊缝内部缺陷的超声检测成像技术。</w:t>
      </w:r>
    </w:p>
    <w:p>
      <w:pPr>
        <w:pStyle w:val="3"/>
        <w:tabs>
          <w:tab w:val="left" w:pos="0"/>
          <w:tab w:val="left" w:pos="567"/>
          <w:tab w:val="left" w:pos="709"/>
          <w:tab w:val="left" w:pos="1560"/>
        </w:tabs>
        <w:rPr>
          <w:rFonts w:cs="Times New Roman"/>
          <w:b/>
          <w:color w:val="auto"/>
          <w:highlight w:val="none"/>
        </w:rPr>
      </w:pPr>
      <w:r>
        <w:rPr>
          <w:rFonts w:cs="Times New Roman"/>
          <w:b/>
          <w:color w:val="auto"/>
          <w:highlight w:val="none"/>
        </w:rPr>
        <w:t>2.1.2</w:t>
      </w:r>
      <w:r>
        <w:rPr>
          <w:rFonts w:cs="Times New Roman" w:hint="eastAsia"/>
          <w:b/>
          <w:color w:val="auto"/>
          <w:lang w:val="en-US" w:eastAsia="zh-CN"/>
          <w:highlight w:val="none"/>
        </w:rPr>
        <w:t>1</w:t>
      </w:r>
      <w:r>
        <w:rPr>
          <w:rFonts w:cs="Times New Roman"/>
          <w:b/>
          <w:color w:val="auto"/>
          <w:highlight w:val="none"/>
        </w:rPr>
        <w:t>　扭矩系数法</w:t>
      </w:r>
      <w:r>
        <w:rPr>
          <w:rFonts w:cs="Times New Roman"/>
          <w:color w:val="auto"/>
          <w:highlight w:val="none"/>
        </w:rPr>
        <w:t>　　torque coefficient method</w:t>
      </w:r>
    </w:p>
    <w:p>
      <w:pPr>
        <w:rPr>
          <w:rFonts w:cs="Times New Roman"/>
          <w:color w:val="auto"/>
          <w:highlight w:val="none"/>
        </w:rPr>
      </w:pPr>
      <w:r>
        <w:rPr>
          <w:rFonts w:cs="Times New Roman"/>
          <w:color w:val="auto"/>
          <w:highlight w:val="none"/>
        </w:rPr>
        <w:t>采用轴力计、扭矩扳手等设备，施拧螺栓使预拉力处于规定范围，测定螺栓预拉力值及相应的施拧扭矩值，并计算得到扭矩系数的试验方法。</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2.1.2</w:t>
      </w:r>
      <w:r>
        <w:rPr>
          <w:rFonts w:cs="Times New Roman" w:hint="eastAsia"/>
          <w:b/>
          <w:color w:val="auto"/>
          <w:lang w:val="en-US" w:eastAsia="zh-CN"/>
          <w:highlight w:val="none"/>
        </w:rPr>
        <w:t>2</w:t>
      </w:r>
      <w:r>
        <w:rPr>
          <w:rFonts w:cs="Times New Roman"/>
          <w:color w:val="auto"/>
          <w:highlight w:val="none"/>
        </w:rPr>
        <w:t>　</w:t>
      </w:r>
      <w:r>
        <w:rPr>
          <w:rFonts w:cs="Times New Roman"/>
          <w:b/>
          <w:color w:val="auto"/>
          <w:highlight w:val="none"/>
        </w:rPr>
        <w:t>湿接缝</w:t>
      </w:r>
      <w:r>
        <w:rPr>
          <w:rFonts w:cs="Times New Roman"/>
          <w:color w:val="auto"/>
          <w:highlight w:val="none"/>
        </w:rPr>
        <w:t>　　wet joint</w:t>
      </w:r>
    </w:p>
    <w:p>
      <w:pPr>
        <w:rPr>
          <w:rFonts w:cs="Times New Roman"/>
          <w:color w:val="auto"/>
          <w:kern w:val="0"/>
          <w:szCs w:val="21"/>
          <w:highlight w:val="none"/>
        </w:rPr>
      </w:pPr>
      <w:r>
        <w:rPr>
          <w:rFonts w:cs="Times New Roman"/>
          <w:color w:val="auto"/>
          <w:kern w:val="0"/>
          <w:szCs w:val="21"/>
          <w:highlight w:val="none"/>
        </w:rPr>
        <w:t>混凝土构件的预制节段之间采用现浇混凝土连接的接缝。</w:t>
      </w:r>
    </w:p>
    <w:p>
      <w:pPr>
        <w:pStyle w:val="3"/>
        <w:tabs>
          <w:tab w:val="left" w:pos="0"/>
          <w:tab w:val="left" w:pos="567"/>
          <w:tab w:val="left" w:pos="709"/>
          <w:tab w:val="left" w:pos="1560"/>
        </w:tabs>
        <w:rPr>
          <w:rFonts w:cs="Times New Roman"/>
          <w:b/>
          <w:color w:val="auto"/>
          <w:highlight w:val="none"/>
        </w:rPr>
      </w:pPr>
      <w:r>
        <w:rPr>
          <w:rFonts w:cs="Times New Roman"/>
          <w:b/>
          <w:color w:val="auto"/>
          <w:highlight w:val="none"/>
        </w:rPr>
        <w:t>2.1.2</w:t>
      </w:r>
      <w:r>
        <w:rPr>
          <w:rFonts w:cs="Times New Roman" w:hint="eastAsia"/>
          <w:b/>
          <w:color w:val="auto"/>
          <w:lang w:val="en-US" w:eastAsia="zh-CN"/>
          <w:highlight w:val="none"/>
        </w:rPr>
        <w:t>3</w:t>
      </w:r>
      <w:r>
        <w:rPr>
          <w:rFonts w:cs="Times New Roman"/>
          <w:color w:val="auto"/>
          <w:highlight w:val="none"/>
        </w:rPr>
        <w:t>　</w:t>
      </w:r>
      <w:r>
        <w:rPr>
          <w:rFonts w:cs="Times New Roman"/>
          <w:b/>
          <w:color w:val="auto"/>
          <w:highlight w:val="none"/>
        </w:rPr>
        <w:t>换能器</w:t>
      </w:r>
      <w:r>
        <w:rPr>
          <w:rFonts w:cs="Times New Roman"/>
          <w:color w:val="auto"/>
          <w:highlight w:val="none"/>
        </w:rPr>
        <w:t>　　transducer</w:t>
      </w:r>
    </w:p>
    <w:p>
      <w:pPr>
        <w:rPr>
          <w:rFonts w:cs="Times New Roman"/>
          <w:color w:val="auto"/>
          <w:kern w:val="0"/>
          <w:szCs w:val="21"/>
          <w:highlight w:val="none"/>
        </w:rPr>
      </w:pPr>
      <w:r>
        <w:rPr>
          <w:rFonts w:cs="Times New Roman"/>
          <w:color w:val="auto"/>
          <w:kern w:val="0"/>
          <w:szCs w:val="21"/>
          <w:highlight w:val="none"/>
        </w:rPr>
        <w:t>具有电能、声能相互转换功能的电子元器件。</w:t>
      </w:r>
    </w:p>
    <w:p>
      <w:pPr>
        <w:pStyle w:val="3"/>
        <w:tabs>
          <w:tab w:val="left" w:pos="0"/>
          <w:tab w:val="left" w:pos="567"/>
          <w:tab w:val="left" w:pos="709"/>
          <w:tab w:val="left" w:pos="1560"/>
        </w:tabs>
        <w:rPr>
          <w:rFonts w:cs="Times New Roman"/>
          <w:color w:val="auto"/>
          <w:highlight w:val="none"/>
        </w:rPr>
      </w:pPr>
      <w:bookmarkStart w:id="43" w:name="OLE_LINK20"/>
      <w:r>
        <w:rPr>
          <w:rFonts w:cs="Times New Roman"/>
          <w:b/>
          <w:color w:val="auto"/>
          <w:highlight w:val="none"/>
        </w:rPr>
        <w:t>2.1.</w:t>
      </w:r>
      <w:bookmarkEnd w:id="43"/>
      <w:r>
        <w:rPr>
          <w:rFonts w:cs="Times New Roman"/>
          <w:b/>
          <w:color w:val="auto"/>
          <w:highlight w:val="none"/>
        </w:rPr>
        <w:t>2</w:t>
      </w:r>
      <w:r>
        <w:rPr>
          <w:rFonts w:cs="Times New Roman" w:hint="eastAsia"/>
          <w:b/>
          <w:color w:val="auto"/>
          <w:highlight w:val="none"/>
        </w:rPr>
        <w:t>4</w:t>
      </w:r>
      <w:r>
        <w:rPr>
          <w:rFonts w:cs="Times New Roman"/>
          <w:color w:val="auto"/>
          <w:highlight w:val="none"/>
        </w:rPr>
        <w:t>　</w:t>
      </w:r>
      <w:r>
        <w:rPr>
          <w:rFonts w:cs="Times New Roman"/>
          <w:b/>
          <w:color w:val="auto"/>
          <w:highlight w:val="none"/>
        </w:rPr>
        <w:t>预应力连接</w:t>
      </w:r>
      <w:r>
        <w:rPr>
          <w:rFonts w:cs="Times New Roman"/>
          <w:color w:val="auto"/>
          <w:highlight w:val="none"/>
        </w:rPr>
        <w:t>　　abond prestressed reinforcement connection</w:t>
      </w:r>
    </w:p>
    <w:p>
      <w:pPr>
        <w:rPr>
          <w:rFonts w:cs="Times New Roman"/>
          <w:color w:val="auto"/>
          <w:highlight w:val="none"/>
        </w:rPr>
      </w:pPr>
      <w:r>
        <w:rPr>
          <w:rFonts w:cs="Times New Roman"/>
          <w:color w:val="auto"/>
          <w:highlight w:val="none"/>
        </w:rPr>
        <w:t>通过施加预应力将构件连接成整体的连接方式。</w:t>
      </w:r>
    </w:p>
    <w:p>
      <w:pPr>
        <w:ind w:firstLineChars="0" w:firstLine="0"/>
        <w:rPr>
          <w:rFonts w:cs="Times New Roman"/>
          <w:color w:val="auto"/>
          <w:highlight w:val="none"/>
        </w:rPr>
      </w:pPr>
    </w:p>
    <w:p>
      <w:pPr>
        <w:pStyle w:val="2"/>
        <w:tabs>
          <w:tab w:val="left" w:pos="0"/>
        </w:tabs>
        <w:rPr>
          <w:rFonts w:ascii="Times New Roman" w:cs="Times New Roman" w:hAnsi="Times New Roman"/>
          <w:color w:val="auto"/>
          <w:highlight w:val="none"/>
        </w:rPr>
      </w:pPr>
      <w:bookmarkStart w:id="44" w:name="_Toc38546156"/>
      <w:bookmarkStart w:id="45" w:name="_Toc14986"/>
      <w:bookmarkStart w:id="46" w:name="_Toc30177552"/>
      <w:bookmarkStart w:id="47" w:name="_Toc35004500"/>
      <w:bookmarkStart w:id="48" w:name="_Toc17907"/>
      <w:bookmarkStart w:id="49" w:name="_Toc19311"/>
      <w:bookmarkStart w:id="50" w:name="_Toc11724"/>
      <w:bookmarkStart w:id="51" w:name="_Toc34312106"/>
      <w:bookmarkStart w:id="52" w:name="_Toc17420"/>
      <w:bookmarkStart w:id="53" w:name="_Toc35004167"/>
      <w:bookmarkStart w:id="54" w:name="_Toc29408"/>
      <w:r>
        <w:rPr>
          <w:rFonts w:ascii="Times New Roman" w:cs="Times New Roman" w:hAnsi="Times New Roman"/>
          <w:color w:val="auto"/>
          <w:highlight w:val="none"/>
        </w:rPr>
        <w:t>2.2　符号</w:t>
      </w:r>
      <w:bookmarkEnd w:id="44"/>
      <w:bookmarkEnd w:id="45"/>
      <w:bookmarkEnd w:id="46"/>
      <w:bookmarkEnd w:id="47"/>
      <w:bookmarkEnd w:id="48"/>
      <w:bookmarkEnd w:id="49"/>
      <w:bookmarkEnd w:id="50"/>
      <w:bookmarkEnd w:id="51"/>
      <w:bookmarkEnd w:id="52"/>
      <w:bookmarkEnd w:id="53"/>
      <w:bookmarkEnd w:id="54"/>
    </w:p>
    <w:p>
      <w:pPr>
        <w:ind w:firstLineChars="0" w:firstLine="0"/>
        <w:jc w:val="left"/>
        <w:rPr>
          <w:rFonts w:cs="Times New Roman"/>
          <w:b/>
          <w:bCs/>
          <w:color w:val="auto"/>
          <w:szCs w:val="24"/>
          <w:highlight w:val="none"/>
        </w:rPr>
      </w:pPr>
      <w:bookmarkStart w:id="55" w:name="_Toc22754"/>
      <w:bookmarkStart w:id="56" w:name="_Toc34312107"/>
      <w:bookmarkStart w:id="57" w:name="_Toc35004501"/>
      <w:bookmarkStart w:id="58" w:name="_Toc8659"/>
      <w:bookmarkStart w:id="59" w:name="_Toc15337"/>
      <w:bookmarkStart w:id="60" w:name="_Toc35004168"/>
      <w:bookmarkStart w:id="61" w:name="_Toc12634"/>
      <w:bookmarkStart w:id="62" w:name="_Toc30177553"/>
      <w:bookmarkStart w:id="63" w:name="_Toc513828297"/>
      <w:bookmarkStart w:id="64" w:name="_Toc38546157"/>
      <w:bookmarkStart w:id="65" w:name="_Toc513828205"/>
      <w:bookmarkEnd w:id="40"/>
      <w:bookmarkEnd w:id="41"/>
      <w:bookmarkEnd w:id="42"/>
      <w:r>
        <w:rPr>
          <w:rFonts w:cs="Times New Roman"/>
          <w:b/>
          <w:bCs/>
          <w:color w:val="auto"/>
          <w:szCs w:val="24"/>
          <w:highlight w:val="none"/>
        </w:rPr>
        <w:t>2.2.1　几何尺寸</w:t>
      </w:r>
    </w:p>
    <w:p>
      <w:pPr>
        <w:pStyle w:val="38"/>
        <w:ind w:firstLineChars="300" w:firstLine="720"/>
        <w:textAlignment w:val="center"/>
        <w:rPr>
          <w:rFonts w:cs="Times New Roman"/>
          <w:color w:val="auto"/>
          <w:highlight w:val="none"/>
        </w:rPr>
      </w:pPr>
      <w:r>
        <w:rPr>
          <w:rFonts w:cs="Times New Roman"/>
          <w:color w:val="auto"/>
          <w:position w:val="-14"/>
          <w:highlight w:val="none"/>
        </w:rPr>
        <w:object>
          <v:shapetype id="_x0000_t75" coordsize="21600,21600"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filled="f" style="width:20.0pt;height:19.0pt;" o:ole="">
            <v:imagedata r:id="rId9" o:title="image2"/>
            <o:lock aspectratio="t"/>
            <w10:anchorLock/>
          </v:shape>
          <o:OLEObject Type="Embed" ProgID="Equation.KSEE3" ShapeID="_x0000_i1025" DrawAspect="Content" ObjectID="_1393063351" r:id="rId10"/>
        </w:object>
      </w:r>
      <w:r>
        <w:rPr>
          <w:rFonts w:cs="Times New Roman"/>
          <w:color w:val="auto"/>
          <w:highlight w:val="none"/>
        </w:rPr>
        <w:t>——预应力筋的公称截面面积</w:t>
      </w:r>
      <w:r>
        <w:rPr>
          <w:rFonts w:cs="Times New Roman" w:hint="eastAsia"/>
          <w:color w:val="auto"/>
          <w:highlight w:val="none"/>
        </w:rPr>
        <w:t>；</w:t>
      </w:r>
    </w:p>
    <w:p>
      <w:pPr>
        <w:ind w:firstLineChars="338" w:firstLine="811"/>
        <w:textAlignment w:val="center"/>
        <w:rPr>
          <w:rFonts w:cs="Times New Roman"/>
          <w:color w:val="auto"/>
          <w:highlight w:val="none"/>
        </w:rPr>
      </w:pPr>
      <w:r>
        <w:rPr>
          <w:rFonts w:cs="Times New Roman"/>
          <w:color w:val="auto"/>
          <w:highlight w:val="none"/>
        </w:rPr>
        <w:object>
          <v:shape id="_x0000_i1026" type="#_x0000_t75" filled="f" style="width:11.0pt;height:13.0pt;" o:ole="">
            <v:imagedata r:id="rId11" o:title="image3"/>
            <o:lock aspectratio="t"/>
            <w10:anchorLock/>
          </v:shape>
          <o:OLEObject Type="Embed" ProgID="Equation.KSEE3" ShapeID="_x0000_i1026" DrawAspect="Content" ObjectID="_1393063352" r:id="rId12"/>
        </w:object>
      </w:r>
      <w:r>
        <w:rPr>
          <w:rFonts w:cs="Times New Roman"/>
          <w:color w:val="auto"/>
          <w:highlight w:val="none"/>
        </w:rPr>
        <w:t>——孔道全长；</w:t>
      </w:r>
    </w:p>
    <w:p>
      <w:pPr>
        <w:spacing w:before="156"/>
        <w:ind w:firstLineChars="338" w:firstLine="811"/>
        <w:textAlignment w:val="center"/>
        <w:rPr>
          <w:rFonts w:cs="Times New Roman"/>
          <w:color w:val="auto"/>
          <w:szCs w:val="24"/>
          <w:highlight w:val="none"/>
        </w:rPr>
      </w:pPr>
      <w:r>
        <w:rPr>
          <w:rFonts w:cs="Times New Roman"/>
          <w:color w:val="auto"/>
          <w:position w:val="-4"/>
          <w:highlight w:val="none"/>
        </w:rPr>
        <w:object>
          <v:shape id="_x0000_i1027" type="#_x0000_t75" filled="f" style="width:11.0pt;height:15.0pt;" o:ole="">
            <v:imagedata r:id="rId13" o:title="image4"/>
            <o:lock aspectratio="t"/>
            <w10:anchorLock/>
          </v:shape>
          <o:OLEObject Type="Embed" ProgID="Equation.KSEE3" ShapeID="_x0000_i1027" DrawAspect="Content" ObjectID="_1393063353" r:id="rId14"/>
        </w:object>
      </w:r>
      <w:r>
        <w:rPr>
          <w:rFonts w:cs="Times New Roman"/>
          <w:color w:val="auto"/>
          <w:szCs w:val="24"/>
          <w:highlight w:val="none"/>
        </w:rPr>
        <w:t>——复验时平均外露值</w:t>
      </w:r>
      <w:r>
        <w:rPr>
          <w:rFonts w:cs="Times New Roman" w:hint="eastAsia"/>
          <w:color w:val="auto"/>
          <w:szCs w:val="24"/>
          <w:highlight w:val="none"/>
        </w:rPr>
        <w:t>；</w:t>
      </w:r>
    </w:p>
    <w:p>
      <w:pPr>
        <w:pStyle w:val="38"/>
        <w:ind w:firstLineChars="300" w:firstLine="720"/>
        <w:textAlignment w:val="center"/>
        <w:rPr>
          <w:rFonts w:cs="Times New Roman"/>
          <w:color w:val="auto"/>
          <w:highlight w:val="none"/>
        </w:rPr>
      </w:pPr>
      <w:r>
        <w:rPr>
          <w:rFonts w:cs="Times New Roman"/>
          <w:color w:val="auto"/>
          <w:position w:val="-12"/>
          <w:highlight w:val="none"/>
        </w:rPr>
        <w:object>
          <v:shape id="_x0000_i1028" type="#_x0000_t75" filled="f" style="width:13.95pt;height:18.0pt;" o:ole="">
            <v:imagedata r:id="rId15" o:title="image5"/>
            <o:lock aspectratio="t"/>
            <w10:anchorLock/>
          </v:shape>
          <o:OLEObject Type="Embed" ProgID="Equation.KSEE3" ShapeID="_x0000_i1028" DrawAspect="Content" ObjectID="_1393063354" r:id="rId16"/>
        </w:object>
      </w:r>
      <w:r>
        <w:rPr>
          <w:rFonts w:cs="Times New Roman"/>
          <w:color w:val="auto"/>
          <w:highlight w:val="none"/>
        </w:rPr>
        <w:t>——平均外露长度；</w:t>
      </w:r>
    </w:p>
    <w:p>
      <w:pPr>
        <w:ind w:firstLineChars="338" w:firstLine="811"/>
        <w:textAlignment w:val="center"/>
        <w:rPr>
          <w:rFonts w:cs="Times New Roman"/>
          <w:color w:val="auto"/>
          <w:highlight w:val="none"/>
        </w:rPr>
      </w:pPr>
      <w:r>
        <w:rPr>
          <w:rFonts w:cs="Times New Roman"/>
          <w:color w:val="auto"/>
          <w:highlight w:val="none"/>
        </w:rPr>
        <w:object>
          <v:shape id="_x0000_i1029" type="#_x0000_t75" filled="f" style="width:18.0pt;height:18.0pt;" o:ole="">
            <v:imagedata r:id="rId17" o:title="image6"/>
            <o:lock aspectratio="t"/>
            <w10:anchorLock/>
          </v:shape>
          <o:OLEObject Type="Embed" ProgID="Equation.KSEE3" ShapeID="_x0000_i1029" DrawAspect="Content" ObjectID="_1393063355" r:id="rId18"/>
        </w:object>
      </w:r>
      <w:r>
        <w:rPr>
          <w:rFonts w:cs="Times New Roman"/>
          <w:color w:val="auto"/>
          <w:highlight w:val="none"/>
        </w:rPr>
        <w:t>——检测区间长度；</w:t>
      </w:r>
    </w:p>
    <w:p>
      <w:pPr>
        <w:pStyle w:val="38"/>
        <w:ind w:firstLineChars="300" w:firstLine="720"/>
        <w:textAlignment w:val="center"/>
        <w:rPr>
          <w:rFonts w:cs="Times New Roman"/>
          <w:color w:val="auto"/>
          <w:szCs w:val="24"/>
          <w:highlight w:val="none"/>
        </w:rPr>
      </w:pPr>
      <w:r>
        <w:rPr>
          <w:rFonts w:cs="Times New Roman"/>
          <w:color w:val="auto"/>
          <w:position w:val="-12"/>
          <w:highlight w:val="none"/>
        </w:rPr>
        <w:object>
          <v:shape id="_x0000_i1030" type="#_x0000_t75" filled="f" style="width:19.0pt;height:18.0pt;" o:ole="">
            <v:imagedata r:id="rId19" o:title="image7"/>
            <o:lock aspectratio="t"/>
            <w10:anchorLock/>
          </v:shape>
          <o:OLEObject Type="Embed" ProgID="Equation.KSEE3" ShapeID="_x0000_i1030" DrawAspect="Content" ObjectID="_1393063356" r:id="rId20"/>
        </w:object>
      </w:r>
      <w:r>
        <w:rPr>
          <w:rFonts w:cs="Times New Roman"/>
          <w:color w:val="auto"/>
          <w:szCs w:val="24"/>
          <w:highlight w:val="none"/>
        </w:rPr>
        <w:t>——标准外露值；</w:t>
      </w:r>
    </w:p>
    <w:p>
      <w:pPr>
        <w:pStyle w:val="38"/>
        <w:ind w:firstLineChars="300" w:firstLine="720"/>
        <w:textAlignment w:val="center"/>
        <w:rPr>
          <w:rFonts w:cs="Times New Roman"/>
          <w:color w:val="auto"/>
          <w:szCs w:val="24"/>
          <w:highlight w:val="none"/>
        </w:rPr>
      </w:pPr>
      <w:r>
        <w:rPr>
          <w:rFonts w:cs="Times New Roman"/>
          <w:color w:val="auto"/>
          <w:position w:val="-6"/>
          <w:highlight w:val="none"/>
        </w:rPr>
        <w:object>
          <v:shape id="_x0000_i1031" type="#_x0000_t75" filled="f" style="width:11.0pt;height:13.95pt;" o:ole="">
            <v:imagedata r:id="rId21" o:title="image8"/>
            <o:lock aspectratio="t"/>
            <w10:anchorLock/>
          </v:shape>
          <o:OLEObject Type="Embed" ProgID="Equation.KSEE3" ShapeID="_x0000_i1031" DrawAspect="Content" ObjectID="_1393063357" r:id="rId22"/>
        </w:object>
      </w:r>
      <w:r>
        <w:rPr>
          <w:rFonts w:cs="Times New Roman"/>
          <w:color w:val="auto"/>
          <w:highlight w:val="none"/>
        </w:rPr>
        <w:t>——外露长度标准差</w:t>
      </w:r>
      <w:r>
        <w:rPr>
          <w:rFonts w:cs="Times New Roman" w:hint="eastAsia"/>
          <w:color w:val="auto"/>
          <w:highlight w:val="none"/>
        </w:rPr>
        <w:t>。</w:t>
      </w:r>
    </w:p>
    <w:p>
      <w:pPr>
        <w:ind w:firstLineChars="0" w:firstLine="0"/>
        <w:jc w:val="left"/>
        <w:rPr>
          <w:rFonts w:cs="Times New Roman"/>
          <w:b/>
          <w:bCs/>
          <w:color w:val="auto"/>
          <w:szCs w:val="24"/>
          <w:highlight w:val="none"/>
        </w:rPr>
      </w:pPr>
      <w:r>
        <w:rPr>
          <w:rFonts w:cs="Times New Roman"/>
          <w:b/>
          <w:bCs/>
          <w:color w:val="auto"/>
          <w:szCs w:val="24"/>
          <w:highlight w:val="none"/>
        </w:rPr>
        <w:t>2.2.2　作用与作用效应</w:t>
      </w:r>
    </w:p>
    <w:p>
      <w:pPr>
        <w:pStyle w:val="38"/>
        <w:ind w:firstLineChars="300" w:firstLine="720"/>
        <w:textAlignment w:val="center"/>
        <w:rPr>
          <w:rFonts w:cs="Times New Roman"/>
          <w:color w:val="auto"/>
          <w:highlight w:val="none"/>
        </w:rPr>
      </w:pPr>
      <m:oMath>
        <m:sSub>
          <m:sSubPr>
            <m:ctrlPr>
              <w:rPr>
                <w:rFonts w:ascii="Cambria Math" w:cs="Times New Roman" w:hAnsi="Cambria Math"/>
                <w:color w:val="auto"/>
              </w:rPr>
            </m:ctrlPr>
          </m:sSubPr>
          <m:e>
            <m:r>
              <w:rPr>
                <w:rFonts w:ascii="Cambria Math" w:cs="Times New Roman" w:hAnsi="Cambria Math"/>
                <w:color w:val="auto"/>
                <w:highlight w:val="none"/>
              </w:rPr>
              <m:t>F</m:t>
            </m:r>
          </m:e>
          <m:sub>
            <m:r>
              <w:rPr>
                <w:rFonts w:ascii="Cambria Math" w:cs="Times New Roman" w:hAnsi="Cambria Math"/>
                <w:color w:val="auto"/>
                <w:highlight w:val="none"/>
              </w:rPr>
              <m:t>e</m:t>
            </m:r>
          </m:sub>
        </m:sSub>
      </m:oMath>
      <w:r>
        <w:rPr>
          <w:rFonts w:cs="Times New Roman"/>
          <w:color w:val="auto"/>
          <w:highlight w:val="none"/>
        </w:rPr>
        <w:t>——单根锚下有效预应力实测值；</w:t>
      </w:r>
    </w:p>
    <w:p>
      <w:pPr>
        <w:pStyle w:val="38"/>
        <w:ind w:firstLineChars="151" w:firstLine="362"/>
        <w:textAlignment w:val="center"/>
        <w:rPr>
          <w:rFonts w:cs="Times New Roman"/>
          <w:color w:val="auto"/>
          <w:highlight w:val="none"/>
        </w:rPr>
      </w:pPr>
      <m:oMath>
        <m:sSub>
          <m:sSubPr>
            <m:ctrlPr>
              <w:rPr>
                <w:rFonts w:ascii="Cambria Math" w:cs="Times New Roman" w:hAnsi="Cambria Math"/>
                <w:color w:val="auto"/>
                <w:szCs w:val="24"/>
              </w:rPr>
            </m:ctrlPr>
          </m:sSubPr>
          <m:e>
            <m:r>
              <w:rPr>
                <w:rFonts w:ascii="Cambria Math" w:cs="Times New Roman" w:hAnsi="Cambria Math"/>
                <w:color w:val="auto"/>
                <w:szCs w:val="24"/>
                <w:highlight w:val="none"/>
              </w:rPr>
              <m:t>F</m:t>
            </m:r>
          </m:e>
          <m:sub>
            <m:sSub>
              <m:sSubPr>
                <m:ctrlPr>
                  <w:rPr>
                    <w:rFonts w:ascii="Cambria Math" w:cs="Times New Roman" w:hAnsi="Cambria Math"/>
                    <w:color w:val="auto"/>
                    <w:szCs w:val="24"/>
                  </w:rPr>
                </m:ctrlPr>
              </m:sSubPr>
              <m:e>
                <m:r>
                  <w:rPr>
                    <w:rFonts w:ascii="Cambria Math" w:cs="Times New Roman" w:hAnsi="Cambria Math"/>
                    <w:color w:val="auto"/>
                    <w:szCs w:val="24"/>
                    <w:highlight w:val="none"/>
                  </w:rPr>
                  <m:t>e</m:t>
                </m:r>
              </m:e>
              <m:sub>
                <m:r>
                  <w:rPr>
                    <w:rFonts w:ascii="Cambria Math" w:cs="Times New Roman" w:hAnsi="Cambria Math"/>
                    <w:color w:val="auto"/>
                    <w:szCs w:val="24"/>
                    <w:highlight w:val="none"/>
                  </w:rPr>
                  <m:t>max</m:t>
                </m:r>
              </m:sub>
            </m:sSub>
          </m:sub>
        </m:sSub>
      </m:oMath>
      <w:r>
        <w:rPr>
          <w:rFonts w:cs="Times New Roman"/>
          <w:color w:val="auto"/>
          <w:highlight w:val="none"/>
        </w:rPr>
        <w:t>——同束中单根预应力筋锚下有效预应力最大检测值；</w:t>
      </w:r>
    </w:p>
    <w:p>
      <w:pPr>
        <w:pStyle w:val="38"/>
        <w:ind w:firstLineChars="151" w:firstLine="362"/>
        <w:textAlignment w:val="center"/>
        <w:rPr>
          <w:rFonts w:cs="Times New Roman" w:hint="eastAsia"/>
          <w:color w:val="auto"/>
          <w:highlight w:val="none"/>
        </w:rPr>
      </w:pPr>
      <m:oMath>
        <m:sSub>
          <m:sSubPr>
            <m:ctrlPr>
              <w:rPr>
                <w:rFonts w:ascii="Cambria Math" w:cs="Times New Roman" w:hAnsi="Cambria Math"/>
                <w:color w:val="auto"/>
                <w:szCs w:val="24"/>
              </w:rPr>
            </m:ctrlPr>
          </m:sSubPr>
          <m:e>
            <m:r>
              <w:rPr>
                <w:rFonts w:ascii="Cambria Math" w:cs="Times New Roman" w:hAnsi="Cambria Math"/>
                <w:color w:val="auto"/>
                <w:szCs w:val="24"/>
                <w:highlight w:val="none"/>
              </w:rPr>
              <m:t>F</m:t>
            </m:r>
          </m:e>
          <m:sub>
            <m:sSub>
              <m:sSubPr>
                <m:ctrlPr>
                  <w:rPr>
                    <w:rFonts w:ascii="Cambria Math" w:cs="Times New Roman" w:hAnsi="Cambria Math"/>
                    <w:color w:val="auto"/>
                    <w:szCs w:val="24"/>
                  </w:rPr>
                </m:ctrlPr>
              </m:sSubPr>
              <m:e>
                <m:r>
                  <w:rPr>
                    <w:rFonts w:ascii="Cambria Math" w:cs="Times New Roman" w:hAnsi="Cambria Math"/>
                    <w:color w:val="auto"/>
                    <w:szCs w:val="24"/>
                    <w:highlight w:val="none"/>
                  </w:rPr>
                  <m:t>e</m:t>
                </m:r>
              </m:e>
              <m:sub>
                <m:r>
                  <w:rPr>
                    <w:rFonts w:ascii="Cambria Math" w:cs="Times New Roman" w:hAnsi="Cambria Math"/>
                    <w:color w:val="auto"/>
                    <w:szCs w:val="24"/>
                    <w:highlight w:val="none"/>
                  </w:rPr>
                  <m:t>min</m:t>
                </m:r>
              </m:sub>
            </m:sSub>
          </m:sub>
        </m:sSub>
      </m:oMath>
      <w:r>
        <w:rPr>
          <w:rFonts w:cs="Times New Roman"/>
          <w:color w:val="auto"/>
          <w:highlight w:val="none"/>
        </w:rPr>
        <w:t>——同束中单根预应力筋锚下有效预应力最小检测值</w:t>
      </w:r>
      <w:r>
        <w:rPr>
          <w:rFonts w:cs="Times New Roman" w:hint="eastAsia"/>
          <w:color w:val="auto"/>
          <w:highlight w:val="none"/>
        </w:rPr>
        <w:t>；</w:t>
      </w:r>
    </w:p>
    <w:p>
      <w:pPr>
        <w:ind w:firstLineChars="117" w:firstLine="283"/>
        <w:rPr>
          <w:rFonts w:cs="Times New Roman"/>
          <w:color w:val="auto"/>
          <w:highlight w:val="none"/>
        </w:rPr>
      </w:pPr>
      <m:oMath>
        <m:sSub>
          <m:sSubPr>
            <m:ctrlPr>
              <w:rPr>
                <w:rFonts w:ascii="Cambria Math" w:cs="Times New Roman" w:hAnsi="Cambria Math"/>
                <w:color w:val="auto"/>
              </w:rPr>
            </m:ctrlPr>
          </m:sSubPr>
          <m:e>
            <m:sSub>
              <m:sSubPr>
                <m:ctrlPr>
                  <w:rPr>
                    <w:rFonts w:ascii="Cambria Math" w:cs="Times New Roman" w:hAnsi="Cambria Math"/>
                    <w:color w:val="auto"/>
                  </w:rPr>
                </m:ctrlPr>
              </m:sSubPr>
              <m:e>
                <m:sSup>
                  <m:sSupPr>
                    <m:ctrlPr>
                      <w:rPr>
                        <w:rFonts w:ascii="Cambria Math" w:cs="Times New Roman" w:hAnsi="Cambria Math"/>
                        <w:color w:val="auto"/>
                      </w:rPr>
                    </m:ctrlPr>
                  </m:sSupPr>
                  <m:e>
                    <m:r>
                      <w:rPr>
                        <w:rFonts w:ascii="Cambria Math" w:cs="Times New Roman" w:hAnsi="Cambria Math"/>
                        <w:color w:val="auto"/>
                        <w:highlight w:val="none"/>
                      </w:rPr>
                      <m:t>F</m:t>
                    </m:r>
                  </m:e>
                  <m:sup>
                    <m:r>
                      <w:rPr>
                        <w:rFonts w:ascii="Cambria Math" w:cs="Times New Roman" w:hAnsi="Cambria Math"/>
                        <w:color w:val="auto"/>
                        <w:highlight w:val="none"/>
                      </w:rPr>
                      <m:t>’</m:t>
                    </m:r>
                  </m:sup>
                </m:sSup>
              </m:e>
              <m:sub>
                <m:sSub>
                  <m:sSubPr>
                    <m:ctrlPr>
                      <w:rPr>
                        <w:rFonts w:ascii="Cambria Math" w:cs="Times New Roman" w:hAnsi="Cambria Math"/>
                        <w:color w:val="auto"/>
                      </w:rPr>
                    </m:ctrlPr>
                  </m:sSubPr>
                  <m:e>
                    <m:r>
                      <w:rPr>
                        <w:rFonts w:ascii="Cambria Math" w:cs="Times New Roman" w:hAnsi="Cambria Math"/>
                        <w:color w:val="auto"/>
                        <w:highlight w:val="none"/>
                      </w:rPr>
                      <m:t>e</m:t>
                    </m:r>
                  </m:e>
                  <m:sub>
                    <m:r>
                      <w:rPr>
                        <w:rFonts w:ascii="Cambria Math" w:cs="Times New Roman" w:hAnsi="Cambria Math"/>
                        <w:color w:val="auto"/>
                        <w:highlight w:val="none"/>
                      </w:rPr>
                      <m:t>max</m:t>
                    </m:r>
                  </m:sub>
                </m:sSub>
              </m:sub>
            </m:sSub>
          </m:e>
          <m:sub/>
        </m:sSub>
      </m:oMath>
      <w:r>
        <w:rPr>
          <w:rFonts w:cs="Times New Roman"/>
          <w:color w:val="auto"/>
          <w:highlight w:val="none"/>
        </w:rPr>
        <w:t>——同断面中各孔道束实测锚下有效预应力平均值最大值；</w:t>
      </w:r>
    </w:p>
    <w:p>
      <w:pPr>
        <w:ind w:firstLineChars="117" w:firstLine="283"/>
        <w:rPr>
          <w:rFonts w:cs="Times New Roman"/>
          <w:color w:val="auto"/>
          <w:highlight w:val="none"/>
        </w:rPr>
      </w:pPr>
      <m:oMath>
        <m:sSub>
          <m:sSubPr>
            <m:ctrlPr>
              <w:rPr>
                <w:rFonts w:ascii="Cambria Math" w:cs="Times New Roman" w:hAnsi="Cambria Math"/>
                <w:color w:val="auto"/>
              </w:rPr>
            </m:ctrlPr>
          </m:sSubPr>
          <m:e>
            <m:sSup>
              <m:sSupPr>
                <m:ctrlPr>
                  <w:rPr>
                    <w:rFonts w:ascii="Cambria Math" w:cs="Times New Roman" w:hAnsi="Cambria Math"/>
                    <w:color w:val="auto"/>
                  </w:rPr>
                </m:ctrlPr>
              </m:sSupPr>
              <m:e>
                <m:r>
                  <w:rPr>
                    <w:rFonts w:ascii="Cambria Math" w:cs="Times New Roman" w:hAnsi="Cambria Math"/>
                    <w:color w:val="auto"/>
                    <w:highlight w:val="none"/>
                  </w:rPr>
                  <m:t>F</m:t>
                </m:r>
              </m:e>
              <m:sup>
                <m:r>
                  <w:rPr>
                    <w:rFonts w:ascii="Cambria Math" w:cs="Times New Roman" w:hAnsi="Cambria Math"/>
                    <w:color w:val="auto"/>
                    <w:highlight w:val="none"/>
                  </w:rPr>
                  <m:t>’</m:t>
                </m:r>
              </m:sup>
            </m:sSup>
          </m:e>
          <m:sub>
            <m:sSub>
              <m:sSubPr>
                <m:ctrlPr>
                  <w:rPr>
                    <w:rFonts w:ascii="Cambria Math" w:cs="Times New Roman" w:hAnsi="Cambria Math"/>
                    <w:color w:val="auto"/>
                  </w:rPr>
                </m:ctrlPr>
              </m:sSubPr>
              <m:e>
                <m:r>
                  <w:rPr>
                    <w:rFonts w:ascii="Cambria Math" w:cs="Times New Roman" w:hAnsi="Cambria Math"/>
                    <w:color w:val="auto"/>
                    <w:highlight w:val="none"/>
                  </w:rPr>
                  <m:t>e</m:t>
                </m:r>
              </m:e>
              <m:sub>
                <m:r>
                  <w:rPr>
                    <w:rFonts w:ascii="Cambria Math" w:cs="Times New Roman" w:hAnsi="Cambria Math"/>
                    <w:color w:val="auto"/>
                    <w:highlight w:val="none"/>
                  </w:rPr>
                  <m:t>min</m:t>
                </m:r>
              </m:sub>
            </m:sSub>
          </m:sub>
        </m:sSub>
      </m:oMath>
      <w:r>
        <w:rPr>
          <w:rFonts w:cs="Times New Roman"/>
          <w:color w:val="auto"/>
          <w:highlight w:val="none"/>
        </w:rPr>
        <w:t>——同断面中各孔道束实测锚下有效预应力平均值最小值。</w:t>
      </w:r>
    </w:p>
    <w:p>
      <w:pPr>
        <w:pStyle w:val="38"/>
        <w:ind w:firstLineChars="300" w:firstLine="720"/>
        <w:textAlignment w:val="center"/>
        <w:rPr>
          <w:rFonts w:cs="Times New Roman"/>
          <w:color w:val="auto"/>
          <w:highlight w:val="none"/>
        </w:rPr>
      </w:pPr>
      <m:oMath>
        <m:sSub>
          <m:sSubPr>
            <m:ctrlPr>
              <w:rPr>
                <w:rFonts w:ascii="Cambria Math" w:cs="Times New Roman" w:hAnsi="Cambria Math"/>
                <w:color w:val="auto"/>
              </w:rPr>
            </m:ctrlPr>
          </m:sSubPr>
          <m:e>
            <m:r>
              <w:rPr>
                <w:rFonts w:ascii="Cambria Math" w:cs="Times New Roman" w:hAnsi="Cambria Math"/>
                <w:color w:val="auto"/>
                <w:highlight w:val="none"/>
              </w:rPr>
              <m:t>F</m:t>
            </m:r>
          </m:e>
          <m:sub>
            <m:r>
              <m:rPr>
                <m:sty m:val="p"/>
              </m:rPr>
              <w:rPr>
                <w:rFonts w:ascii="Cambria Math" w:cs="Times New Roman" w:hAnsi="Cambria Math"/>
                <w:color w:val="auto"/>
                <w:highlight w:val="none"/>
              </w:rPr>
              <m:t>s</m:t>
            </m:r>
          </m:sub>
        </m:sSub>
      </m:oMath>
      <w:r>
        <w:rPr>
          <w:rFonts w:cs="Times New Roman"/>
          <w:color w:val="auto"/>
          <w:highlight w:val="none"/>
        </w:rPr>
        <w:t>——锚下有效预应力标准值</w:t>
      </w:r>
      <w:r>
        <w:rPr>
          <w:rFonts w:cs="Times New Roman" w:hint="eastAsia"/>
          <w:color w:val="auto"/>
          <w:highlight w:val="none"/>
        </w:rPr>
        <w:t>；</w:t>
      </w:r>
    </w:p>
    <w:p>
      <w:pPr>
        <w:pStyle w:val="38"/>
        <w:ind w:firstLineChars="300" w:firstLine="720"/>
        <w:textAlignment w:val="center"/>
        <w:rPr>
          <w:rFonts w:cs="Times New Roman"/>
          <w:color w:val="auto"/>
          <w:highlight w:val="none"/>
        </w:rPr>
      </w:pPr>
      <w:r>
        <w:rPr>
          <w:rFonts w:cs="Times New Roman"/>
          <w:color w:val="auto"/>
          <w:highlight w:val="none"/>
        </w:rPr>
        <w:object>
          <v:shape id="_x0000_i1032" type="#_x0000_t75" filled="f" style="width:16.0pt;height:26.0pt;" o:ole="">
            <v:imagedata r:id="rId23" o:title="image9"/>
            <o:lock aspectratio="t"/>
            <w10:anchorLock/>
          </v:shape>
          <o:OLEObject Type="Embed" ProgID="Equation.KSEE3" ShapeID="_x0000_i1032" DrawAspect="Content" ObjectID="_1393063358" r:id="rId24"/>
        </w:object>
      </w:r>
      <w:r>
        <w:rPr>
          <w:rFonts w:cs="Times New Roman"/>
          <w:color w:val="auto"/>
          <w:highlight w:val="none"/>
        </w:rPr>
        <w:t>——第j束实测锚下有效预应力平均值</w:t>
      </w:r>
      <w:r>
        <w:rPr>
          <w:rFonts w:cs="Times New Roman" w:hint="eastAsia"/>
          <w:color w:val="auto"/>
          <w:highlight w:val="none"/>
        </w:rPr>
        <w:t>；</w:t>
      </w:r>
    </w:p>
    <w:p>
      <w:pPr>
        <w:pStyle w:val="38"/>
        <w:ind w:firstLineChars="300" w:firstLine="720"/>
        <w:textAlignment w:val="center"/>
        <w:rPr>
          <w:rFonts w:cs="Times New Roman"/>
          <w:color w:val="auto"/>
          <w:highlight w:val="none"/>
        </w:rPr>
      </w:pPr>
      <m:oMath>
        <m:r>
          <m:rPr>
            <m:sty m:val="p"/>
          </m:rPr>
          <w:rPr>
            <w:rFonts w:ascii="Cambria Math" w:cs="Times New Roman" w:hAnsi="Cambria Math"/>
            <w:color w:val="auto"/>
            <w:highlight w:val="none"/>
          </w:rPr>
          <m:t xml:space="preserve"> </m:t>
        </m:r>
        <m:acc>
          <m:accPr>
            <m:chr m:val="̅"/>
            <m:ctrlPr>
              <w:rPr>
                <w:rFonts w:ascii="Cambria Math" w:cs="Times New Roman" w:hAnsi="Cambria Math"/>
                <w:color w:val="auto"/>
              </w:rPr>
            </m:ctrlPr>
          </m:accPr>
          <m:e>
            <m:r>
              <w:rPr>
                <w:rFonts w:ascii="Cambria Math" w:cs="Times New Roman" w:hAnsi="Cambria Math"/>
                <w:color w:val="auto"/>
                <w:highlight w:val="none"/>
              </w:rPr>
              <m:t>F</m:t>
            </m:r>
          </m:e>
        </m:acc>
      </m:oMath>
      <w:r>
        <w:rPr>
          <w:rFonts w:cs="Times New Roman"/>
          <w:color w:val="auto"/>
          <w:highlight w:val="none"/>
        </w:rPr>
        <w:t>——断面锚下有效预应力平均值。</w:t>
      </w:r>
    </w:p>
    <w:p>
      <w:pPr>
        <w:ind w:firstLineChars="0" w:firstLine="0"/>
        <w:jc w:val="left"/>
        <w:rPr>
          <w:rFonts w:cs="Times New Roman"/>
          <w:b/>
          <w:bCs/>
          <w:color w:val="auto"/>
          <w:szCs w:val="24"/>
          <w:highlight w:val="none"/>
        </w:rPr>
      </w:pPr>
      <w:r>
        <w:rPr>
          <w:rFonts w:cs="Times New Roman"/>
          <w:b/>
          <w:bCs/>
          <w:color w:val="auto"/>
          <w:szCs w:val="24"/>
          <w:highlight w:val="none"/>
        </w:rPr>
        <w:t>2.2.3　系数及其他</w:t>
      </w:r>
    </w:p>
    <w:p>
      <w:pPr>
        <w:pStyle w:val="38"/>
        <w:ind w:firstLineChars="344" w:firstLine="826"/>
        <w:textAlignment w:val="center"/>
        <w:rPr>
          <w:rFonts w:cs="Times New Roman"/>
          <w:color w:val="auto"/>
          <w:highlight w:val="none"/>
        </w:rPr>
      </w:pPr>
      <w:r>
        <w:rPr>
          <w:rFonts w:cs="Times New Roman"/>
          <w:color w:val="auto"/>
          <w:highlight w:val="none"/>
        </w:rPr>
        <w:object>
          <v:shape id="_x0000_i1033" type="#_x0000_t75" filled="f" style="width:10.0pt;height:11.0pt;" o:ole="">
            <v:imagedata r:id="rId25" o:title="image10"/>
            <o:lock aspectratio="t"/>
            <w10:anchorLock/>
          </v:shape>
          <o:OLEObject Type="Embed" ProgID="Equation.KSEE3" ShapeID="_x0000_i1033" DrawAspect="Content" ObjectID="_1393063359" r:id="rId26"/>
        </w:object>
      </w:r>
      <w:r>
        <w:rPr>
          <w:rFonts w:cs="Times New Roman"/>
          <w:color w:val="auto"/>
          <w:highlight w:val="none"/>
        </w:rPr>
        <w:t>——系数；</w:t>
      </w:r>
    </w:p>
    <w:p>
      <w:pPr>
        <w:pStyle w:val="38"/>
        <w:ind w:firstLineChars="354" w:firstLine="850"/>
        <w:textAlignment w:val="center"/>
        <w:rPr>
          <w:rFonts w:cs="Times New Roman"/>
          <w:color w:val="auto"/>
          <w:highlight w:val="none"/>
        </w:rPr>
      </w:pPr>
      <w:r>
        <w:rPr>
          <w:rFonts w:cs="Times New Roman"/>
          <w:color w:val="auto"/>
          <w:highlight w:val="none"/>
        </w:rPr>
        <w:object>
          <v:shape id="_x0000_i1034" type="#_x0000_t75" filled="f" style="width:10.0pt;height:13.95pt;" o:ole="">
            <v:imagedata r:id="rId27" o:title="image11"/>
            <o:lock aspectratio="t"/>
            <w10:anchorLock/>
          </v:shape>
          <o:OLEObject Type="Embed" ProgID="Equation.KSEE3" ShapeID="_x0000_i1034" DrawAspect="Content" ObjectID="_1393063360" r:id="rId28"/>
        </w:object>
      </w:r>
      <w:r>
        <w:rPr>
          <w:rFonts w:cs="Times New Roman"/>
          <w:color w:val="auto"/>
          <w:highlight w:val="none"/>
        </w:rPr>
        <w:t>——系数；</w:t>
      </w:r>
    </w:p>
    <w:p>
      <w:pPr>
        <w:pStyle w:val="38"/>
        <w:ind w:firstLineChars="300" w:firstLine="720"/>
        <w:textAlignment w:val="center"/>
        <w:rPr>
          <w:rFonts w:cs="Times New Roman"/>
          <w:color w:val="auto"/>
          <w:highlight w:val="none"/>
        </w:rPr>
      </w:pPr>
      <w:r>
        <w:rPr>
          <w:rFonts w:cs="Times New Roman"/>
          <w:color w:val="auto"/>
          <w:position w:val="-12"/>
          <w:highlight w:val="none"/>
        </w:rPr>
        <w:object>
          <v:shape id="_x0000_i1035" type="#_x0000_t75" filled="f" style="width:15.0pt;height:18.0pt;" o:ole="">
            <v:imagedata r:id="rId29" o:title="image12"/>
            <o:lock aspectratio="t"/>
            <w10:anchorLock/>
          </v:shape>
          <o:OLEObject Type="Embed" ProgID="Equation.KSEE3" ShapeID="_x0000_i1035" DrawAspect="Content" ObjectID="_1393063361" r:id="rId30"/>
        </w:object>
      </w:r>
      <w:r>
        <w:rPr>
          <w:rFonts w:cs="Times New Roman"/>
          <w:color w:val="auto"/>
          <w:highlight w:val="none"/>
        </w:rPr>
        <w:t>——变异系数</w:t>
      </w:r>
      <w:r>
        <w:rPr>
          <w:rFonts w:cs="Times New Roman" w:hint="eastAsia"/>
          <w:color w:val="auto"/>
          <w:highlight w:val="none"/>
        </w:rPr>
        <w:t>；</w:t>
      </w:r>
    </w:p>
    <w:p>
      <w:pPr>
        <w:pStyle w:val="38"/>
        <w:ind w:firstLineChars="300" w:firstLine="720"/>
        <w:textAlignment w:val="center"/>
        <w:rPr>
          <w:rFonts w:cs="Times New Roman"/>
          <w:color w:val="auto"/>
          <w:highlight w:val="none"/>
        </w:rPr>
      </w:pPr>
      <w:r>
        <w:rPr>
          <w:rFonts w:cs="Times New Roman"/>
          <w:color w:val="auto"/>
          <w:highlight w:val="none"/>
        </w:rPr>
        <w:object>
          <v:shape id="_x0000_i1036" type="#_x0000_t75" filled="f" style="width:16.0pt;height:18.0pt;" o:ole="">
            <v:imagedata r:id="rId31" o:title="image13"/>
            <o:lock aspectratio="t"/>
            <w10:anchorLock/>
          </v:shape>
          <o:OLEObject Type="Embed" ProgID="Equation.KSEE3" ShapeID="_x0000_i1036" DrawAspect="Content" ObjectID="_1393063362" r:id="rId32"/>
        </w:object>
      </w:r>
      <w:r>
        <w:rPr>
          <w:rFonts w:cs="Times New Roman"/>
          <w:color w:val="auto"/>
          <w:highlight w:val="none"/>
        </w:rPr>
        <w:t>——修正压浆密实度指数；</w:t>
      </w:r>
    </w:p>
    <w:p>
      <w:pPr>
        <w:pStyle w:val="38"/>
        <w:ind w:firstLineChars="300" w:firstLine="720"/>
        <w:textAlignment w:val="center"/>
        <w:rPr>
          <w:rFonts w:cs="Times New Roman"/>
          <w:color w:val="auto"/>
          <w:highlight w:val="none"/>
        </w:rPr>
      </w:pPr>
      <w:r>
        <w:rPr>
          <w:rFonts w:cs="Times New Roman"/>
          <w:color w:val="auto"/>
          <w:highlight w:val="none"/>
        </w:rPr>
        <w:object>
          <v:shape id="_x0000_i1037" type="#_x0000_t75" filled="f" style="width:16.0pt;height:18.0pt;" o:ole="">
            <v:imagedata r:id="rId33" o:title="image14"/>
            <o:lock aspectratio="t"/>
            <w10:anchorLock/>
          </v:shape>
          <o:OLEObject Type="Embed" ProgID="Equation.KSEE3" ShapeID="_x0000_i1037" DrawAspect="Content" ObjectID="_1393063363" r:id="rId34"/>
        </w:object>
      </w:r>
      <w:r>
        <w:rPr>
          <w:rFonts w:cs="Times New Roman"/>
          <w:color w:val="auto"/>
          <w:highlight w:val="none"/>
        </w:rPr>
        <w:t>——单条孔道各检测区段中，压浆质量较好的连续区段的压浆密实度指数</w:t>
      </w:r>
      <w:r>
        <w:rPr>
          <w:rFonts w:cs="Times New Roman" w:hint="eastAsia"/>
          <w:color w:val="auto"/>
          <w:highlight w:val="none"/>
        </w:rPr>
        <w:t>；</w:t>
      </w:r>
    </w:p>
    <w:p>
      <w:pPr>
        <w:pStyle w:val="38"/>
        <w:ind w:firstLineChars="300" w:firstLine="720"/>
        <w:textAlignment w:val="center"/>
        <w:rPr>
          <w:rFonts w:cs="Times New Roman"/>
          <w:color w:val="auto"/>
          <w:highlight w:val="none"/>
        </w:rPr>
      </w:pPr>
      <w:r>
        <w:rPr>
          <w:rFonts w:cs="Times New Roman"/>
          <w:color w:val="auto"/>
          <w:highlight w:val="none"/>
        </w:rPr>
        <w:object>
          <v:shape id="_x0000_i1038" type="#_x0000_t75" filled="f" style="width:13.95pt;height:13.95pt;" o:ole="">
            <v:imagedata r:id="rId35" o:title="image15"/>
            <o:lock aspectratio="t"/>
            <w10:anchorLock/>
          </v:shape>
          <o:OLEObject Type="Embed" ProgID="Equation.KSEE3" ShapeID="_x0000_i1038" DrawAspect="Content" ObjectID="_1393063364" r:id="rId36"/>
        </w:object>
      </w:r>
      <w:r>
        <w:rPr>
          <w:rFonts w:cs="Times New Roman"/>
          <w:color w:val="auto"/>
          <w:highlight w:val="none"/>
        </w:rPr>
        <w:t>——检测点数；</w:t>
      </w:r>
    </w:p>
    <w:p>
      <w:pPr>
        <w:pStyle w:val="38"/>
        <w:ind w:firstLineChars="354" w:firstLine="850"/>
        <w:textAlignment w:val="center"/>
        <w:rPr>
          <w:rFonts w:cs="Times New Roman"/>
          <w:color w:val="auto"/>
          <w:highlight w:val="none"/>
        </w:rPr>
      </w:pPr>
      <w:r>
        <w:rPr>
          <w:rFonts w:cs="Times New Roman"/>
          <w:color w:val="auto"/>
          <w:highlight w:val="none"/>
        </w:rPr>
        <w:object>
          <v:shape id="_x0000_i1039" type="#_x0000_t75" filled="f" style="width:10.0pt;height:11.0pt;" o:ole="">
            <v:imagedata r:id="rId37" o:title="image16"/>
            <o:lock aspectratio="t"/>
            <w10:anchorLock/>
          </v:shape>
          <o:OLEObject Type="Embed" ProgID="Equation.KSEE3" ShapeID="_x0000_i1039" DrawAspect="Content" ObjectID="_1393063365" r:id="rId38"/>
        </w:object>
      </w:r>
      <w:r>
        <w:rPr>
          <w:rFonts w:cs="Times New Roman"/>
          <w:color w:val="auto"/>
          <w:highlight w:val="none"/>
        </w:rPr>
        <w:t>——射钉贯入深度；</w:t>
      </w:r>
    </w:p>
    <w:p>
      <w:pPr>
        <w:pStyle w:val="38"/>
        <w:ind w:firstLineChars="344" w:firstLine="826"/>
        <w:textAlignment w:val="center"/>
        <w:rPr>
          <w:rFonts w:cs="Times New Roman"/>
          <w:color w:val="auto"/>
          <w:highlight w:val="none"/>
        </w:rPr>
      </w:pPr>
      <w:r>
        <w:rPr>
          <w:rFonts w:cs="Times New Roman"/>
          <w:color w:val="auto"/>
          <w:highlight w:val="none"/>
        </w:rPr>
        <w:object>
          <v:shape id="_x0000_i1040" type="#_x0000_t75" filled="f" style="width:11.0pt;height:13.0pt;" o:ole="">
            <v:imagedata r:id="rId39" o:title="image17"/>
            <o:lock aspectratio="t"/>
            <w10:anchorLock/>
          </v:shape>
          <o:OLEObject Type="Embed" ProgID="Equation.KSEE3" ShapeID="_x0000_i1040" DrawAspect="Content" ObjectID="_1393063366" r:id="rId40"/>
        </w:object>
      </w:r>
      <w:r>
        <w:rPr>
          <w:rFonts w:cs="Times New Roman"/>
          <w:color w:val="auto"/>
          <w:highlight w:val="none"/>
        </w:rPr>
        <w:t>——超高性能混凝土的抗压强度推定值；</w:t>
      </w:r>
    </w:p>
    <w:p>
      <w:pPr>
        <w:pStyle w:val="38"/>
        <w:ind w:firstLineChars="300" w:firstLine="720"/>
        <w:textAlignment w:val="center"/>
        <w:rPr>
          <w:rFonts w:cs="Times New Roman"/>
          <w:color w:val="auto"/>
          <w:highlight w:val="none"/>
        </w:rPr>
      </w:pPr>
      <w:r>
        <w:rPr>
          <w:rFonts w:cs="Times New Roman"/>
          <w:color w:val="auto"/>
          <w:highlight w:val="none"/>
        </w:rPr>
        <w:object>
          <v:shape id="_x0000_i1041" type="#_x0000_t75" filled="f" style="width:13.0pt;height:18.0pt;" o:ole="">
            <v:imagedata r:id="rId41" o:title="image18"/>
            <o:lock aspectratio="t"/>
            <w10:anchorLock/>
          </v:shape>
          <o:OLEObject Type="Embed" ProgID="Equation.KSEE3" ShapeID="_x0000_i1041" DrawAspect="Content" ObjectID="_1393063367" r:id="rId42"/>
        </w:object>
      </w:r>
      <w:r>
        <w:rPr>
          <w:rFonts w:cs="Times New Roman"/>
          <w:color w:val="auto"/>
          <w:highlight w:val="none"/>
        </w:rPr>
        <w:t>——测点i的压浆状态系数</w:t>
      </w:r>
      <w:r>
        <w:rPr>
          <w:rFonts w:cs="Times New Roman" w:hint="eastAsia"/>
          <w:color w:val="auto"/>
          <w:highlight w:val="none"/>
        </w:rPr>
        <w:t>；</w:t>
      </w:r>
    </w:p>
    <w:p>
      <w:pPr>
        <w:pStyle w:val="38"/>
        <w:ind w:firstLineChars="367" w:firstLine="881"/>
        <w:textAlignment w:val="center"/>
        <w:rPr>
          <w:rFonts w:cs="Times New Roman"/>
          <w:color w:val="auto"/>
          <w:highlight w:val="none"/>
        </w:rPr>
      </w:pPr>
      <m:oMath>
        <m:r>
          <m:rPr>
            <m:sty m:val="p"/>
          </m:rPr>
          <w:rPr>
            <w:rFonts w:ascii="Cambria Math" w:cs="Times New Roman" w:hAnsi="Cambria Math"/>
            <w:color w:val="auto"/>
            <w:highlight w:val="none"/>
          </w:rPr>
          <m:t>γ</m:t>
        </m:r>
      </m:oMath>
      <w:r>
        <w:rPr>
          <w:rFonts w:cs="Times New Roman"/>
          <w:color w:val="auto"/>
          <w:highlight w:val="none"/>
        </w:rPr>
        <w:t>——同断面不均匀度；</w:t>
      </w:r>
    </w:p>
    <w:p>
      <w:pPr>
        <w:pStyle w:val="38"/>
        <w:ind w:firstLineChars="355" w:firstLine="852"/>
        <w:textAlignment w:val="center"/>
        <w:rPr>
          <w:rFonts w:cs="Times New Roman"/>
          <w:color w:val="auto"/>
          <w:highlight w:val="none"/>
        </w:rPr>
      </w:pPr>
      <m:oMath>
        <m:r>
          <m:rPr>
            <m:sty m:val="p"/>
          </m:rPr>
          <w:rPr>
            <w:rFonts w:ascii="Cambria Math" w:cs="Times New Roman" w:hAnsi="Cambria Math"/>
            <w:color w:val="auto"/>
            <w:highlight w:val="none"/>
          </w:rPr>
          <m:t>θ——</m:t>
        </m:r>
      </m:oMath>
      <w:r>
        <w:rPr>
          <w:rFonts w:cs="Times New Roman"/>
          <w:color w:val="auto"/>
          <w:highlight w:val="none"/>
        </w:rPr>
        <w:t>锚下有效预应力同束不均匀度；</w:t>
      </w:r>
    </w:p>
    <w:p>
      <w:pPr>
        <w:pStyle w:val="38"/>
        <w:ind w:firstLineChars="338" w:firstLine="811"/>
        <w:textAlignment w:val="center"/>
        <w:rPr>
          <w:rFonts w:cs="Times New Roman"/>
          <w:color w:val="auto"/>
          <w:highlight w:val="none"/>
        </w:rPr>
      </w:pPr>
      <m:oMath>
        <m:sSub>
          <m:sSubPr>
            <m:ctrlPr>
              <w:rPr>
                <w:rFonts w:ascii="Cambria Math" w:cs="Times New Roman" w:hAnsi="Cambria Math"/>
                <w:color w:val="auto"/>
              </w:rPr>
            </m:ctrlPr>
          </m:sSubPr>
          <m:e>
            <m:r>
              <m:rPr>
                <m:sty m:val="p"/>
              </m:rPr>
              <w:rPr>
                <w:rFonts w:ascii="Cambria Math" w:cs="Times New Roman" w:hAnsi="Cambria Math"/>
                <w:color w:val="auto"/>
                <w:highlight w:val="none"/>
              </w:rPr>
              <m:t>τ</m:t>
            </m:r>
          </m:e>
          <m:sub>
            <m:r>
              <m:rPr>
                <m:sty m:val="p"/>
              </m:rPr>
              <w:rPr>
                <w:rFonts w:ascii="Cambria Math" w:cs="Times New Roman" w:hAnsi="Cambria Math"/>
                <w:color w:val="auto"/>
                <w:highlight w:val="none"/>
              </w:rPr>
              <m:t>i</m:t>
            </m:r>
          </m:sub>
        </m:sSub>
      </m:oMath>
      <w:r>
        <w:rPr>
          <w:rFonts w:cs="Times New Roman"/>
          <w:color w:val="auto"/>
          <w:highlight w:val="none"/>
        </w:rPr>
        <w:t>——第i单根锚下有效预应力偏差；</w:t>
      </w:r>
    </w:p>
    <w:p>
      <w:pPr>
        <w:pStyle w:val="38"/>
        <w:ind w:firstLineChars="338" w:firstLine="811"/>
        <w:textAlignment w:val="center"/>
        <w:rPr>
          <w:rFonts w:cs="Times New Roman"/>
          <w:color w:val="auto"/>
          <w:highlight w:val="none"/>
        </w:rPr>
      </w:pPr>
      <w:r>
        <w:rPr>
          <w:rFonts w:cs="Times New Roman"/>
          <w:color w:val="auto"/>
          <w:highlight w:val="none"/>
        </w:rPr>
        <w:object>
          <v:shape id="_x0000_i1042" type="#_x0000_t75" filled="f" style="width:10.0pt;height:22.0pt;" o:ole="">
            <v:imagedata r:id="rId43" o:title="image19"/>
            <o:lock aspectratio="t"/>
            <w10:anchorLock/>
          </v:shape>
          <o:OLEObject Type="Embed" ProgID="Equation.KSEE3" ShapeID="_x0000_i1042" DrawAspect="Content" ObjectID="_1393063368" r:id="rId44"/>
        </w:object>
      </w:r>
      <w:r>
        <w:rPr>
          <w:rFonts w:cs="Times New Roman"/>
          <w:color w:val="auto"/>
          <w:highlight w:val="none"/>
        </w:rPr>
        <w:t>——整束锚下有效预应力平均力值偏差；</w:t>
      </w:r>
    </w:p>
    <w:p>
      <w:pPr>
        <w:pStyle w:val="38"/>
        <w:ind w:firstLineChars="396" w:firstLine="950"/>
        <w:textAlignment w:val="center"/>
        <w:rPr>
          <w:rFonts w:cs="Times New Roman"/>
          <w:color w:val="auto"/>
          <w:highlight w:val="none"/>
        </w:rPr>
      </w:pPr>
      <m:oMath>
        <m:acc>
          <m:accPr>
            <m:chr m:val="̅"/>
            <m:ctrlPr>
              <w:rPr>
                <w:rFonts w:ascii="Cambria Math" w:cs="Times New Roman" w:hAnsi="Cambria Math"/>
                <w:color w:val="auto"/>
              </w:rPr>
            </m:ctrlPr>
          </m:accPr>
          <m:e>
            <m:r>
              <m:rPr>
                <m:sty m:val="p"/>
              </m:rPr>
              <w:rPr>
                <w:rFonts w:ascii="Cambria Math" w:cs="Times New Roman" w:hAnsi="Cambria Math"/>
                <w:color w:val="auto"/>
                <w:highlight w:val="none"/>
              </w:rPr>
              <m:t>τ</m:t>
            </m:r>
          </m:e>
        </m:acc>
      </m:oMath>
      <w:r>
        <w:rPr>
          <w:rFonts w:cs="Times New Roman"/>
          <w:color w:val="auto"/>
          <w:highlight w:val="none"/>
        </w:rPr>
        <w:t>——断面锚下有效预应力平均力值偏差；</w:t>
      </w:r>
    </w:p>
    <w:p>
      <w:pPr>
        <w:pStyle w:val="38"/>
        <w:ind w:firstLineChars="300" w:firstLine="720"/>
        <w:textAlignment w:val="center"/>
        <w:rPr>
          <w:rFonts w:cs="Times New Roman"/>
          <w:color w:val="auto"/>
          <w:highlight w:val="none"/>
        </w:rPr>
      </w:pPr>
      <w:r>
        <w:rPr>
          <w:rFonts w:cs="Times New Roman"/>
          <w:color w:val="auto"/>
          <w:highlight w:val="none"/>
        </w:rPr>
        <w:object>
          <v:shape id="_x0000_i1043" type="#_x0000_t75" filled="f" style="width:17.0pt;height:17.0pt;" o:ole="">
            <v:imagedata r:id="rId45" o:title="image20"/>
            <o:lock aspectratio="t"/>
            <w10:anchorLock/>
          </v:shape>
          <o:OLEObject Type="Embed" ProgID="Equation.KSEE3" ShapeID="_x0000_i1043" DrawAspect="Content" ObjectID="_1393063369" r:id="rId46"/>
        </w:object>
      </w:r>
      <w:r>
        <w:rPr>
          <w:rFonts w:cs="Times New Roman"/>
          <w:color w:val="auto"/>
          <w:highlight w:val="none"/>
        </w:rPr>
        <w:t>——预应力筋与管道壁之间摩擦引起的应力损失；</w:t>
      </w:r>
    </w:p>
    <w:p>
      <w:pPr>
        <w:pStyle w:val="38"/>
        <w:ind w:firstLineChars="300" w:firstLine="720"/>
        <w:textAlignment w:val="center"/>
        <w:rPr>
          <w:rFonts w:cs="Times New Roman"/>
          <w:color w:val="auto"/>
          <w:highlight w:val="none"/>
        </w:rPr>
      </w:pPr>
      <w:r>
        <w:rPr>
          <w:rFonts w:cs="Times New Roman"/>
          <w:color w:val="auto"/>
          <w:highlight w:val="none"/>
        </w:rPr>
        <w:object>
          <v:shape id="_x0000_i1044" type="#_x0000_t75" filled="f" style="width:18.0pt;height:17.0pt;" o:ole="">
            <v:imagedata r:id="rId47" o:title="image21"/>
            <o:lock aspectratio="t"/>
            <w10:anchorLock/>
          </v:shape>
          <o:OLEObject Type="Embed" ProgID="Equation.KSEE3" ShapeID="_x0000_i1044" DrawAspect="Content" ObjectID="_1393063370" r:id="rId48"/>
        </w:object>
      </w:r>
      <w:r>
        <w:rPr>
          <w:rFonts w:cs="Times New Roman"/>
          <w:color w:val="auto"/>
          <w:highlight w:val="none"/>
        </w:rPr>
        <w:t>——锚具变形、钢筋回缩和接缝压缩损失；</w:t>
      </w:r>
    </w:p>
    <w:p>
      <w:pPr>
        <w:pStyle w:val="38"/>
        <w:ind w:firstLineChars="300" w:firstLine="720"/>
        <w:textAlignment w:val="center"/>
        <w:rPr>
          <w:rFonts w:cs="Times New Roman"/>
          <w:color w:val="auto"/>
          <w:highlight w:val="none"/>
        </w:rPr>
      </w:pPr>
      <w:r>
        <w:rPr>
          <w:rFonts w:cs="Times New Roman"/>
          <w:color w:val="auto"/>
          <w:highlight w:val="none"/>
        </w:rPr>
        <w:object>
          <v:shape id="_x0000_i1045" type="#_x0000_t75" filled="f" style="width:18.0pt;height:18.0pt;" o:ole="">
            <v:imagedata r:id="rId49" o:title="image22"/>
            <o:lock aspectratio="t"/>
            <w10:anchorLock/>
          </v:shape>
          <o:OLEObject Type="Embed" ProgID="Equation.KSEE3" ShapeID="_x0000_i1045" DrawAspect="Content" ObjectID="_1393063371" r:id="rId50"/>
        </w:object>
      </w:r>
      <w:r>
        <w:rPr>
          <w:rFonts w:cs="Times New Roman"/>
          <w:color w:val="auto"/>
          <w:highlight w:val="none"/>
        </w:rPr>
        <w:t>——混凝土的弹性压缩损失</w:t>
      </w:r>
      <w:r>
        <w:rPr>
          <w:rFonts w:cs="Times New Roman" w:hint="eastAsia"/>
          <w:color w:val="auto"/>
          <w:highlight w:val="none"/>
        </w:rPr>
        <w:t>；</w:t>
      </w:r>
    </w:p>
    <w:p>
      <w:pPr>
        <w:pStyle w:val="38"/>
        <w:ind w:firstLineChars="235" w:firstLine="566"/>
        <w:textAlignment w:val="center"/>
        <w:rPr>
          <w:rFonts w:cs="Times New Roman"/>
          <w:color w:val="auto"/>
          <w:highlight w:val="none"/>
        </w:rPr>
      </w:pPr>
      <w:r>
        <w:rPr>
          <w:rFonts w:cs="Times New Roman"/>
          <w:color w:val="auto"/>
          <w:position w:val="-12"/>
          <w:highlight w:val="none"/>
        </w:rPr>
        <w:object>
          <v:shape id="_x0000_i1046" type="#_x0000_t75" filled="f" style="width:22.0pt;height:18.0pt;" o:ole="">
            <v:imagedata r:id="rId51" o:title="image23"/>
            <o:lock aspectratio="t"/>
            <w10:anchorLock/>
          </v:shape>
          <o:OLEObject Type="Embed" ProgID="Equation.KSEE3" ShapeID="_x0000_i1046" DrawAspect="Content" ObjectID="_1393063372" r:id="rId52"/>
        </w:object>
      </w:r>
      <w:r>
        <w:rPr>
          <w:rFonts w:cs="Times New Roman"/>
          <w:color w:val="auto"/>
          <w:highlight w:val="none"/>
        </w:rPr>
        <w:t>——设计张拉控制应力</w:t>
      </w:r>
      <w:r>
        <w:rPr>
          <w:rFonts w:cs="Times New Roman" w:hint="eastAsia"/>
          <w:color w:val="auto"/>
          <w:highlight w:val="none"/>
        </w:rPr>
        <w:t>。</w:t>
      </w:r>
    </w:p>
    <w:p>
      <w:pPr>
        <w:pStyle w:val="38"/>
        <w:ind w:firstLineChars="300" w:firstLine="720"/>
        <w:textAlignment w:val="center"/>
        <w:rPr>
          <w:rFonts w:cs="Times New Roman"/>
          <w:color w:val="auto"/>
          <w:highlight w:val="none"/>
        </w:rPr>
      </w:pPr>
    </w:p>
    <w:p>
      <w:pPr>
        <w:pStyle w:val="38"/>
        <w:ind w:firstLineChars="300" w:firstLine="720"/>
        <w:textAlignment w:val="center"/>
        <w:rPr>
          <w:rFonts w:cs="Times New Roman"/>
          <w:color w:val="auto"/>
          <w:highlight w:val="none"/>
        </w:rPr>
      </w:pPr>
    </w:p>
    <w:p>
      <w:pPr>
        <w:widowControl/>
        <w:spacing w:line="240" w:lineRule="auto"/>
        <w:ind w:firstLineChars="0" w:firstLine="0"/>
        <w:jc w:val="left"/>
        <w:textAlignment w:val="auto"/>
        <w:rPr>
          <w:rFonts w:cs="Times New Roman"/>
          <w:color w:val="auto"/>
          <w:sz w:val="21"/>
          <w:szCs w:val="21"/>
          <w:highlight w:val="none"/>
        </w:rPr>
      </w:pPr>
      <w:r>
        <w:rPr>
          <w:rFonts w:cs="Times New Roman"/>
          <w:b/>
          <w:bCs/>
          <w:color w:val="auto"/>
          <w:sz w:val="21"/>
          <w:szCs w:val="21"/>
          <w:highlight w:val="none"/>
        </w:rPr>
        <w:br w:type="page"/>
      </w:r>
    </w:p>
    <w:p>
      <w:pPr>
        <w:pStyle w:val="1"/>
        <w:rPr>
          <w:rFonts w:cs="Times New Roman"/>
          <w:color w:val="auto"/>
          <w:lang w:val="el-GR"/>
          <w:highlight w:val="none"/>
        </w:rPr>
      </w:pPr>
      <w:bookmarkStart w:id="66" w:name="_Toc17840"/>
      <w:bookmarkStart w:id="67" w:name="_Toc30084"/>
      <w:bookmarkStart w:id="68" w:name="_Toc13412"/>
      <w:bookmarkStart w:id="69" w:name="_Toc24321"/>
      <w:bookmarkStart w:id="70" w:name="_Toc22925"/>
      <w:r>
        <w:rPr>
          <w:rFonts w:cs="Times New Roman"/>
          <w:color w:val="auto"/>
          <w:lang w:val="el-GR"/>
          <w:highlight w:val="none"/>
        </w:rPr>
        <w:t>3　基本规定</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p>
    <w:p>
      <w:pPr>
        <w:pStyle w:val="2"/>
        <w:tabs>
          <w:tab w:val="left" w:pos="0"/>
        </w:tabs>
        <w:rPr>
          <w:rFonts w:ascii="Times New Roman" w:cs="Times New Roman" w:hAnsi="Times New Roman"/>
          <w:color w:val="auto"/>
          <w:highlight w:val="none"/>
        </w:rPr>
      </w:pPr>
      <w:bookmarkStart w:id="71" w:name="_Toc34312108"/>
      <w:bookmarkStart w:id="72" w:name="_Toc30177555"/>
      <w:bookmarkStart w:id="73" w:name="_Toc35004169"/>
      <w:bookmarkStart w:id="74" w:name="_Toc38546158"/>
      <w:bookmarkStart w:id="75" w:name="_Toc35004502"/>
      <w:bookmarkStart w:id="76" w:name="_Toc13382"/>
      <w:bookmarkStart w:id="77" w:name="_Toc13886"/>
      <w:bookmarkStart w:id="78" w:name="_Toc26700"/>
      <w:bookmarkStart w:id="79" w:name="_Toc22496"/>
      <w:bookmarkStart w:id="80" w:name="_Toc3103"/>
      <w:bookmarkStart w:id="81" w:name="_Toc35004172"/>
      <w:bookmarkStart w:id="82" w:name="_Toc9820"/>
      <w:bookmarkStart w:id="83" w:name="_Toc34312111"/>
      <w:bookmarkStart w:id="84" w:name="_Toc30177558"/>
      <w:bookmarkStart w:id="85" w:name="_Toc35004505"/>
      <w:bookmarkStart w:id="86" w:name="_Toc38546161"/>
      <w:bookmarkStart w:id="87" w:name="_Toc513828298"/>
      <w:bookmarkStart w:id="88" w:name="_Toc26562"/>
      <w:bookmarkStart w:id="89" w:name="_Toc28298"/>
      <w:bookmarkStart w:id="90" w:name="_Toc513828206"/>
      <w:bookmarkStart w:id="91" w:name="_Toc2266"/>
      <w:bookmarkEnd w:id="23"/>
      <w:r>
        <w:rPr>
          <w:rFonts w:ascii="Times New Roman" w:cs="Times New Roman" w:hAnsi="Times New Roman"/>
          <w:color w:val="auto"/>
          <w:highlight w:val="none"/>
        </w:rPr>
        <w:t>3.1　</w:t>
      </w:r>
      <w:bookmarkEnd w:id="71"/>
      <w:bookmarkEnd w:id="72"/>
      <w:bookmarkEnd w:id="73"/>
      <w:bookmarkEnd w:id="74"/>
      <w:bookmarkEnd w:id="75"/>
      <w:r>
        <w:rPr>
          <w:rFonts w:ascii="Times New Roman" w:cs="Times New Roman" w:hAnsi="Times New Roman"/>
          <w:color w:val="auto"/>
          <w:highlight w:val="none"/>
        </w:rPr>
        <w:t>检测分类与检测方法</w:t>
      </w:r>
      <w:bookmarkEnd w:id="76"/>
      <w:bookmarkEnd w:id="77"/>
      <w:bookmarkEnd w:id="78"/>
      <w:bookmarkEnd w:id="79"/>
      <w:bookmarkEnd w:id="80"/>
    </w:p>
    <w:p>
      <w:pPr>
        <w:pStyle w:val="3"/>
        <w:tabs>
          <w:tab w:val="left" w:pos="0"/>
          <w:tab w:val="left" w:pos="567"/>
          <w:tab w:val="left" w:pos="709"/>
          <w:tab w:val="left" w:pos="1560"/>
        </w:tabs>
        <w:rPr>
          <w:rFonts w:cs="Times New Roman"/>
          <w:color w:val="auto"/>
          <w:highlight w:val="none"/>
        </w:rPr>
      </w:pPr>
      <w:r>
        <w:rPr>
          <w:rFonts w:cs="Times New Roman"/>
          <w:b/>
          <w:color w:val="auto"/>
          <w:szCs w:val="24"/>
          <w:highlight w:val="none"/>
        </w:rPr>
        <w:t>3.1.</w:t>
      </w:r>
      <w:r>
        <w:rPr>
          <w:rFonts w:cs="Times New Roman"/>
          <w:b/>
          <w:color w:val="auto"/>
          <w:highlight w:val="none"/>
        </w:rPr>
        <w:t>1　</w:t>
      </w:r>
      <w:r>
        <w:rPr>
          <w:rFonts w:cs="Times New Roman" w:hint="eastAsia"/>
          <w:color w:val="auto"/>
          <w:highlight w:val="none"/>
        </w:rPr>
        <w:t>装配式桥梁构件连接可分为灌浆套筒连接、灌浆金属波纹管连接、</w:t>
      </w:r>
      <w:r>
        <w:rPr>
          <w:rFonts w:cs="Times New Roman" w:hint="eastAsia"/>
          <w:color w:val="auto"/>
          <w:lang w:val="en-US" w:eastAsia="zh-CN"/>
          <w:highlight w:val="none"/>
        </w:rPr>
        <w:t>混凝土</w:t>
      </w:r>
      <w:r>
        <w:rPr>
          <w:rFonts w:cs="Times New Roman" w:hint="eastAsia"/>
          <w:color w:val="auto"/>
          <w:highlight w:val="none"/>
        </w:rPr>
        <w:t>湿接缝连接、预应力连接、超高性能混凝土连接、</w:t>
      </w:r>
      <w:r>
        <w:rPr>
          <w:rFonts w:cs="Times New Roman" w:hint="eastAsia"/>
          <w:color w:val="auto"/>
          <w:lang w:val="en-US" w:eastAsia="zh-CN"/>
          <w:highlight w:val="none"/>
        </w:rPr>
        <w:t>钢结构</w:t>
      </w:r>
      <w:r>
        <w:rPr>
          <w:rFonts w:cs="Times New Roman" w:hint="eastAsia"/>
          <w:color w:val="auto"/>
          <w:highlight w:val="none"/>
        </w:rPr>
        <w:t>焊接连接、</w:t>
      </w:r>
      <w:r>
        <w:rPr>
          <w:rFonts w:cs="Times New Roman" w:hint="eastAsia"/>
          <w:color w:val="auto"/>
          <w:lang w:val="en-US" w:eastAsia="zh-CN"/>
          <w:highlight w:val="none"/>
        </w:rPr>
        <w:t>钢结构</w:t>
      </w:r>
      <w:r>
        <w:rPr>
          <w:rFonts w:cs="Times New Roman" w:hint="eastAsia"/>
          <w:color w:val="auto"/>
          <w:highlight w:val="none"/>
        </w:rPr>
        <w:t>螺栓连接等。</w:t>
      </w:r>
    </w:p>
    <w:p>
      <w:pPr>
        <w:pStyle w:val="3"/>
        <w:tabs>
          <w:tab w:val="left" w:pos="0"/>
          <w:tab w:val="left" w:pos="567"/>
          <w:tab w:val="left" w:pos="709"/>
          <w:tab w:val="left" w:pos="1560"/>
        </w:tabs>
        <w:rPr>
          <w:rFonts w:cs="Times New Roman"/>
          <w:color w:val="auto"/>
          <w:shd w:val="clear" w:color="auto" w:fill="FFFFFF"/>
          <w:highlight w:val="none"/>
        </w:rPr>
      </w:pPr>
      <w:r>
        <w:rPr>
          <w:rFonts w:cs="Times New Roman"/>
          <w:b/>
          <w:color w:val="auto"/>
          <w:shd w:val="clear" w:color="auto" w:fill="FFFFFF"/>
          <w:highlight w:val="none"/>
        </w:rPr>
        <w:t>3.1.</w:t>
      </w:r>
      <w:r>
        <w:rPr>
          <w:rFonts w:cs="Times New Roman" w:hint="eastAsia"/>
          <w:b/>
          <w:color w:val="auto"/>
          <w:lang w:val="en-US" w:eastAsia="zh-CN"/>
          <w:highlight w:val="none"/>
        </w:rPr>
        <w:t>2</w:t>
      </w:r>
      <w:r>
        <w:rPr>
          <w:rFonts w:cs="Times New Roman"/>
          <w:b/>
          <w:color w:val="auto"/>
          <w:highlight w:val="none"/>
        </w:rPr>
        <w:t>　</w:t>
      </w:r>
      <w:r>
        <w:rPr>
          <w:rFonts w:cs="Times New Roman" w:hint="eastAsia"/>
          <w:color w:val="auto"/>
          <w:shd w:val="clear" w:color="auto" w:fill="FFFFFF"/>
          <w:highlight w:val="none"/>
        </w:rPr>
        <w:t>装配式桥梁构件的连接检测方法可按表3.1.2执行。</w:t>
      </w:r>
    </w:p>
    <w:p>
      <w:pPr>
        <w:pStyle w:val="16"/>
        <w:rPr>
          <w:rFonts w:cs="Times New Roman"/>
          <w:color w:val="auto"/>
          <w:highlight w:val="none"/>
        </w:rPr>
      </w:pPr>
      <w:r>
        <w:rPr>
          <w:rFonts w:cs="Times New Roman"/>
          <w:color w:val="auto"/>
          <w:highlight w:val="none"/>
        </w:rPr>
        <w:t>表3.1.</w:t>
      </w:r>
      <w:r>
        <w:rPr>
          <w:rFonts w:cs="Times New Roman" w:hint="eastAsia"/>
          <w:color w:val="auto"/>
          <w:lang w:val="en-US" w:eastAsia="zh-CN"/>
          <w:highlight w:val="none"/>
        </w:rPr>
        <w:t>2</w:t>
      </w:r>
      <w:r>
        <w:rPr>
          <w:rFonts w:cs="Times New Roman"/>
          <w:color w:val="auto"/>
          <w:highlight w:val="none"/>
        </w:rPr>
        <w:t>　不同连接方式检测方法的选择</w:t>
      </w:r>
    </w:p>
    <w:tbl>
      <w:tblPr>
        <w:jc w:val="lef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600" w:firstRow="0" w:lastRow="0" w:firstColumn="0" w:lastColumn="0" w:noHBand="1" w:noVBand="1"/>
      </w:tblPr>
      <w:tblGrid>
        <w:gridCol w:w="746"/>
        <w:gridCol w:w="2391"/>
        <w:gridCol w:w="5385"/>
      </w:tblGrid>
      <w:tr>
        <w:tc>
          <w:tcPr>
            <w:tcW w:w="746" w:type="dxa"/>
          </w:tcPr>
          <w:p>
            <w:pPr>
              <w:ind w:firstLineChars="0" w:firstLine="0"/>
              <w:jc w:val="center"/>
              <w:rPr>
                <w:rFonts w:cs="Times New Roman"/>
                <w:b/>
                <w:bCs/>
                <w:color w:val="auto"/>
                <w:sz w:val="21"/>
                <w:szCs w:val="21"/>
                <w:highlight w:val="none"/>
              </w:rPr>
            </w:pPr>
            <w:r>
              <w:rPr>
                <w:rFonts w:cs="Times New Roman"/>
                <w:b/>
                <w:bCs/>
                <w:color w:val="auto"/>
                <w:sz w:val="21"/>
                <w:szCs w:val="21"/>
                <w:highlight w:val="none"/>
              </w:rPr>
              <w:t>序号</w:t>
            </w:r>
          </w:p>
        </w:tc>
        <w:tc>
          <w:tcPr>
            <w:tcW w:w="2391" w:type="dxa"/>
          </w:tcPr>
          <w:p>
            <w:pPr>
              <w:ind w:firstLineChars="0" w:firstLine="0"/>
              <w:jc w:val="center"/>
              <w:rPr>
                <w:rFonts w:cs="Times New Roman"/>
                <w:b/>
                <w:bCs/>
                <w:color w:val="auto"/>
                <w:sz w:val="21"/>
                <w:szCs w:val="21"/>
                <w:highlight w:val="none"/>
              </w:rPr>
            </w:pPr>
            <w:r>
              <w:rPr>
                <w:rFonts w:cs="Times New Roman"/>
                <w:b/>
                <w:bCs/>
                <w:color w:val="auto"/>
                <w:sz w:val="21"/>
                <w:szCs w:val="21"/>
                <w:highlight w:val="none"/>
              </w:rPr>
              <w:t>连接方式</w:t>
            </w:r>
          </w:p>
        </w:tc>
        <w:tc>
          <w:tcPr>
            <w:tcW w:w="5385" w:type="dxa"/>
          </w:tcPr>
          <w:p>
            <w:pPr>
              <w:ind w:firstLineChars="0" w:firstLine="0"/>
              <w:jc w:val="center"/>
              <w:rPr>
                <w:rFonts w:cs="Times New Roman"/>
                <w:b/>
                <w:bCs/>
                <w:color w:val="auto"/>
                <w:sz w:val="21"/>
                <w:szCs w:val="21"/>
                <w:highlight w:val="none"/>
              </w:rPr>
            </w:pPr>
            <w:r>
              <w:rPr>
                <w:rFonts w:cs="Times New Roman"/>
                <w:b/>
                <w:bCs/>
                <w:color w:val="auto"/>
                <w:sz w:val="21"/>
                <w:szCs w:val="21"/>
                <w:highlight w:val="none"/>
              </w:rPr>
              <w:t>检测方法</w:t>
            </w:r>
          </w:p>
        </w:tc>
      </w:tr>
      <w:tr>
        <w:tc>
          <w:tcPr>
            <w:tcW w:w="746"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1</w:t>
            </w:r>
          </w:p>
        </w:tc>
        <w:tc>
          <w:tcPr>
            <w:tcW w:w="2391"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灌浆套筒连接</w:t>
            </w:r>
          </w:p>
        </w:tc>
        <w:tc>
          <w:tcPr>
            <w:tcW w:w="5385" w:type="dxa"/>
            <w:vAlign w:val="center"/>
          </w:tcPr>
          <w:p>
            <w:pPr>
              <w:ind w:firstLineChars="0" w:firstLine="0"/>
              <w:rPr>
                <w:rFonts w:cs="Times New Roman"/>
                <w:color w:val="auto"/>
                <w:sz w:val="21"/>
                <w:szCs w:val="21"/>
                <w:highlight w:val="none"/>
              </w:rPr>
            </w:pPr>
            <w:r>
              <w:rPr>
                <w:rFonts w:cs="Times New Roman"/>
                <w:color w:val="auto"/>
                <w:sz w:val="21"/>
                <w:szCs w:val="21"/>
                <w:highlight w:val="none"/>
              </w:rPr>
              <w:t>内窥镜法、阻尼传感器法、芯片法、电阻率法、电容法、压电法、压力传感器法</w:t>
            </w:r>
            <w:r>
              <w:rPr>
                <w:rFonts w:cs="Times New Roman" w:hint="eastAsia"/>
                <w:color w:val="auto"/>
                <w:sz w:val="21"/>
                <w:szCs w:val="21"/>
                <w:lang w:eastAsia="zh-CN"/>
                <w:highlight w:val="none"/>
              </w:rPr>
              <w:t>、</w:t>
            </w:r>
            <w:r>
              <w:rPr>
                <w:rFonts w:cs="Times New Roman"/>
                <w:color w:val="auto"/>
                <w:sz w:val="21"/>
                <w:szCs w:val="21"/>
                <w:highlight w:val="none"/>
              </w:rPr>
              <w:t>预埋钢丝拉拔法</w:t>
            </w:r>
          </w:p>
        </w:tc>
      </w:tr>
      <w:tr>
        <w:tc>
          <w:tcPr>
            <w:tcW w:w="746"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2</w:t>
            </w:r>
          </w:p>
        </w:tc>
        <w:tc>
          <w:tcPr>
            <w:tcW w:w="2391" w:type="dxa"/>
            <w:vAlign w:val="center"/>
          </w:tcPr>
          <w:p>
            <w:pPr>
              <w:ind w:firstLineChars="0" w:firstLine="0"/>
              <w:jc w:val="center"/>
              <w:rPr>
                <w:rFonts w:cs="Times New Roman"/>
                <w:color w:val="auto"/>
                <w:sz w:val="21"/>
                <w:szCs w:val="21"/>
                <w:highlight w:val="none"/>
              </w:rPr>
            </w:pPr>
            <w:r>
              <w:rPr>
                <w:rFonts w:cs="Times New Roman" w:hint="eastAsia"/>
                <w:color w:val="auto"/>
                <w:sz w:val="21"/>
                <w:szCs w:val="21"/>
                <w:lang w:val="en-US" w:eastAsia="zh-CN"/>
                <w:highlight w:val="none"/>
              </w:rPr>
              <w:t>混凝土</w:t>
            </w:r>
            <w:r>
              <w:rPr>
                <w:rFonts w:cs="Times New Roman"/>
                <w:color w:val="auto"/>
                <w:sz w:val="21"/>
                <w:szCs w:val="21"/>
                <w:highlight w:val="none"/>
              </w:rPr>
              <w:t>湿接缝连接</w:t>
            </w:r>
          </w:p>
        </w:tc>
        <w:tc>
          <w:tcPr>
            <w:tcW w:w="5385" w:type="dxa"/>
            <w:vAlign w:val="center"/>
          </w:tcPr>
          <w:p>
            <w:pPr>
              <w:ind w:firstLineChars="0" w:firstLine="0"/>
              <w:rPr>
                <w:rFonts w:cs="Times New Roman"/>
                <w:color w:val="auto"/>
                <w:sz w:val="21"/>
                <w:szCs w:val="21"/>
                <w:highlight w:val="none"/>
              </w:rPr>
            </w:pPr>
            <w:r>
              <w:rPr>
                <w:rFonts w:cs="Times New Roman"/>
                <w:color w:val="auto"/>
                <w:sz w:val="21"/>
                <w:szCs w:val="21"/>
                <w:highlight w:val="none"/>
              </w:rPr>
              <w:t>非金属超声波检测法</w:t>
            </w:r>
          </w:p>
        </w:tc>
      </w:tr>
      <w:tr>
        <w:tc>
          <w:tcPr>
            <w:tcW w:w="746"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3</w:t>
            </w:r>
          </w:p>
        </w:tc>
        <w:tc>
          <w:tcPr>
            <w:tcW w:w="2391"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灌浆金属波纹管连接</w:t>
            </w:r>
          </w:p>
        </w:tc>
        <w:tc>
          <w:tcPr>
            <w:tcW w:w="5385" w:type="dxa"/>
            <w:vAlign w:val="center"/>
          </w:tcPr>
          <w:p>
            <w:pPr>
              <w:ind w:firstLineChars="0" w:firstLine="0"/>
              <w:rPr>
                <w:rFonts w:cs="Times New Roman"/>
                <w:color w:val="auto"/>
                <w:sz w:val="21"/>
                <w:szCs w:val="21"/>
                <w:highlight w:val="none"/>
              </w:rPr>
            </w:pPr>
            <w:r>
              <w:rPr>
                <w:rFonts w:cs="Times New Roman"/>
                <w:color w:val="auto"/>
                <w:sz w:val="21"/>
                <w:szCs w:val="21"/>
                <w:highlight w:val="none"/>
              </w:rPr>
              <w:t>压力传感器法</w:t>
            </w:r>
          </w:p>
        </w:tc>
      </w:tr>
      <w:tr>
        <w:trPr>
          <w:trHeight w:val="90"/>
        </w:trPr>
        <w:tc>
          <w:tcPr>
            <w:tcW w:w="746"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4</w:t>
            </w:r>
          </w:p>
        </w:tc>
        <w:tc>
          <w:tcPr>
            <w:tcW w:w="2391"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预应力连接</w:t>
            </w:r>
          </w:p>
        </w:tc>
        <w:tc>
          <w:tcPr>
            <w:tcW w:w="5385" w:type="dxa"/>
            <w:vAlign w:val="center"/>
          </w:tcPr>
          <w:p>
            <w:pPr>
              <w:ind w:firstLineChars="0" w:firstLine="0"/>
              <w:rPr>
                <w:rFonts w:cs="Times New Roman"/>
                <w:color w:val="auto"/>
                <w:sz w:val="21"/>
                <w:szCs w:val="21"/>
                <w:highlight w:val="none"/>
              </w:rPr>
            </w:pPr>
            <w:r>
              <w:rPr>
                <w:rFonts w:cs="Times New Roman"/>
                <w:color w:val="auto"/>
                <w:sz w:val="21"/>
                <w:szCs w:val="21"/>
                <w:highlight w:val="none"/>
              </w:rPr>
              <w:t>冲击回波法</w:t>
            </w:r>
            <w:r>
              <w:rPr>
                <w:rFonts w:cs="Times New Roman"/>
                <w:color w:val="auto"/>
                <w:sz w:val="21"/>
                <w:szCs w:val="21"/>
                <w:lang w:eastAsia="zh-CN"/>
                <w:highlight w:val="none"/>
              </w:rPr>
              <w:t>、</w:t>
            </w:r>
            <w:r>
              <w:rPr>
                <w:rFonts w:cs="Times New Roman"/>
                <w:color w:val="auto"/>
                <w:sz w:val="21"/>
                <w:szCs w:val="21"/>
                <w:highlight w:val="none"/>
              </w:rPr>
              <w:t>复拉法</w:t>
            </w:r>
          </w:p>
        </w:tc>
      </w:tr>
      <w:tr>
        <w:tc>
          <w:tcPr>
            <w:tcW w:w="746"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5</w:t>
            </w:r>
          </w:p>
        </w:tc>
        <w:tc>
          <w:tcPr>
            <w:tcW w:w="2391" w:type="dxa"/>
            <w:vAlign w:val="center"/>
          </w:tcPr>
          <w:p>
            <w:pPr>
              <w:ind w:firstLineChars="0" w:firstLine="0"/>
              <w:jc w:val="center"/>
              <w:rPr>
                <w:rFonts w:eastAsia="宋体" w:cs="Times New Roman" w:hint="eastAsia"/>
                <w:color w:val="auto"/>
                <w:sz w:val="21"/>
                <w:szCs w:val="21"/>
                <w:lang w:val="en-US" w:eastAsia="zh-CN"/>
                <w:highlight w:val="none"/>
              </w:rPr>
            </w:pPr>
            <w:r>
              <w:rPr>
                <w:rFonts w:cs="Times New Roman" w:hint="eastAsia"/>
                <w:color w:val="auto"/>
                <w:sz w:val="21"/>
                <w:szCs w:val="21"/>
                <w:lang w:val="en-US" w:eastAsia="zh-CN"/>
                <w:highlight w:val="none"/>
              </w:rPr>
              <w:t>超高性能混凝土连接</w:t>
            </w:r>
          </w:p>
        </w:tc>
        <w:tc>
          <w:tcPr>
            <w:tcW w:w="5385" w:type="dxa"/>
            <w:vAlign w:val="center"/>
          </w:tcPr>
          <w:p>
            <w:pPr>
              <w:ind w:firstLineChars="0" w:firstLine="0"/>
              <w:rPr>
                <w:rFonts w:cs="Times New Roman"/>
                <w:color w:val="auto"/>
                <w:sz w:val="21"/>
                <w:szCs w:val="21"/>
                <w:highlight w:val="none"/>
              </w:rPr>
            </w:pPr>
            <w:r>
              <w:rPr>
                <w:rFonts w:cs="Times New Roman" w:hint="eastAsia"/>
                <w:color w:val="auto"/>
                <w:sz w:val="21"/>
                <w:szCs w:val="21"/>
                <w:lang w:val="en-US" w:eastAsia="zh-CN"/>
                <w:highlight w:val="none"/>
              </w:rPr>
              <w:t>射钉法、水洗法</w:t>
            </w:r>
          </w:p>
        </w:tc>
      </w:tr>
      <w:tr>
        <w:tc>
          <w:tcPr>
            <w:tcW w:w="746"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6</w:t>
            </w:r>
          </w:p>
        </w:tc>
        <w:tc>
          <w:tcPr>
            <w:tcW w:w="2391" w:type="dxa"/>
            <w:vAlign w:val="center"/>
          </w:tcPr>
          <w:p>
            <w:pPr>
              <w:ind w:firstLineChars="0" w:firstLine="0"/>
              <w:jc w:val="center"/>
              <w:rPr>
                <w:rFonts w:ascii="Times New Roman" w:eastAsia="宋体" w:cs="Times New Roman" w:hAnsi="Times New Roman" w:hint="eastAsia"/>
                <w:color w:val="auto"/>
                <w:kern w:val="2"/>
                <w:sz w:val="21"/>
                <w:szCs w:val="21"/>
                <w:lang w:val="en-US" w:eastAsia="zh-CN" w:bidi="ar-SA"/>
                <w:highlight w:val="none"/>
              </w:rPr>
            </w:pPr>
            <w:r>
              <w:rPr>
                <w:rFonts w:cs="Times New Roman" w:hint="eastAsia"/>
                <w:color w:val="auto"/>
                <w:sz w:val="21"/>
                <w:szCs w:val="21"/>
                <w:lang w:val="en-US" w:eastAsia="zh-CN"/>
                <w:highlight w:val="none"/>
              </w:rPr>
              <w:t>钢结构</w:t>
            </w:r>
            <w:r>
              <w:rPr>
                <w:rFonts w:cs="Times New Roman"/>
                <w:color w:val="auto"/>
                <w:sz w:val="21"/>
                <w:szCs w:val="21"/>
                <w:highlight w:val="none"/>
              </w:rPr>
              <w:t>焊接</w:t>
            </w:r>
            <w:r>
              <w:rPr>
                <w:rFonts w:cs="Times New Roman" w:hint="eastAsia"/>
                <w:color w:val="auto"/>
                <w:sz w:val="21"/>
                <w:szCs w:val="21"/>
                <w:lang w:val="en-US" w:eastAsia="zh-CN"/>
                <w:highlight w:val="none"/>
              </w:rPr>
              <w:t>连接</w:t>
            </w:r>
          </w:p>
        </w:tc>
        <w:tc>
          <w:tcPr>
            <w:tcW w:w="5385" w:type="dxa"/>
            <w:vAlign w:val="center"/>
          </w:tcPr>
          <w:p>
            <w:pPr>
              <w:ind w:firstLineChars="0" w:firstLine="0"/>
              <w:rPr>
                <w:rFonts w:ascii="Times New Roman" w:eastAsia="宋体" w:cs="Times New Roman" w:hAnsi="Times New Roman"/>
                <w:color w:val="auto"/>
                <w:kern w:val="2"/>
                <w:sz w:val="21"/>
                <w:szCs w:val="21"/>
                <w:lang w:val="en-US" w:eastAsia="zh-CN" w:bidi="ar-SA"/>
                <w:highlight w:val="none"/>
              </w:rPr>
            </w:pPr>
            <w:r>
              <w:rPr>
                <w:rFonts w:cs="Times New Roman"/>
                <w:color w:val="auto"/>
                <w:sz w:val="21"/>
                <w:szCs w:val="21"/>
                <w:highlight w:val="none"/>
              </w:rPr>
              <w:t>超声波法、射线法、磁粉法、渗透法、相控阵法</w:t>
            </w:r>
          </w:p>
        </w:tc>
      </w:tr>
      <w:tr>
        <w:tc>
          <w:tcPr>
            <w:tcW w:w="746" w:type="dxa"/>
            <w:vAlign w:val="center"/>
          </w:tcPr>
          <w:p>
            <w:pPr>
              <w:ind w:firstLineChars="0" w:firstLine="0"/>
              <w:jc w:val="center"/>
              <w:rPr>
                <w:rFonts w:eastAsia="宋体" w:cs="Times New Roman" w:hint="eastAsia"/>
                <w:color w:val="auto"/>
                <w:sz w:val="21"/>
                <w:szCs w:val="21"/>
                <w:lang w:val="en-US" w:eastAsia="zh-CN"/>
                <w:highlight w:val="none"/>
              </w:rPr>
            </w:pPr>
            <w:r>
              <w:rPr>
                <w:rFonts w:cs="Times New Roman" w:hint="eastAsia"/>
                <w:color w:val="auto"/>
                <w:sz w:val="21"/>
                <w:szCs w:val="21"/>
                <w:lang w:val="en-US" w:eastAsia="zh-CN"/>
                <w:highlight w:val="none"/>
              </w:rPr>
              <w:t>7</w:t>
            </w:r>
          </w:p>
        </w:tc>
        <w:tc>
          <w:tcPr>
            <w:tcW w:w="2391" w:type="dxa"/>
            <w:vAlign w:val="center"/>
          </w:tcPr>
          <w:p>
            <w:pPr>
              <w:ind w:firstLineChars="0" w:firstLine="0"/>
              <w:jc w:val="center"/>
              <w:rPr>
                <w:rFonts w:ascii="Times New Roman" w:eastAsia="宋体" w:cs="Times New Roman" w:hAnsi="Times New Roman" w:hint="eastAsia"/>
                <w:color w:val="auto"/>
                <w:kern w:val="2"/>
                <w:sz w:val="21"/>
                <w:szCs w:val="21"/>
                <w:lang w:val="en-US" w:eastAsia="zh-CN" w:bidi="ar-SA"/>
                <w:highlight w:val="none"/>
              </w:rPr>
            </w:pPr>
            <w:r>
              <w:rPr>
                <w:rFonts w:cs="Times New Roman" w:hint="eastAsia"/>
                <w:color w:val="auto"/>
                <w:sz w:val="21"/>
                <w:szCs w:val="21"/>
                <w:lang w:val="en-US" w:eastAsia="zh-CN"/>
                <w:highlight w:val="none"/>
              </w:rPr>
              <w:t>钢结构</w:t>
            </w:r>
            <w:r>
              <w:rPr>
                <w:rFonts w:cs="Times New Roman"/>
                <w:color w:val="auto"/>
                <w:sz w:val="21"/>
                <w:szCs w:val="21"/>
                <w:highlight w:val="none"/>
              </w:rPr>
              <w:t>螺栓连接</w:t>
            </w:r>
          </w:p>
        </w:tc>
        <w:tc>
          <w:tcPr>
            <w:tcW w:w="5385" w:type="dxa"/>
            <w:vAlign w:val="center"/>
          </w:tcPr>
          <w:p>
            <w:pPr>
              <w:ind w:firstLineChars="0" w:firstLine="0"/>
              <w:rPr>
                <w:rFonts w:ascii="Times New Roman" w:eastAsia="宋体" w:cs="Times New Roman" w:hAnsi="Times New Roman"/>
                <w:color w:val="auto"/>
                <w:kern w:val="2"/>
                <w:sz w:val="21"/>
                <w:szCs w:val="21"/>
                <w:lang w:val="en-US" w:eastAsia="zh-CN" w:bidi="ar-SA"/>
                <w:highlight w:val="none"/>
              </w:rPr>
            </w:pPr>
            <w:r>
              <w:rPr>
                <w:rFonts w:cs="Times New Roman"/>
                <w:color w:val="auto"/>
                <w:sz w:val="21"/>
                <w:szCs w:val="21"/>
                <w:highlight w:val="none"/>
              </w:rPr>
              <w:t>扭矩系数法、松扣回扣法</w:t>
            </w:r>
          </w:p>
        </w:tc>
      </w:tr>
    </w:tbl>
    <w:p>
      <w:pPr>
        <w:rPr>
          <w:color w:val="auto"/>
          <w:highlight w:val="none"/>
        </w:rPr>
      </w:pPr>
    </w:p>
    <w:p>
      <w:pPr>
        <w:pStyle w:val="3"/>
        <w:tabs>
          <w:tab w:val="left" w:pos="0"/>
          <w:tab w:val="left" w:pos="567"/>
          <w:tab w:val="left" w:pos="709"/>
          <w:tab w:val="left" w:pos="1560"/>
        </w:tabs>
        <w:rPr>
          <w:rFonts w:cs="Times New Roman"/>
          <w:color w:val="auto"/>
          <w:highlight w:val="none"/>
        </w:rPr>
      </w:pPr>
      <w:r>
        <w:rPr>
          <w:rFonts w:cs="Times New Roman"/>
          <w:b/>
          <w:color w:val="auto"/>
          <w:szCs w:val="24"/>
          <w:highlight w:val="none"/>
        </w:rPr>
        <w:t>3.1.</w:t>
      </w:r>
      <w:r>
        <w:rPr>
          <w:rFonts w:cs="Times New Roman" w:hint="eastAsia"/>
          <w:b/>
          <w:color w:val="auto"/>
          <w:szCs w:val="24"/>
          <w:lang w:val="en-US" w:eastAsia="zh-CN"/>
          <w:highlight w:val="none"/>
        </w:rPr>
        <w:t>3</w:t>
      </w:r>
      <w:r>
        <w:rPr>
          <w:rFonts w:cs="Times New Roman"/>
          <w:b/>
          <w:color w:val="auto"/>
          <w:szCs w:val="24"/>
          <w:highlight w:val="none"/>
        </w:rPr>
        <w:t>　</w:t>
      </w:r>
      <w:r>
        <w:rPr>
          <w:rFonts w:cs="Times New Roman"/>
          <w:color w:val="auto"/>
          <w:highlight w:val="none"/>
        </w:rPr>
        <w:t>装配式桥梁构件连接的检测</w:t>
      </w:r>
      <w:r>
        <w:rPr>
          <w:rFonts w:cs="Times New Roman" w:hint="eastAsia"/>
          <w:color w:val="auto"/>
          <w:lang w:val="en-US" w:eastAsia="zh-CN"/>
          <w:highlight w:val="none"/>
        </w:rPr>
        <w:t>可</w:t>
      </w:r>
      <w:r>
        <w:rPr>
          <w:rFonts w:cs="Times New Roman"/>
          <w:color w:val="auto"/>
          <w:highlight w:val="none"/>
        </w:rPr>
        <w:t>分为施工、验收与</w:t>
      </w:r>
      <w:r>
        <w:rPr>
          <w:rFonts w:cs="Times New Roman" w:hint="eastAsia"/>
          <w:color w:val="auto"/>
          <w:highlight w:val="none"/>
        </w:rPr>
        <w:t>运营</w:t>
      </w:r>
      <w:r>
        <w:rPr>
          <w:rFonts w:cs="Times New Roman" w:hint="eastAsia"/>
          <w:color w:val="auto"/>
          <w:lang w:val="en-US" w:eastAsia="zh-CN"/>
          <w:highlight w:val="none"/>
        </w:rPr>
        <w:t>阶段</w:t>
      </w:r>
      <w:r>
        <w:rPr>
          <w:rFonts w:cs="Times New Roman"/>
          <w:color w:val="auto"/>
          <w:highlight w:val="none"/>
        </w:rPr>
        <w:t>等所需的常规检测和专项检测。</w:t>
      </w:r>
    </w:p>
    <w:p>
      <w:pPr>
        <w:pStyle w:val="19"/>
        <w:ind w:firstLineChars="0" w:firstLine="0"/>
        <w:rPr>
          <w:bCs/>
          <w:color w:val="auto"/>
          <w:shd w:val="pct10" w:color="auto" w:fill="FFFFFF"/>
          <w:lang w:val="en-US"/>
          <w:highlight w:val="none"/>
        </w:rPr>
      </w:pPr>
      <w:r>
        <w:rPr>
          <w:rFonts w:hint="eastAsia"/>
          <w:b/>
          <w:color w:val="auto"/>
          <w:shd w:val="pct10" w:color="auto" w:fill="FFFFFF"/>
          <w:lang w:val="en-US" w:eastAsia="zh-CN"/>
          <w:highlight w:val="none"/>
        </w:rPr>
        <w:t>条文说明</w:t>
      </w:r>
      <w:r>
        <w:rPr>
          <w:b/>
          <w:color w:val="auto"/>
          <w:shd w:val="pct10" w:color="auto" w:fill="FFFFFF"/>
          <w:lang w:val="en-US"/>
          <w:highlight w:val="none"/>
        </w:rPr>
        <w:t>3.1.</w:t>
      </w:r>
      <w:r>
        <w:rPr>
          <w:rFonts w:hint="eastAsia"/>
          <w:b/>
          <w:color w:val="auto"/>
          <w:shd w:val="pct10" w:color="auto" w:fill="FFFFFF"/>
          <w:lang w:val="en-US" w:eastAsia="zh-CN"/>
          <w:highlight w:val="none"/>
        </w:rPr>
        <w:t>3</w:t>
      </w:r>
      <w:r>
        <w:rPr>
          <w:b/>
          <w:color w:val="auto"/>
          <w:shd w:val="pct10" w:color="auto" w:fill="FFFFFF"/>
          <w:lang w:val="en-US"/>
          <w:highlight w:val="none"/>
        </w:rPr>
        <w:t>　</w:t>
      </w:r>
      <w:r>
        <w:rPr>
          <w:bCs/>
          <w:color w:val="auto"/>
          <w:shd w:val="pct10" w:color="auto" w:fill="FFFFFF"/>
          <w:lang w:val="en-US"/>
          <w:highlight w:val="none"/>
        </w:rPr>
        <w:t>检测机构资质按照其承担的检测业务内容分为专项检测机构资质和见证取样检测机构资质；检测机构未取得相应的资质证书，不得承担本办法规定的质量检测业务。</w:t>
      </w:r>
    </w:p>
    <w:p>
      <w:pPr>
        <w:pStyle w:val="3"/>
        <w:tabs>
          <w:tab w:val="left" w:pos="0"/>
          <w:tab w:val="left" w:pos="567"/>
          <w:tab w:val="left" w:pos="709"/>
          <w:tab w:val="left" w:pos="1560"/>
        </w:tabs>
        <w:rPr>
          <w:rFonts w:cs="Times New Roman" w:hint="eastAsia"/>
          <w:color w:val="auto"/>
          <w:lang w:val="en-US" w:eastAsia="zh-CN"/>
          <w:highlight w:val="none"/>
        </w:rPr>
      </w:pPr>
      <w:r>
        <w:rPr>
          <w:rFonts w:cs="Times New Roman" w:hint="eastAsia"/>
          <w:b/>
          <w:bCs w:val="0"/>
          <w:color w:val="auto"/>
          <w:lang w:val="en-US" w:eastAsia="zh-CN"/>
          <w:highlight w:val="none"/>
        </w:rPr>
        <w:t>3.1.4</w:t>
      </w:r>
      <w:r>
        <w:rPr>
          <w:rFonts w:cs="Times New Roman"/>
          <w:color w:val="auto"/>
          <w:highlight w:val="none"/>
        </w:rPr>
        <w:t>装配式桥梁构件</w:t>
      </w:r>
      <w:r>
        <w:rPr>
          <w:rFonts w:cs="Times New Roman" w:hint="eastAsia"/>
          <w:color w:val="auto"/>
          <w:lang w:val="en-US" w:eastAsia="zh-CN"/>
          <w:highlight w:val="none"/>
        </w:rPr>
        <w:t>的</w:t>
      </w:r>
      <w:r>
        <w:rPr>
          <w:rFonts w:cs="Times New Roman"/>
          <w:color w:val="auto"/>
          <w:highlight w:val="none"/>
        </w:rPr>
        <w:t>连接</w:t>
      </w:r>
      <w:r>
        <w:rPr>
          <w:rFonts w:cs="Times New Roman" w:hint="eastAsia"/>
          <w:color w:val="auto"/>
          <w:lang w:val="en-US" w:eastAsia="zh-CN"/>
          <w:highlight w:val="none"/>
        </w:rPr>
        <w:t>应进行常规检测，检测项目要求应符合表3.1.4的规定。</w:t>
      </w:r>
    </w:p>
    <w:p>
      <w:pPr>
        <w:jc w:val="center"/>
        <w:rPr>
          <w:rFonts w:eastAsia="宋体"/>
          <w:color w:val="auto"/>
          <w:lang w:val="en-US" w:eastAsia="zh-CN"/>
          <w:highlight w:val="none"/>
        </w:rPr>
      </w:pPr>
      <w:r>
        <w:rPr>
          <w:rFonts w:cs="Times New Roman" w:hint="eastAsia"/>
          <w:b/>
          <w:bCs/>
          <w:color w:val="auto"/>
          <w:lang w:val="en-US" w:eastAsia="zh-CN"/>
          <w:highlight w:val="none"/>
        </w:rPr>
        <w:t>表3.1.4</w:t>
      </w:r>
      <w:r>
        <w:rPr>
          <w:rFonts w:cs="Times New Roman"/>
          <w:b/>
          <w:bCs/>
          <w:color w:val="auto"/>
          <w:highlight w:val="none"/>
        </w:rPr>
        <w:t>装配式桥梁</w:t>
      </w:r>
      <w:r>
        <w:rPr>
          <w:rFonts w:cs="Times New Roman" w:hint="eastAsia"/>
          <w:b/>
          <w:bCs/>
          <w:color w:val="auto"/>
          <w:lang w:val="en-US" w:eastAsia="zh-CN"/>
          <w:highlight w:val="none"/>
        </w:rPr>
        <w:t>连接检测项目要求</w:t>
      </w:r>
    </w:p>
    <w:tbl>
      <w:tblPr>
        <w:jc w:val="lef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600" w:firstRow="0" w:lastRow="0" w:firstColumn="0" w:lastColumn="0" w:noHBand="1" w:noVBand="1"/>
      </w:tblPr>
      <w:tblGrid>
        <w:gridCol w:w="480"/>
        <w:gridCol w:w="1810"/>
        <w:gridCol w:w="1440"/>
        <w:gridCol w:w="1487"/>
        <w:gridCol w:w="667"/>
        <w:gridCol w:w="1503"/>
        <w:gridCol w:w="1675"/>
      </w:tblGrid>
      <w:tr>
        <w:trPr>
          <w:trHeight w:val="90"/>
        </w:trPr>
        <w:tc>
          <w:tcPr>
            <w:tcW w:w="492" w:type="dxa"/>
          </w:tcPr>
          <w:p>
            <w:pPr>
              <w:ind w:firstLineChars="0" w:firstLine="0"/>
              <w:jc w:val="center"/>
              <w:rPr>
                <w:rFonts w:cs="Times New Roman"/>
                <w:b/>
                <w:bCs/>
                <w:color w:val="auto"/>
                <w:sz w:val="21"/>
                <w:szCs w:val="21"/>
                <w:highlight w:val="none"/>
              </w:rPr>
            </w:pPr>
            <w:r>
              <w:rPr>
                <w:rFonts w:cs="Times New Roman"/>
                <w:b/>
                <w:bCs/>
                <w:color w:val="auto"/>
                <w:sz w:val="21"/>
                <w:szCs w:val="21"/>
                <w:highlight w:val="none"/>
              </w:rPr>
              <w:t>序号</w:t>
            </w:r>
          </w:p>
        </w:tc>
        <w:tc>
          <w:tcPr>
            <w:tcW w:w="1855" w:type="dxa"/>
            <w:tcBorders>
              <w:tl2br w:val="single" w:sz="4" w:space="0" w:color="auto"/>
            </w:tcBorders>
          </w:tcPr>
          <w:p>
            <w:pPr>
              <w:ind w:firstLineChars="0" w:firstLine="0"/>
              <w:jc w:val="center"/>
              <w:rPr>
                <w:rFonts w:cs="Times New Roman" w:hint="eastAsia"/>
                <w:b/>
                <w:bCs/>
                <w:color w:val="auto"/>
                <w:sz w:val="21"/>
                <w:szCs w:val="21"/>
                <w:lang w:val="en-US" w:eastAsia="zh-CN"/>
                <w:highlight w:val="none"/>
              </w:rPr>
            </w:pPr>
            <w:r>
              <w:rPr>
                <w:rFonts w:cs="Times New Roman" w:hint="eastAsia"/>
                <w:b/>
                <w:bCs/>
                <w:color w:val="auto"/>
                <w:sz w:val="21"/>
                <w:szCs w:val="21"/>
                <w:lang w:val="en-US" w:eastAsia="zh-CN"/>
                <w:highlight w:val="none"/>
              </w:rPr>
              <w:t xml:space="preserve">      检测项目</w:t>
            </w:r>
          </w:p>
          <w:p>
            <w:pPr>
              <w:ind w:firstLineChars="0" w:firstLine="0"/>
              <w:jc w:val="both"/>
              <w:rPr>
                <w:rFonts w:cs="Times New Roman"/>
                <w:b/>
                <w:bCs/>
                <w:color w:val="auto"/>
                <w:sz w:val="21"/>
                <w:szCs w:val="21"/>
                <w:highlight w:val="none"/>
              </w:rPr>
            </w:pPr>
            <w:r>
              <w:rPr>
                <w:rFonts w:cs="Times New Roman" w:hint="eastAsia"/>
                <w:b/>
                <w:bCs/>
                <w:color w:val="auto"/>
                <w:sz w:val="21"/>
                <w:szCs w:val="21"/>
                <w:lang w:val="en-US" w:eastAsia="zh-CN"/>
                <w:highlight w:val="none"/>
              </w:rPr>
              <w:t>检测方法</w:t>
            </w:r>
          </w:p>
        </w:tc>
        <w:tc>
          <w:tcPr>
            <w:tcW w:w="1475" w:type="dxa"/>
            <w:vAlign w:val="center"/>
          </w:tcPr>
          <w:p>
            <w:pPr>
              <w:ind w:firstLineChars="0" w:firstLine="0"/>
              <w:jc w:val="center"/>
              <w:rPr>
                <w:rFonts w:cs="Times New Roman"/>
                <w:b/>
                <w:bCs/>
                <w:color w:val="auto"/>
                <w:sz w:val="21"/>
                <w:szCs w:val="21"/>
                <w:highlight w:val="none"/>
              </w:rPr>
            </w:pPr>
            <w:r>
              <w:rPr>
                <w:rFonts w:cs="Times New Roman" w:hint="eastAsia"/>
                <w:color w:val="auto"/>
                <w:sz w:val="21"/>
                <w:szCs w:val="21"/>
                <w:lang w:val="en-US" w:eastAsia="zh-CN"/>
                <w:highlight w:val="none"/>
              </w:rPr>
              <w:t>灌浆饱满度</w:t>
            </w:r>
          </w:p>
        </w:tc>
        <w:tc>
          <w:tcPr>
            <w:tcW w:w="1524" w:type="dxa"/>
            <w:vAlign w:val="center"/>
          </w:tcPr>
          <w:p>
            <w:pPr>
              <w:ind w:firstLineChars="0" w:firstLine="0"/>
              <w:jc w:val="center"/>
              <w:rPr>
                <w:rFonts w:eastAsia="宋体" w:cs="Times New Roman"/>
                <w:b/>
                <w:bCs/>
                <w:color w:val="auto"/>
                <w:sz w:val="21"/>
                <w:szCs w:val="21"/>
                <w:lang w:val="en-US" w:eastAsia="zh-CN"/>
                <w:highlight w:val="none"/>
              </w:rPr>
            </w:pPr>
            <w:r>
              <w:rPr>
                <w:rFonts w:cs="Times New Roman" w:hint="eastAsia"/>
                <w:color w:val="auto"/>
                <w:sz w:val="21"/>
                <w:szCs w:val="21"/>
                <w:lang w:val="en-US" w:eastAsia="zh-CN"/>
                <w:highlight w:val="none"/>
              </w:rPr>
              <w:t>混凝土密实性</w:t>
            </w:r>
          </w:p>
        </w:tc>
        <w:tc>
          <w:tcPr>
            <w:tcW w:w="683" w:type="dxa"/>
            <w:vAlign w:val="center"/>
          </w:tcPr>
          <w:p>
            <w:pPr>
              <w:ind w:firstLineChars="0" w:firstLine="0"/>
              <w:jc w:val="center"/>
              <w:rPr>
                <w:rFonts w:cs="Times New Roman" w:hint="eastAsia"/>
                <w:color w:val="auto"/>
                <w:sz w:val="21"/>
                <w:szCs w:val="21"/>
                <w:lang w:val="en-US" w:eastAsia="zh-CN"/>
                <w:highlight w:val="none"/>
              </w:rPr>
            </w:pPr>
            <w:r>
              <w:rPr>
                <w:rFonts w:cs="Times New Roman" w:hint="eastAsia"/>
                <w:color w:val="auto"/>
                <w:sz w:val="21"/>
                <w:szCs w:val="21"/>
                <w:lang w:val="en-US" w:eastAsia="zh-CN"/>
                <w:highlight w:val="none"/>
              </w:rPr>
              <w:t>混凝土强度</w:t>
            </w:r>
          </w:p>
        </w:tc>
        <w:tc>
          <w:tcPr>
            <w:tcW w:w="1540" w:type="dxa"/>
            <w:vAlign w:val="center"/>
          </w:tcPr>
          <w:p>
            <w:pPr>
              <w:ind w:firstLineChars="0" w:firstLine="0"/>
              <w:jc w:val="center"/>
              <w:rPr>
                <w:rFonts w:cs="Times New Roman" w:hint="eastAsia"/>
                <w:color w:val="auto"/>
                <w:sz w:val="21"/>
                <w:szCs w:val="21"/>
                <w:lang w:val="en-US" w:eastAsia="zh-CN"/>
                <w:highlight w:val="none"/>
              </w:rPr>
            </w:pPr>
            <w:r>
              <w:rPr>
                <w:rFonts w:cs="Times New Roman" w:hint="eastAsia"/>
                <w:color w:val="auto"/>
                <w:sz w:val="21"/>
                <w:szCs w:val="21"/>
                <w:highlight w:val="none"/>
              </w:rPr>
              <w:t>锚下</w:t>
            </w:r>
            <w:r>
              <w:rPr>
                <w:rFonts w:cs="Times New Roman" w:hint="eastAsia"/>
                <w:color w:val="auto"/>
                <w:sz w:val="21"/>
                <w:szCs w:val="21"/>
                <w:lang w:val="en-US" w:eastAsia="zh-CN"/>
                <w:highlight w:val="none"/>
              </w:rPr>
              <w:t>有效</w:t>
            </w:r>
            <w:r>
              <w:rPr>
                <w:rFonts w:cs="Times New Roman" w:hint="eastAsia"/>
                <w:color w:val="auto"/>
                <w:sz w:val="21"/>
                <w:szCs w:val="21"/>
                <w:highlight w:val="none"/>
              </w:rPr>
              <w:t>预应力</w:t>
            </w:r>
          </w:p>
        </w:tc>
        <w:tc>
          <w:tcPr>
            <w:tcW w:w="1716" w:type="dxa"/>
            <w:vAlign w:val="center"/>
          </w:tcPr>
          <w:p>
            <w:pPr>
              <w:ind w:firstLineChars="0" w:firstLine="0"/>
              <w:jc w:val="center"/>
              <w:rPr>
                <w:rFonts w:cs="Times New Roman" w:hint="eastAsia"/>
                <w:color w:val="auto"/>
                <w:sz w:val="21"/>
                <w:szCs w:val="21"/>
                <w:highlight w:val="none"/>
              </w:rPr>
            </w:pPr>
            <w:r>
              <w:rPr>
                <w:rFonts w:cs="Times New Roman" w:hint="eastAsia"/>
                <w:color w:val="auto"/>
                <w:sz w:val="21"/>
                <w:szCs w:val="21"/>
                <w:lang w:val="en-US" w:eastAsia="zh-CN"/>
                <w:highlight w:val="none"/>
              </w:rPr>
              <w:t>灌浆密实度</w:t>
            </w:r>
          </w:p>
        </w:tc>
      </w:tr>
      <w:tr>
        <w:tc>
          <w:tcPr>
            <w:tcW w:w="492"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1</w:t>
            </w:r>
          </w:p>
        </w:tc>
        <w:tc>
          <w:tcPr>
            <w:tcW w:w="1855"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内窥镜法</w:t>
            </w:r>
          </w:p>
        </w:tc>
        <w:tc>
          <w:tcPr>
            <w:tcW w:w="1475" w:type="dxa"/>
            <w:vAlign w:val="center"/>
          </w:tcPr>
          <w:p>
            <w:pPr>
              <w:ind w:firstLineChars="0" w:firstLine="0"/>
              <w:jc w:val="center"/>
              <w:rPr>
                <w:rFonts w:ascii="宋体" w:cs="宋体" w:hAnsi="宋体" w:hint="eastAsia"/>
                <w:color w:val="auto"/>
                <w:sz w:val="21"/>
                <w:szCs w:val="21"/>
                <w:highlight w:val="none"/>
              </w:rPr>
            </w:pPr>
            <w:r>
              <w:rPr>
                <w:rFonts w:ascii="宋体" w:eastAsia="宋体" w:cs="宋体" w:hAnsi="宋体" w:hint="eastAsia"/>
                <w:color w:val="auto"/>
                <w:sz w:val="21"/>
                <w:szCs w:val="21"/>
                <w:highlight w:val="none"/>
              </w:rPr>
              <w:t>◎</w:t>
            </w:r>
          </w:p>
        </w:tc>
        <w:tc>
          <w:tcPr>
            <w:tcW w:w="1524" w:type="dxa"/>
            <w:vAlign w:val="center"/>
          </w:tcPr>
          <w:p>
            <w:pPr>
              <w:ind w:firstLineChars="0" w:firstLine="0"/>
              <w:jc w:val="center"/>
              <w:rPr>
                <w:rFonts w:eastAsia="宋体" w:cs="Times New Roman"/>
                <w:color w:val="auto"/>
                <w:sz w:val="21"/>
                <w:szCs w:val="21"/>
                <w:lang w:val="en-US" w:eastAsia="zh-CN"/>
                <w:highlight w:val="none"/>
              </w:rPr>
            </w:pPr>
          </w:p>
        </w:tc>
        <w:tc>
          <w:tcPr>
            <w:tcW w:w="683" w:type="dxa"/>
            <w:vAlign w:val="center"/>
          </w:tcPr>
          <w:p>
            <w:pPr>
              <w:ind w:firstLineChars="0" w:firstLine="0"/>
              <w:jc w:val="center"/>
              <w:rPr>
                <w:rFonts w:eastAsia="宋体" w:cs="Times New Roman"/>
                <w:color w:val="auto"/>
                <w:sz w:val="21"/>
                <w:szCs w:val="21"/>
                <w:lang w:val="en-US" w:eastAsia="zh-CN"/>
                <w:highlight w:val="none"/>
              </w:rPr>
            </w:pPr>
          </w:p>
        </w:tc>
        <w:tc>
          <w:tcPr>
            <w:tcW w:w="1540" w:type="dxa"/>
            <w:vAlign w:val="center"/>
          </w:tcPr>
          <w:p>
            <w:pPr>
              <w:ind w:firstLineChars="0" w:firstLine="0"/>
              <w:jc w:val="center"/>
              <w:rPr>
                <w:rFonts w:eastAsia="宋体" w:cs="Times New Roman"/>
                <w:color w:val="auto"/>
                <w:sz w:val="21"/>
                <w:szCs w:val="21"/>
                <w:lang w:val="en-US" w:eastAsia="zh-CN"/>
                <w:highlight w:val="none"/>
              </w:rPr>
            </w:pPr>
          </w:p>
        </w:tc>
        <w:tc>
          <w:tcPr>
            <w:tcW w:w="1716" w:type="dxa"/>
            <w:vAlign w:val="center"/>
          </w:tcPr>
          <w:p>
            <w:pPr>
              <w:ind w:firstLineChars="0" w:firstLine="0"/>
              <w:jc w:val="center"/>
              <w:rPr>
                <w:rFonts w:eastAsia="宋体" w:cs="Times New Roman"/>
                <w:color w:val="auto"/>
                <w:sz w:val="21"/>
                <w:szCs w:val="21"/>
                <w:lang w:val="en-US" w:eastAsia="zh-CN"/>
                <w:highlight w:val="none"/>
              </w:rPr>
            </w:pPr>
            <w:r>
              <w:rPr>
                <w:rFonts w:ascii="宋体" w:eastAsia="宋体" w:cs="宋体" w:hAnsi="宋体" w:hint="eastAsia"/>
                <w:color w:val="auto"/>
                <w:sz w:val="21"/>
                <w:szCs w:val="21"/>
                <w:highlight w:val="none"/>
              </w:rPr>
              <w:t>◎</w:t>
            </w:r>
          </w:p>
        </w:tc>
      </w:tr>
      <w:tr>
        <w:tc>
          <w:tcPr>
            <w:tcW w:w="492"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2</w:t>
            </w:r>
          </w:p>
        </w:tc>
        <w:tc>
          <w:tcPr>
            <w:tcW w:w="1855"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阻尼传感器法</w:t>
            </w:r>
          </w:p>
        </w:tc>
        <w:tc>
          <w:tcPr>
            <w:tcW w:w="1475" w:type="dxa"/>
            <w:vAlign w:val="center"/>
          </w:tcPr>
          <w:p>
            <w:pPr>
              <w:ind w:firstLineChars="0" w:firstLine="0"/>
              <w:jc w:val="center"/>
              <w:rPr>
                <w:rFonts w:cs="Times New Roman"/>
                <w:color w:val="auto"/>
                <w:sz w:val="21"/>
                <w:szCs w:val="21"/>
                <w:highlight w:val="none"/>
              </w:rPr>
            </w:pPr>
            <w:r>
              <w:rPr>
                <w:rFonts w:ascii="宋体" w:eastAsia="宋体" w:cs="宋体" w:hAnsi="宋体" w:hint="eastAsia"/>
                <w:color w:val="auto"/>
                <w:sz w:val="21"/>
                <w:szCs w:val="21"/>
                <w:highlight w:val="none"/>
              </w:rPr>
              <w:t>○</w:t>
            </w:r>
          </w:p>
        </w:tc>
        <w:tc>
          <w:tcPr>
            <w:tcW w:w="1524" w:type="dxa"/>
            <w:vAlign w:val="center"/>
          </w:tcPr>
          <w:p>
            <w:pPr>
              <w:ind w:firstLineChars="0" w:firstLine="0"/>
              <w:jc w:val="center"/>
              <w:rPr>
                <w:rFonts w:eastAsia="宋体" w:cs="Times New Roman"/>
                <w:b/>
                <w:bCs/>
                <w:color w:val="auto"/>
                <w:sz w:val="21"/>
                <w:szCs w:val="21"/>
                <w:lang w:val="en-US" w:eastAsia="zh-CN"/>
                <w:highlight w:val="none"/>
              </w:rPr>
            </w:pPr>
          </w:p>
        </w:tc>
        <w:tc>
          <w:tcPr>
            <w:tcW w:w="683" w:type="dxa"/>
            <w:vAlign w:val="center"/>
          </w:tcPr>
          <w:p>
            <w:pPr>
              <w:ind w:firstLineChars="0" w:firstLine="0"/>
              <w:jc w:val="center"/>
              <w:rPr>
                <w:rFonts w:eastAsia="宋体" w:cs="Times New Roman"/>
                <w:color w:val="auto"/>
                <w:sz w:val="21"/>
                <w:szCs w:val="21"/>
                <w:lang w:val="en-US" w:eastAsia="zh-CN"/>
                <w:highlight w:val="none"/>
              </w:rPr>
            </w:pPr>
          </w:p>
        </w:tc>
        <w:tc>
          <w:tcPr>
            <w:tcW w:w="1540" w:type="dxa"/>
            <w:vAlign w:val="center"/>
          </w:tcPr>
          <w:p>
            <w:pPr>
              <w:ind w:firstLineChars="0" w:firstLine="0"/>
              <w:jc w:val="center"/>
              <w:rPr>
                <w:rFonts w:eastAsia="宋体" w:cs="Times New Roman"/>
                <w:color w:val="auto"/>
                <w:sz w:val="21"/>
                <w:szCs w:val="21"/>
                <w:lang w:val="en-US" w:eastAsia="zh-CN"/>
                <w:highlight w:val="none"/>
              </w:rPr>
            </w:pPr>
          </w:p>
        </w:tc>
        <w:tc>
          <w:tcPr>
            <w:tcW w:w="1716" w:type="dxa"/>
            <w:vAlign w:val="center"/>
          </w:tcPr>
          <w:p>
            <w:pPr>
              <w:ind w:firstLineChars="0" w:firstLine="0"/>
              <w:jc w:val="center"/>
              <w:rPr>
                <w:rFonts w:eastAsia="宋体" w:cs="Times New Roman"/>
                <w:color w:val="auto"/>
                <w:sz w:val="21"/>
                <w:szCs w:val="21"/>
                <w:lang w:val="en-US" w:eastAsia="zh-CN"/>
                <w:highlight w:val="none"/>
              </w:rPr>
            </w:pPr>
          </w:p>
        </w:tc>
      </w:tr>
      <w:tr>
        <w:tc>
          <w:tcPr>
            <w:tcW w:w="492"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3</w:t>
            </w:r>
          </w:p>
        </w:tc>
        <w:tc>
          <w:tcPr>
            <w:tcW w:w="1855"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芯片法</w:t>
            </w:r>
          </w:p>
        </w:tc>
        <w:tc>
          <w:tcPr>
            <w:tcW w:w="1475" w:type="dxa"/>
            <w:vAlign w:val="center"/>
          </w:tcPr>
          <w:p>
            <w:pPr>
              <w:ind w:firstLineChars="0" w:firstLine="0"/>
              <w:jc w:val="center"/>
              <w:rPr>
                <w:rFonts w:cs="Times New Roman"/>
                <w:color w:val="auto"/>
                <w:sz w:val="21"/>
                <w:szCs w:val="21"/>
                <w:highlight w:val="none"/>
              </w:rPr>
            </w:pPr>
            <w:r>
              <w:rPr>
                <w:rFonts w:ascii="宋体" w:eastAsia="宋体" w:cs="宋体" w:hAnsi="宋体" w:hint="eastAsia"/>
                <w:color w:val="auto"/>
                <w:sz w:val="21"/>
                <w:szCs w:val="21"/>
                <w:highlight w:val="none"/>
              </w:rPr>
              <w:t>○</w:t>
            </w:r>
          </w:p>
        </w:tc>
        <w:tc>
          <w:tcPr>
            <w:tcW w:w="1524" w:type="dxa"/>
            <w:vAlign w:val="center"/>
          </w:tcPr>
          <w:p>
            <w:pPr>
              <w:ind w:firstLineChars="0" w:firstLine="0"/>
              <w:jc w:val="center"/>
              <w:rPr>
                <w:rFonts w:cs="Times New Roman"/>
                <w:color w:val="auto"/>
                <w:sz w:val="21"/>
                <w:szCs w:val="21"/>
                <w:highlight w:val="none"/>
              </w:rPr>
            </w:pPr>
          </w:p>
        </w:tc>
        <w:tc>
          <w:tcPr>
            <w:tcW w:w="683" w:type="dxa"/>
            <w:vAlign w:val="center"/>
          </w:tcPr>
          <w:p>
            <w:pPr>
              <w:ind w:firstLineChars="0" w:firstLine="0"/>
              <w:jc w:val="center"/>
              <w:rPr>
                <w:rFonts w:cs="Times New Roman"/>
                <w:color w:val="auto"/>
                <w:sz w:val="21"/>
                <w:szCs w:val="21"/>
                <w:highlight w:val="none"/>
              </w:rPr>
            </w:pPr>
          </w:p>
        </w:tc>
        <w:tc>
          <w:tcPr>
            <w:tcW w:w="1540" w:type="dxa"/>
            <w:vAlign w:val="center"/>
          </w:tcPr>
          <w:p>
            <w:pPr>
              <w:ind w:firstLineChars="0" w:firstLine="0"/>
              <w:jc w:val="center"/>
              <w:rPr>
                <w:rFonts w:cs="Times New Roman"/>
                <w:color w:val="auto"/>
                <w:sz w:val="21"/>
                <w:szCs w:val="21"/>
                <w:highlight w:val="none"/>
              </w:rPr>
            </w:pPr>
          </w:p>
        </w:tc>
        <w:tc>
          <w:tcPr>
            <w:tcW w:w="1716" w:type="dxa"/>
            <w:vAlign w:val="center"/>
          </w:tcPr>
          <w:p>
            <w:pPr>
              <w:ind w:firstLineChars="0" w:firstLine="0"/>
              <w:jc w:val="center"/>
              <w:rPr>
                <w:rFonts w:cs="Times New Roman"/>
                <w:color w:val="auto"/>
                <w:sz w:val="21"/>
                <w:szCs w:val="21"/>
                <w:highlight w:val="none"/>
              </w:rPr>
            </w:pPr>
          </w:p>
        </w:tc>
      </w:tr>
      <w:tr>
        <w:trPr>
          <w:trHeight w:val="90"/>
        </w:trPr>
        <w:tc>
          <w:tcPr>
            <w:tcW w:w="492"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4</w:t>
            </w:r>
          </w:p>
        </w:tc>
        <w:tc>
          <w:tcPr>
            <w:tcW w:w="1855"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电阻率法</w:t>
            </w:r>
          </w:p>
        </w:tc>
        <w:tc>
          <w:tcPr>
            <w:tcW w:w="1475" w:type="dxa"/>
            <w:vAlign w:val="center"/>
          </w:tcPr>
          <w:p>
            <w:pPr>
              <w:ind w:firstLineChars="0" w:firstLine="0"/>
              <w:jc w:val="center"/>
              <w:rPr>
                <w:rFonts w:cs="Times New Roman"/>
                <w:color w:val="auto"/>
                <w:sz w:val="21"/>
                <w:szCs w:val="21"/>
                <w:highlight w:val="none"/>
              </w:rPr>
            </w:pPr>
            <w:r>
              <w:rPr>
                <w:rFonts w:ascii="宋体" w:eastAsia="宋体" w:cs="宋体" w:hAnsi="宋体" w:hint="eastAsia"/>
                <w:color w:val="auto"/>
                <w:sz w:val="21"/>
                <w:szCs w:val="21"/>
                <w:highlight w:val="none"/>
              </w:rPr>
              <w:t>○</w:t>
            </w:r>
          </w:p>
        </w:tc>
        <w:tc>
          <w:tcPr>
            <w:tcW w:w="1524" w:type="dxa"/>
            <w:vAlign w:val="center"/>
          </w:tcPr>
          <w:p>
            <w:pPr>
              <w:ind w:firstLineChars="0" w:firstLine="0"/>
              <w:jc w:val="center"/>
              <w:rPr>
                <w:rFonts w:eastAsia="宋体" w:cs="Times New Roman" w:hint="eastAsia"/>
                <w:color w:val="auto"/>
                <w:sz w:val="21"/>
                <w:szCs w:val="21"/>
                <w:lang w:val="en-US" w:eastAsia="zh-CN"/>
                <w:highlight w:val="none"/>
              </w:rPr>
            </w:pPr>
          </w:p>
        </w:tc>
        <w:tc>
          <w:tcPr>
            <w:tcW w:w="683" w:type="dxa"/>
            <w:vAlign w:val="center"/>
          </w:tcPr>
          <w:p>
            <w:pPr>
              <w:ind w:firstLineChars="0" w:firstLine="0"/>
              <w:jc w:val="center"/>
              <w:rPr>
                <w:rFonts w:cs="Times New Roman" w:hint="eastAsia"/>
                <w:color w:val="auto"/>
                <w:sz w:val="21"/>
                <w:szCs w:val="21"/>
                <w:lang w:val="en-US" w:eastAsia="zh-CN"/>
                <w:highlight w:val="none"/>
              </w:rPr>
            </w:pPr>
          </w:p>
        </w:tc>
        <w:tc>
          <w:tcPr>
            <w:tcW w:w="1540" w:type="dxa"/>
            <w:vAlign w:val="center"/>
          </w:tcPr>
          <w:p>
            <w:pPr>
              <w:ind w:firstLineChars="0" w:firstLine="0"/>
              <w:jc w:val="center"/>
              <w:rPr>
                <w:rFonts w:cs="Times New Roman" w:hint="eastAsia"/>
                <w:color w:val="auto"/>
                <w:sz w:val="21"/>
                <w:szCs w:val="21"/>
                <w:lang w:val="en-US" w:eastAsia="zh-CN"/>
                <w:highlight w:val="none"/>
              </w:rPr>
            </w:pPr>
          </w:p>
        </w:tc>
        <w:tc>
          <w:tcPr>
            <w:tcW w:w="1716" w:type="dxa"/>
            <w:vAlign w:val="center"/>
          </w:tcPr>
          <w:p>
            <w:pPr>
              <w:ind w:firstLineChars="0" w:firstLine="0"/>
              <w:jc w:val="center"/>
              <w:rPr>
                <w:rFonts w:cs="Times New Roman" w:hint="eastAsia"/>
                <w:color w:val="auto"/>
                <w:sz w:val="21"/>
                <w:szCs w:val="21"/>
                <w:lang w:val="en-US" w:eastAsia="zh-CN"/>
                <w:highlight w:val="none"/>
              </w:rPr>
            </w:pPr>
          </w:p>
        </w:tc>
      </w:tr>
      <w:tr>
        <w:tc>
          <w:tcPr>
            <w:tcW w:w="492"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5</w:t>
            </w:r>
          </w:p>
        </w:tc>
        <w:tc>
          <w:tcPr>
            <w:tcW w:w="1855" w:type="dxa"/>
            <w:vAlign w:val="center"/>
          </w:tcPr>
          <w:p>
            <w:pPr>
              <w:ind w:firstLineChars="0" w:firstLine="0"/>
              <w:jc w:val="center"/>
              <w:rPr>
                <w:rFonts w:eastAsia="宋体" w:cs="Times New Roman" w:hint="eastAsia"/>
                <w:color w:val="auto"/>
                <w:sz w:val="21"/>
                <w:szCs w:val="21"/>
                <w:lang w:val="en-US" w:eastAsia="zh-CN"/>
                <w:highlight w:val="none"/>
              </w:rPr>
            </w:pPr>
            <w:r>
              <w:rPr>
                <w:rFonts w:cs="Times New Roman"/>
                <w:color w:val="auto"/>
                <w:sz w:val="21"/>
                <w:szCs w:val="21"/>
                <w:highlight w:val="none"/>
              </w:rPr>
              <w:t>电容法</w:t>
            </w:r>
          </w:p>
        </w:tc>
        <w:tc>
          <w:tcPr>
            <w:tcW w:w="1475" w:type="dxa"/>
            <w:vAlign w:val="center"/>
          </w:tcPr>
          <w:p>
            <w:pPr>
              <w:ind w:firstLineChars="0" w:firstLine="0"/>
              <w:jc w:val="center"/>
              <w:rPr>
                <w:rFonts w:cs="Times New Roman"/>
                <w:color w:val="auto"/>
                <w:sz w:val="21"/>
                <w:szCs w:val="21"/>
                <w:highlight w:val="none"/>
              </w:rPr>
            </w:pPr>
            <w:r>
              <w:rPr>
                <w:rFonts w:ascii="宋体" w:eastAsia="宋体" w:cs="宋体" w:hAnsi="宋体" w:hint="eastAsia"/>
                <w:color w:val="auto"/>
                <w:sz w:val="21"/>
                <w:szCs w:val="21"/>
                <w:highlight w:val="none"/>
              </w:rPr>
              <w:t>○</w:t>
            </w:r>
          </w:p>
        </w:tc>
        <w:tc>
          <w:tcPr>
            <w:tcW w:w="1524" w:type="dxa"/>
            <w:vAlign w:val="center"/>
          </w:tcPr>
          <w:p>
            <w:pPr>
              <w:ind w:firstLineChars="0" w:firstLine="0"/>
              <w:jc w:val="center"/>
              <w:rPr>
                <w:rFonts w:cs="Times New Roman"/>
                <w:color w:val="auto"/>
                <w:sz w:val="21"/>
                <w:szCs w:val="21"/>
                <w:lang w:val="en-US" w:eastAsia="zh-CN"/>
                <w:highlight w:val="none"/>
              </w:rPr>
            </w:pPr>
          </w:p>
        </w:tc>
        <w:tc>
          <w:tcPr>
            <w:tcW w:w="683" w:type="dxa"/>
            <w:vAlign w:val="center"/>
          </w:tcPr>
          <w:p>
            <w:pPr>
              <w:ind w:firstLineChars="0" w:firstLine="0"/>
              <w:jc w:val="center"/>
              <w:rPr>
                <w:rFonts w:cs="Times New Roman" w:hint="eastAsia"/>
                <w:color w:val="auto"/>
                <w:sz w:val="21"/>
                <w:szCs w:val="21"/>
                <w:lang w:val="en-US" w:eastAsia="zh-CN"/>
                <w:highlight w:val="none"/>
              </w:rPr>
            </w:pPr>
          </w:p>
        </w:tc>
        <w:tc>
          <w:tcPr>
            <w:tcW w:w="1540" w:type="dxa"/>
            <w:vAlign w:val="center"/>
          </w:tcPr>
          <w:p>
            <w:pPr>
              <w:ind w:firstLineChars="0" w:firstLine="0"/>
              <w:jc w:val="center"/>
              <w:rPr>
                <w:rFonts w:cs="Times New Roman" w:hint="eastAsia"/>
                <w:color w:val="auto"/>
                <w:sz w:val="21"/>
                <w:szCs w:val="21"/>
                <w:lang w:val="en-US" w:eastAsia="zh-CN"/>
                <w:highlight w:val="none"/>
              </w:rPr>
            </w:pPr>
          </w:p>
        </w:tc>
        <w:tc>
          <w:tcPr>
            <w:tcW w:w="1716" w:type="dxa"/>
            <w:vAlign w:val="center"/>
          </w:tcPr>
          <w:p>
            <w:pPr>
              <w:ind w:firstLineChars="0" w:firstLine="0"/>
              <w:jc w:val="center"/>
              <w:rPr>
                <w:rFonts w:cs="Times New Roman" w:hint="eastAsia"/>
                <w:color w:val="auto"/>
                <w:sz w:val="21"/>
                <w:szCs w:val="21"/>
                <w:lang w:val="en-US" w:eastAsia="zh-CN"/>
                <w:highlight w:val="none"/>
              </w:rPr>
            </w:pPr>
          </w:p>
        </w:tc>
      </w:tr>
      <w:tr>
        <w:tc>
          <w:tcPr>
            <w:tcW w:w="492"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6</w:t>
            </w:r>
          </w:p>
        </w:tc>
        <w:tc>
          <w:tcPr>
            <w:tcW w:w="1855" w:type="dxa"/>
            <w:vAlign w:val="center"/>
          </w:tcPr>
          <w:p>
            <w:pPr>
              <w:ind w:firstLineChars="0" w:firstLine="0"/>
              <w:jc w:val="center"/>
              <w:rPr>
                <w:rFonts w:ascii="Times New Roman" w:eastAsia="宋体" w:cs="Times New Roman" w:hAnsi="Times New Roman" w:hint="eastAsia"/>
                <w:color w:val="auto"/>
                <w:kern w:val="2"/>
                <w:sz w:val="21"/>
                <w:szCs w:val="21"/>
                <w:lang w:val="en-US" w:eastAsia="zh-CN" w:bidi="ar-SA"/>
                <w:highlight w:val="none"/>
              </w:rPr>
            </w:pPr>
            <w:r>
              <w:rPr>
                <w:rFonts w:cs="Times New Roman"/>
                <w:color w:val="auto"/>
                <w:sz w:val="21"/>
                <w:szCs w:val="21"/>
                <w:highlight w:val="none"/>
              </w:rPr>
              <w:t>压电法</w:t>
            </w:r>
          </w:p>
        </w:tc>
        <w:tc>
          <w:tcPr>
            <w:tcW w:w="1475" w:type="dxa"/>
            <w:vAlign w:val="center"/>
          </w:tcPr>
          <w:p>
            <w:pPr>
              <w:ind w:firstLineChars="0" w:firstLine="0"/>
              <w:jc w:val="center"/>
              <w:rPr>
                <w:rFonts w:ascii="Times New Roman" w:eastAsia="宋体" w:cs="Times New Roman" w:hAnsi="Times New Roman"/>
                <w:color w:val="auto"/>
                <w:kern w:val="2"/>
                <w:sz w:val="21"/>
                <w:szCs w:val="21"/>
                <w:lang w:val="en-US" w:eastAsia="zh-CN" w:bidi="ar-SA"/>
                <w:highlight w:val="none"/>
              </w:rPr>
            </w:pPr>
            <w:r>
              <w:rPr>
                <w:rFonts w:ascii="宋体" w:eastAsia="宋体" w:cs="宋体" w:hAnsi="宋体" w:hint="eastAsia"/>
                <w:color w:val="auto"/>
                <w:sz w:val="21"/>
                <w:szCs w:val="21"/>
                <w:highlight w:val="none"/>
              </w:rPr>
              <w:t>○</w:t>
            </w:r>
          </w:p>
        </w:tc>
        <w:tc>
          <w:tcPr>
            <w:tcW w:w="1524" w:type="dxa"/>
            <w:vAlign w:val="center"/>
          </w:tcPr>
          <w:p>
            <w:pPr>
              <w:ind w:firstLineChars="0" w:firstLine="0"/>
              <w:jc w:val="center"/>
              <w:rPr>
                <w:rFonts w:cs="Times New Roman"/>
                <w:color w:val="auto"/>
                <w:sz w:val="21"/>
                <w:szCs w:val="21"/>
                <w:highlight w:val="none"/>
              </w:rPr>
            </w:pPr>
          </w:p>
        </w:tc>
        <w:tc>
          <w:tcPr>
            <w:tcW w:w="683" w:type="dxa"/>
            <w:vAlign w:val="center"/>
          </w:tcPr>
          <w:p>
            <w:pPr>
              <w:ind w:firstLineChars="0" w:firstLine="0"/>
              <w:jc w:val="center"/>
              <w:rPr>
                <w:rFonts w:cs="Times New Roman"/>
                <w:color w:val="auto"/>
                <w:sz w:val="21"/>
                <w:szCs w:val="21"/>
                <w:highlight w:val="none"/>
              </w:rPr>
            </w:pPr>
          </w:p>
        </w:tc>
        <w:tc>
          <w:tcPr>
            <w:tcW w:w="1540" w:type="dxa"/>
            <w:vAlign w:val="center"/>
          </w:tcPr>
          <w:p>
            <w:pPr>
              <w:ind w:firstLineChars="0" w:firstLine="0"/>
              <w:jc w:val="center"/>
              <w:rPr>
                <w:rFonts w:cs="Times New Roman"/>
                <w:color w:val="auto"/>
                <w:sz w:val="21"/>
                <w:szCs w:val="21"/>
                <w:highlight w:val="none"/>
              </w:rPr>
            </w:pPr>
          </w:p>
        </w:tc>
        <w:tc>
          <w:tcPr>
            <w:tcW w:w="1716" w:type="dxa"/>
            <w:vAlign w:val="center"/>
          </w:tcPr>
          <w:p>
            <w:pPr>
              <w:ind w:firstLineChars="0" w:firstLine="0"/>
              <w:jc w:val="center"/>
              <w:rPr>
                <w:rFonts w:cs="Times New Roman"/>
                <w:color w:val="auto"/>
                <w:sz w:val="21"/>
                <w:szCs w:val="21"/>
                <w:highlight w:val="none"/>
              </w:rPr>
            </w:pPr>
          </w:p>
        </w:tc>
      </w:tr>
      <w:tr>
        <w:tc>
          <w:tcPr>
            <w:tcW w:w="492" w:type="dxa"/>
            <w:vAlign w:val="center"/>
          </w:tcPr>
          <w:p>
            <w:pPr>
              <w:ind w:firstLineChars="0" w:firstLine="0"/>
              <w:jc w:val="center"/>
              <w:rPr>
                <w:rFonts w:eastAsia="宋体" w:cs="Times New Roman" w:hint="eastAsia"/>
                <w:color w:val="auto"/>
                <w:sz w:val="21"/>
                <w:szCs w:val="21"/>
                <w:lang w:val="en-US" w:eastAsia="zh-CN"/>
                <w:highlight w:val="none"/>
              </w:rPr>
            </w:pPr>
            <w:r>
              <w:rPr>
                <w:rFonts w:cs="Times New Roman" w:hint="eastAsia"/>
                <w:color w:val="auto"/>
                <w:sz w:val="21"/>
                <w:szCs w:val="21"/>
                <w:lang w:val="en-US" w:eastAsia="zh-CN"/>
                <w:highlight w:val="none"/>
              </w:rPr>
              <w:t>7</w:t>
            </w:r>
          </w:p>
        </w:tc>
        <w:tc>
          <w:tcPr>
            <w:tcW w:w="1855" w:type="dxa"/>
            <w:vAlign w:val="center"/>
          </w:tcPr>
          <w:p>
            <w:pPr>
              <w:ind w:firstLineChars="0" w:firstLine="0"/>
              <w:jc w:val="center"/>
              <w:rPr>
                <w:rFonts w:ascii="Times New Roman" w:eastAsia="宋体" w:cs="Times New Roman" w:hAnsi="Times New Roman" w:hint="eastAsia"/>
                <w:color w:val="auto"/>
                <w:kern w:val="2"/>
                <w:sz w:val="21"/>
                <w:szCs w:val="21"/>
                <w:lang w:val="en-US" w:eastAsia="zh-CN" w:bidi="ar-SA"/>
                <w:highlight w:val="none"/>
              </w:rPr>
            </w:pPr>
            <w:r>
              <w:rPr>
                <w:rFonts w:cs="Times New Roman"/>
                <w:color w:val="auto"/>
                <w:sz w:val="21"/>
                <w:szCs w:val="21"/>
                <w:highlight w:val="none"/>
              </w:rPr>
              <w:t>压力传感器法</w:t>
            </w:r>
          </w:p>
        </w:tc>
        <w:tc>
          <w:tcPr>
            <w:tcW w:w="1475" w:type="dxa"/>
            <w:vAlign w:val="center"/>
          </w:tcPr>
          <w:p>
            <w:pPr>
              <w:ind w:firstLineChars="0" w:firstLine="0"/>
              <w:jc w:val="center"/>
              <w:rPr>
                <w:rFonts w:cs="Times New Roman"/>
                <w:color w:val="auto"/>
                <w:sz w:val="21"/>
                <w:szCs w:val="21"/>
                <w:lang w:val="en-US" w:eastAsia="zh-CN"/>
                <w:highlight w:val="none"/>
              </w:rPr>
            </w:pPr>
            <w:r>
              <w:rPr>
                <w:rFonts w:ascii="宋体" w:eastAsia="宋体" w:cs="宋体" w:hAnsi="宋体" w:hint="eastAsia"/>
                <w:color w:val="auto"/>
                <w:sz w:val="21"/>
                <w:szCs w:val="21"/>
                <w:highlight w:val="none"/>
              </w:rPr>
              <w:t>○</w:t>
            </w:r>
          </w:p>
        </w:tc>
        <w:tc>
          <w:tcPr>
            <w:tcW w:w="1524" w:type="dxa"/>
            <w:vAlign w:val="center"/>
          </w:tcPr>
          <w:p>
            <w:pPr>
              <w:ind w:firstLineChars="0" w:firstLine="0"/>
              <w:jc w:val="center"/>
              <w:rPr>
                <w:rFonts w:cs="Times New Roman"/>
                <w:color w:val="auto"/>
                <w:sz w:val="21"/>
                <w:szCs w:val="21"/>
                <w:highlight w:val="none"/>
              </w:rPr>
            </w:pPr>
          </w:p>
        </w:tc>
        <w:tc>
          <w:tcPr>
            <w:tcW w:w="683" w:type="dxa"/>
            <w:vAlign w:val="center"/>
          </w:tcPr>
          <w:p>
            <w:pPr>
              <w:ind w:firstLineChars="0" w:firstLine="0"/>
              <w:jc w:val="center"/>
              <w:rPr>
                <w:rFonts w:cs="Times New Roman"/>
                <w:color w:val="auto"/>
                <w:sz w:val="21"/>
                <w:szCs w:val="21"/>
                <w:highlight w:val="none"/>
              </w:rPr>
            </w:pPr>
          </w:p>
        </w:tc>
        <w:tc>
          <w:tcPr>
            <w:tcW w:w="1540" w:type="dxa"/>
            <w:vAlign w:val="center"/>
          </w:tcPr>
          <w:p>
            <w:pPr>
              <w:ind w:firstLineChars="0" w:firstLine="0"/>
              <w:jc w:val="center"/>
              <w:rPr>
                <w:rFonts w:cs="Times New Roman"/>
                <w:color w:val="auto"/>
                <w:sz w:val="21"/>
                <w:szCs w:val="21"/>
                <w:highlight w:val="none"/>
              </w:rPr>
            </w:pPr>
          </w:p>
        </w:tc>
        <w:tc>
          <w:tcPr>
            <w:tcW w:w="1716" w:type="dxa"/>
            <w:vAlign w:val="center"/>
          </w:tcPr>
          <w:p>
            <w:pPr>
              <w:ind w:firstLineChars="0" w:firstLine="0"/>
              <w:jc w:val="center"/>
              <w:rPr>
                <w:rFonts w:cs="Times New Roman"/>
                <w:color w:val="auto"/>
                <w:sz w:val="21"/>
                <w:szCs w:val="21"/>
                <w:highlight w:val="none"/>
              </w:rPr>
            </w:pPr>
          </w:p>
        </w:tc>
      </w:tr>
      <w:tr>
        <w:tc>
          <w:tcPr>
            <w:tcW w:w="492" w:type="dxa"/>
            <w:vAlign w:val="center"/>
          </w:tcPr>
          <w:p>
            <w:pPr>
              <w:ind w:firstLineChars="0" w:firstLine="0"/>
              <w:jc w:val="center"/>
              <w:rPr>
                <w:rFonts w:cs="Times New Roman"/>
                <w:color w:val="auto"/>
                <w:sz w:val="21"/>
                <w:szCs w:val="21"/>
                <w:lang w:val="en-US" w:eastAsia="zh-CN"/>
                <w:highlight w:val="none"/>
              </w:rPr>
            </w:pPr>
            <w:r>
              <w:rPr>
                <w:rFonts w:cs="Times New Roman" w:hint="eastAsia"/>
                <w:color w:val="auto"/>
                <w:sz w:val="21"/>
                <w:szCs w:val="21"/>
                <w:lang w:val="en-US" w:eastAsia="zh-CN"/>
                <w:highlight w:val="none"/>
              </w:rPr>
              <w:t>8</w:t>
            </w:r>
          </w:p>
        </w:tc>
        <w:tc>
          <w:tcPr>
            <w:tcW w:w="1855"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预埋钢丝拉拔法</w:t>
            </w:r>
          </w:p>
        </w:tc>
        <w:tc>
          <w:tcPr>
            <w:tcW w:w="1475" w:type="dxa"/>
            <w:vAlign w:val="center"/>
          </w:tcPr>
          <w:p>
            <w:pPr>
              <w:ind w:firstLineChars="0" w:firstLine="0"/>
              <w:jc w:val="center"/>
              <w:rPr>
                <w:rFonts w:cs="Times New Roman"/>
                <w:color w:val="auto"/>
                <w:sz w:val="21"/>
                <w:szCs w:val="21"/>
                <w:highlight w:val="none"/>
              </w:rPr>
            </w:pPr>
            <w:r>
              <w:rPr>
                <w:rFonts w:ascii="宋体" w:eastAsia="宋体" w:cs="宋体" w:hAnsi="宋体" w:hint="eastAsia"/>
                <w:color w:val="auto"/>
                <w:sz w:val="21"/>
                <w:szCs w:val="21"/>
                <w:highlight w:val="none"/>
              </w:rPr>
              <w:t>○</w:t>
            </w:r>
          </w:p>
        </w:tc>
        <w:tc>
          <w:tcPr>
            <w:tcW w:w="1524" w:type="dxa"/>
            <w:vAlign w:val="center"/>
          </w:tcPr>
          <w:p>
            <w:pPr>
              <w:ind w:firstLineChars="0" w:firstLine="0"/>
              <w:jc w:val="center"/>
              <w:rPr>
                <w:rFonts w:cs="Times New Roman"/>
                <w:color w:val="auto"/>
                <w:sz w:val="21"/>
                <w:szCs w:val="21"/>
                <w:highlight w:val="none"/>
              </w:rPr>
            </w:pPr>
          </w:p>
        </w:tc>
        <w:tc>
          <w:tcPr>
            <w:tcW w:w="683" w:type="dxa"/>
            <w:vAlign w:val="center"/>
          </w:tcPr>
          <w:p>
            <w:pPr>
              <w:ind w:firstLineChars="0" w:firstLine="0"/>
              <w:jc w:val="center"/>
              <w:rPr>
                <w:rFonts w:cs="Times New Roman"/>
                <w:color w:val="auto"/>
                <w:sz w:val="21"/>
                <w:szCs w:val="21"/>
                <w:highlight w:val="none"/>
              </w:rPr>
            </w:pPr>
          </w:p>
        </w:tc>
        <w:tc>
          <w:tcPr>
            <w:tcW w:w="1540" w:type="dxa"/>
            <w:vAlign w:val="center"/>
          </w:tcPr>
          <w:p>
            <w:pPr>
              <w:ind w:firstLineChars="0" w:firstLine="0"/>
              <w:jc w:val="center"/>
              <w:rPr>
                <w:rFonts w:cs="Times New Roman"/>
                <w:color w:val="auto"/>
                <w:sz w:val="21"/>
                <w:szCs w:val="21"/>
                <w:highlight w:val="none"/>
              </w:rPr>
            </w:pPr>
          </w:p>
        </w:tc>
        <w:tc>
          <w:tcPr>
            <w:tcW w:w="1716" w:type="dxa"/>
            <w:vAlign w:val="center"/>
          </w:tcPr>
          <w:p>
            <w:pPr>
              <w:ind w:firstLineChars="0" w:firstLine="0"/>
              <w:jc w:val="center"/>
              <w:rPr>
                <w:rFonts w:cs="Times New Roman"/>
                <w:color w:val="auto"/>
                <w:sz w:val="21"/>
                <w:szCs w:val="21"/>
                <w:highlight w:val="none"/>
              </w:rPr>
            </w:pPr>
          </w:p>
        </w:tc>
      </w:tr>
      <w:tr>
        <w:tc>
          <w:tcPr>
            <w:tcW w:w="492" w:type="dxa"/>
            <w:vAlign w:val="center"/>
          </w:tcPr>
          <w:p>
            <w:pPr>
              <w:ind w:firstLineChars="0" w:firstLine="0"/>
              <w:jc w:val="center"/>
              <w:rPr>
                <w:rFonts w:cs="Times New Roman"/>
                <w:color w:val="auto"/>
                <w:sz w:val="21"/>
                <w:szCs w:val="21"/>
                <w:lang w:val="en-US" w:eastAsia="zh-CN"/>
                <w:highlight w:val="none"/>
              </w:rPr>
            </w:pPr>
            <w:r>
              <w:rPr>
                <w:rFonts w:cs="Times New Roman" w:hint="eastAsia"/>
                <w:color w:val="auto"/>
                <w:sz w:val="21"/>
                <w:szCs w:val="21"/>
                <w:lang w:val="en-US" w:eastAsia="zh-CN"/>
                <w:highlight w:val="none"/>
              </w:rPr>
              <w:t>9</w:t>
            </w:r>
          </w:p>
        </w:tc>
        <w:tc>
          <w:tcPr>
            <w:tcW w:w="1855" w:type="dxa"/>
            <w:vAlign w:val="center"/>
          </w:tcPr>
          <w:p>
            <w:pPr>
              <w:ind w:firstLineChars="0" w:firstLine="0"/>
              <w:jc w:val="center"/>
              <w:rPr>
                <w:rFonts w:eastAsia="宋体" w:cs="Times New Roman"/>
                <w:color w:val="auto"/>
                <w:sz w:val="21"/>
                <w:szCs w:val="21"/>
                <w:lang w:val="en-US" w:eastAsia="zh-CN"/>
                <w:highlight w:val="none"/>
              </w:rPr>
            </w:pPr>
            <w:r>
              <w:rPr>
                <w:rFonts w:cs="Times New Roman" w:hint="eastAsia"/>
                <w:color w:val="auto"/>
                <w:sz w:val="21"/>
                <w:szCs w:val="21"/>
                <w:lang w:val="en-US" w:eastAsia="zh-CN"/>
                <w:highlight w:val="none"/>
              </w:rPr>
              <w:t>非金属超声波法</w:t>
            </w:r>
          </w:p>
        </w:tc>
        <w:tc>
          <w:tcPr>
            <w:tcW w:w="1475" w:type="dxa"/>
            <w:vAlign w:val="center"/>
          </w:tcPr>
          <w:p>
            <w:pPr>
              <w:ind w:firstLineChars="0" w:firstLine="0"/>
              <w:jc w:val="center"/>
              <w:rPr>
                <w:rFonts w:cs="Times New Roman"/>
                <w:color w:val="auto"/>
                <w:sz w:val="21"/>
                <w:szCs w:val="21"/>
                <w:highlight w:val="none"/>
              </w:rPr>
            </w:pPr>
          </w:p>
        </w:tc>
        <w:tc>
          <w:tcPr>
            <w:tcW w:w="1524" w:type="dxa"/>
            <w:vAlign w:val="center"/>
          </w:tcPr>
          <w:p>
            <w:pPr>
              <w:ind w:firstLineChars="0" w:firstLine="0"/>
              <w:jc w:val="center"/>
              <w:rPr>
                <w:rFonts w:cs="Times New Roman"/>
                <w:color w:val="auto"/>
                <w:sz w:val="21"/>
                <w:szCs w:val="21"/>
                <w:highlight w:val="none"/>
              </w:rPr>
            </w:pPr>
            <w:r>
              <w:rPr>
                <w:rFonts w:cs="Times New Roman" w:hint="eastAsia"/>
                <w:color w:val="auto"/>
                <w:sz w:val="21"/>
                <w:szCs w:val="21"/>
                <w:lang w:val="en-US" w:eastAsia="zh-CN"/>
                <w:highlight w:val="none"/>
              </w:rPr>
              <w:t>√</w:t>
            </w:r>
          </w:p>
        </w:tc>
        <w:tc>
          <w:tcPr>
            <w:tcW w:w="683" w:type="dxa"/>
            <w:vAlign w:val="center"/>
          </w:tcPr>
          <w:p>
            <w:pPr>
              <w:ind w:firstLineChars="0" w:firstLine="0"/>
              <w:jc w:val="center"/>
              <w:rPr>
                <w:rFonts w:cs="Times New Roman"/>
                <w:color w:val="auto"/>
                <w:sz w:val="21"/>
                <w:szCs w:val="21"/>
                <w:highlight w:val="none"/>
              </w:rPr>
            </w:pPr>
          </w:p>
        </w:tc>
        <w:tc>
          <w:tcPr>
            <w:tcW w:w="1540" w:type="dxa"/>
            <w:vAlign w:val="center"/>
          </w:tcPr>
          <w:p>
            <w:pPr>
              <w:ind w:firstLineChars="0" w:firstLine="0"/>
              <w:jc w:val="center"/>
              <w:rPr>
                <w:rFonts w:cs="Times New Roman"/>
                <w:color w:val="auto"/>
                <w:sz w:val="21"/>
                <w:szCs w:val="21"/>
                <w:highlight w:val="none"/>
              </w:rPr>
            </w:pPr>
          </w:p>
        </w:tc>
        <w:tc>
          <w:tcPr>
            <w:tcW w:w="1716" w:type="dxa"/>
            <w:vAlign w:val="center"/>
          </w:tcPr>
          <w:p>
            <w:pPr>
              <w:ind w:firstLineChars="0" w:firstLine="0"/>
              <w:jc w:val="center"/>
              <w:rPr>
                <w:rFonts w:cs="Times New Roman"/>
                <w:color w:val="auto"/>
                <w:sz w:val="21"/>
                <w:szCs w:val="21"/>
                <w:highlight w:val="none"/>
              </w:rPr>
            </w:pPr>
          </w:p>
        </w:tc>
      </w:tr>
      <w:tr>
        <w:tc>
          <w:tcPr>
            <w:tcW w:w="492" w:type="dxa"/>
            <w:vAlign w:val="center"/>
          </w:tcPr>
          <w:p>
            <w:pPr>
              <w:ind w:firstLineChars="0" w:firstLine="0"/>
              <w:jc w:val="center"/>
              <w:rPr>
                <w:rFonts w:cs="Times New Roman"/>
                <w:color w:val="auto"/>
                <w:sz w:val="21"/>
                <w:szCs w:val="21"/>
                <w:lang w:val="en-US" w:eastAsia="zh-CN"/>
                <w:highlight w:val="none"/>
              </w:rPr>
            </w:pPr>
            <w:r>
              <w:rPr>
                <w:rFonts w:cs="Times New Roman" w:hint="eastAsia"/>
                <w:color w:val="auto"/>
                <w:sz w:val="21"/>
                <w:szCs w:val="21"/>
                <w:lang w:val="en-US" w:eastAsia="zh-CN"/>
                <w:highlight w:val="none"/>
              </w:rPr>
              <w:t>10</w:t>
            </w:r>
          </w:p>
        </w:tc>
        <w:tc>
          <w:tcPr>
            <w:tcW w:w="1855" w:type="dxa"/>
            <w:vAlign w:val="center"/>
          </w:tcPr>
          <w:p>
            <w:pPr>
              <w:ind w:firstLineChars="0" w:firstLine="0"/>
              <w:jc w:val="center"/>
              <w:rPr>
                <w:rFonts w:cs="Times New Roman"/>
                <w:color w:val="auto"/>
                <w:sz w:val="21"/>
                <w:szCs w:val="21"/>
                <w:lang w:val="en-US" w:eastAsia="zh-CN"/>
                <w:highlight w:val="none"/>
              </w:rPr>
            </w:pPr>
            <w:r>
              <w:rPr>
                <w:rFonts w:cs="Times New Roman" w:hint="eastAsia"/>
                <w:color w:val="auto"/>
                <w:sz w:val="21"/>
                <w:szCs w:val="21"/>
                <w:lang w:val="en-US" w:eastAsia="zh-CN"/>
                <w:highlight w:val="none"/>
              </w:rPr>
              <w:t>冲击回波法</w:t>
            </w:r>
          </w:p>
        </w:tc>
        <w:tc>
          <w:tcPr>
            <w:tcW w:w="1475" w:type="dxa"/>
            <w:vAlign w:val="center"/>
          </w:tcPr>
          <w:p>
            <w:pPr>
              <w:ind w:firstLineChars="0" w:firstLine="0"/>
              <w:jc w:val="center"/>
              <w:rPr>
                <w:rFonts w:cs="Times New Roman"/>
                <w:color w:val="auto"/>
                <w:sz w:val="21"/>
                <w:szCs w:val="21"/>
                <w:highlight w:val="none"/>
              </w:rPr>
            </w:pPr>
          </w:p>
        </w:tc>
        <w:tc>
          <w:tcPr>
            <w:tcW w:w="1524" w:type="dxa"/>
            <w:vAlign w:val="center"/>
          </w:tcPr>
          <w:p>
            <w:pPr>
              <w:ind w:firstLineChars="0" w:firstLine="0"/>
              <w:jc w:val="center"/>
              <w:rPr>
                <w:rFonts w:cs="Times New Roman"/>
                <w:color w:val="auto"/>
                <w:sz w:val="21"/>
                <w:szCs w:val="21"/>
                <w:highlight w:val="none"/>
              </w:rPr>
            </w:pPr>
          </w:p>
        </w:tc>
        <w:tc>
          <w:tcPr>
            <w:tcW w:w="683" w:type="dxa"/>
            <w:vAlign w:val="center"/>
          </w:tcPr>
          <w:p>
            <w:pPr>
              <w:ind w:firstLineChars="0" w:firstLine="0"/>
              <w:jc w:val="center"/>
              <w:rPr>
                <w:rFonts w:cs="Times New Roman"/>
                <w:color w:val="auto"/>
                <w:sz w:val="21"/>
                <w:szCs w:val="21"/>
                <w:highlight w:val="none"/>
              </w:rPr>
            </w:pPr>
          </w:p>
        </w:tc>
        <w:tc>
          <w:tcPr>
            <w:tcW w:w="1540" w:type="dxa"/>
            <w:vAlign w:val="center"/>
          </w:tcPr>
          <w:p>
            <w:pPr>
              <w:ind w:firstLineChars="0" w:firstLine="0"/>
              <w:jc w:val="center"/>
              <w:rPr>
                <w:rFonts w:cs="Times New Roman"/>
                <w:color w:val="auto"/>
                <w:sz w:val="21"/>
                <w:szCs w:val="21"/>
                <w:highlight w:val="none"/>
              </w:rPr>
            </w:pPr>
          </w:p>
        </w:tc>
        <w:tc>
          <w:tcPr>
            <w:tcW w:w="1716" w:type="dxa"/>
            <w:vAlign w:val="center"/>
          </w:tcPr>
          <w:p>
            <w:pPr>
              <w:ind w:firstLineChars="0" w:firstLine="0"/>
              <w:jc w:val="center"/>
              <w:rPr>
                <w:rFonts w:cs="Times New Roman"/>
                <w:color w:val="auto"/>
                <w:sz w:val="21"/>
                <w:szCs w:val="21"/>
                <w:highlight w:val="none"/>
              </w:rPr>
            </w:pPr>
            <w:r>
              <w:rPr>
                <w:rFonts w:cs="Times New Roman" w:hint="eastAsia"/>
                <w:color w:val="auto"/>
                <w:sz w:val="21"/>
                <w:szCs w:val="21"/>
                <w:lang w:val="en-US" w:eastAsia="zh-CN"/>
                <w:highlight w:val="none"/>
              </w:rPr>
              <w:t>√</w:t>
            </w:r>
          </w:p>
        </w:tc>
      </w:tr>
      <w:tr>
        <w:tc>
          <w:tcPr>
            <w:tcW w:w="492" w:type="dxa"/>
            <w:vAlign w:val="center"/>
          </w:tcPr>
          <w:p>
            <w:pPr>
              <w:ind w:firstLineChars="0" w:firstLine="0"/>
              <w:jc w:val="center"/>
              <w:rPr>
                <w:rFonts w:cs="Times New Roman"/>
                <w:color w:val="auto"/>
                <w:sz w:val="21"/>
                <w:szCs w:val="21"/>
                <w:lang w:val="en-US" w:eastAsia="zh-CN"/>
                <w:highlight w:val="none"/>
              </w:rPr>
            </w:pPr>
            <w:r>
              <w:rPr>
                <w:rFonts w:cs="Times New Roman" w:hint="eastAsia"/>
                <w:color w:val="auto"/>
                <w:sz w:val="21"/>
                <w:szCs w:val="21"/>
                <w:lang w:val="en-US" w:eastAsia="zh-CN"/>
                <w:highlight w:val="none"/>
              </w:rPr>
              <w:t>11</w:t>
            </w:r>
          </w:p>
        </w:tc>
        <w:tc>
          <w:tcPr>
            <w:tcW w:w="1855" w:type="dxa"/>
            <w:vAlign w:val="center"/>
          </w:tcPr>
          <w:p>
            <w:pPr>
              <w:ind w:firstLineChars="0" w:firstLine="0"/>
              <w:jc w:val="center"/>
              <w:rPr>
                <w:rFonts w:cs="Times New Roman"/>
                <w:color w:val="auto"/>
                <w:sz w:val="21"/>
                <w:szCs w:val="21"/>
                <w:lang w:val="en-US" w:eastAsia="zh-CN"/>
                <w:highlight w:val="none"/>
              </w:rPr>
            </w:pPr>
            <w:r>
              <w:rPr>
                <w:rFonts w:cs="Times New Roman" w:hint="eastAsia"/>
                <w:color w:val="auto"/>
                <w:sz w:val="21"/>
                <w:szCs w:val="21"/>
                <w:lang w:val="en-US" w:eastAsia="zh-CN"/>
                <w:highlight w:val="none"/>
              </w:rPr>
              <w:t>复拉法</w:t>
            </w:r>
          </w:p>
        </w:tc>
        <w:tc>
          <w:tcPr>
            <w:tcW w:w="1475" w:type="dxa"/>
            <w:vAlign w:val="center"/>
          </w:tcPr>
          <w:p>
            <w:pPr>
              <w:ind w:firstLineChars="0" w:firstLine="0"/>
              <w:jc w:val="center"/>
              <w:rPr>
                <w:rFonts w:cs="Times New Roman"/>
                <w:color w:val="auto"/>
                <w:sz w:val="21"/>
                <w:szCs w:val="21"/>
                <w:highlight w:val="none"/>
              </w:rPr>
            </w:pPr>
          </w:p>
        </w:tc>
        <w:tc>
          <w:tcPr>
            <w:tcW w:w="1524" w:type="dxa"/>
            <w:vAlign w:val="center"/>
          </w:tcPr>
          <w:p>
            <w:pPr>
              <w:ind w:firstLineChars="0" w:firstLine="0"/>
              <w:jc w:val="center"/>
              <w:rPr>
                <w:rFonts w:cs="Times New Roman"/>
                <w:color w:val="auto"/>
                <w:sz w:val="21"/>
                <w:szCs w:val="21"/>
                <w:highlight w:val="none"/>
              </w:rPr>
            </w:pPr>
          </w:p>
        </w:tc>
        <w:tc>
          <w:tcPr>
            <w:tcW w:w="683" w:type="dxa"/>
            <w:vAlign w:val="center"/>
          </w:tcPr>
          <w:p>
            <w:pPr>
              <w:ind w:firstLineChars="0" w:firstLine="0"/>
              <w:jc w:val="center"/>
              <w:rPr>
                <w:rFonts w:cs="Times New Roman"/>
                <w:color w:val="auto"/>
                <w:sz w:val="21"/>
                <w:szCs w:val="21"/>
                <w:highlight w:val="none"/>
              </w:rPr>
            </w:pPr>
          </w:p>
        </w:tc>
        <w:tc>
          <w:tcPr>
            <w:tcW w:w="1540" w:type="dxa"/>
            <w:vAlign w:val="center"/>
          </w:tcPr>
          <w:p>
            <w:pPr>
              <w:ind w:firstLineChars="0" w:firstLine="0"/>
              <w:jc w:val="center"/>
              <w:rPr>
                <w:rFonts w:cs="Times New Roman"/>
                <w:color w:val="auto"/>
                <w:sz w:val="21"/>
                <w:szCs w:val="21"/>
                <w:highlight w:val="none"/>
              </w:rPr>
            </w:pPr>
            <w:r>
              <w:rPr>
                <w:rFonts w:cs="Times New Roman" w:hint="eastAsia"/>
                <w:color w:val="auto"/>
                <w:sz w:val="21"/>
                <w:szCs w:val="21"/>
                <w:lang w:val="en-US" w:eastAsia="zh-CN"/>
                <w:highlight w:val="none"/>
              </w:rPr>
              <w:t>√</w:t>
            </w:r>
          </w:p>
        </w:tc>
        <w:tc>
          <w:tcPr>
            <w:tcW w:w="1716" w:type="dxa"/>
            <w:vAlign w:val="center"/>
          </w:tcPr>
          <w:p>
            <w:pPr>
              <w:ind w:firstLineChars="0" w:firstLine="0"/>
              <w:jc w:val="center"/>
              <w:rPr>
                <w:rFonts w:cs="Times New Roman"/>
                <w:color w:val="auto"/>
                <w:sz w:val="21"/>
                <w:szCs w:val="21"/>
                <w:highlight w:val="none"/>
              </w:rPr>
            </w:pPr>
          </w:p>
        </w:tc>
      </w:tr>
      <w:tr>
        <w:tc>
          <w:tcPr>
            <w:tcW w:w="492" w:type="dxa"/>
            <w:vAlign w:val="center"/>
          </w:tcPr>
          <w:p>
            <w:pPr>
              <w:ind w:firstLineChars="0" w:firstLine="0"/>
              <w:jc w:val="center"/>
              <w:rPr>
                <w:rFonts w:cs="Times New Roman"/>
                <w:color w:val="auto"/>
                <w:sz w:val="21"/>
                <w:szCs w:val="21"/>
                <w:lang w:val="en-US" w:eastAsia="zh-CN"/>
                <w:highlight w:val="none"/>
              </w:rPr>
            </w:pPr>
            <w:r>
              <w:rPr>
                <w:rFonts w:cs="Times New Roman" w:hint="eastAsia"/>
                <w:color w:val="auto"/>
                <w:sz w:val="21"/>
                <w:szCs w:val="21"/>
                <w:lang w:val="en-US" w:eastAsia="zh-CN"/>
                <w:highlight w:val="none"/>
              </w:rPr>
              <w:t>12</w:t>
            </w:r>
          </w:p>
        </w:tc>
        <w:tc>
          <w:tcPr>
            <w:tcW w:w="1855" w:type="dxa"/>
            <w:vAlign w:val="center"/>
          </w:tcPr>
          <w:p>
            <w:pPr>
              <w:ind w:firstLineChars="0" w:firstLine="0"/>
              <w:jc w:val="center"/>
              <w:rPr>
                <w:rFonts w:cs="Times New Roman"/>
                <w:color w:val="auto"/>
                <w:sz w:val="21"/>
                <w:szCs w:val="21"/>
                <w:lang w:val="en-US" w:eastAsia="zh-CN"/>
                <w:highlight w:val="none"/>
              </w:rPr>
            </w:pPr>
            <w:r>
              <w:rPr>
                <w:rFonts w:cs="Times New Roman" w:hint="eastAsia"/>
                <w:color w:val="auto"/>
                <w:sz w:val="21"/>
                <w:szCs w:val="21"/>
                <w:lang w:val="en-US" w:eastAsia="zh-CN"/>
                <w:highlight w:val="none"/>
              </w:rPr>
              <w:t>射钉法</w:t>
            </w:r>
          </w:p>
        </w:tc>
        <w:tc>
          <w:tcPr>
            <w:tcW w:w="1475" w:type="dxa"/>
            <w:vAlign w:val="center"/>
          </w:tcPr>
          <w:p>
            <w:pPr>
              <w:ind w:firstLineChars="0" w:firstLine="0"/>
              <w:jc w:val="center"/>
              <w:rPr>
                <w:rFonts w:cs="Times New Roman"/>
                <w:color w:val="auto"/>
                <w:sz w:val="21"/>
                <w:szCs w:val="21"/>
                <w:highlight w:val="none"/>
              </w:rPr>
            </w:pPr>
          </w:p>
        </w:tc>
        <w:tc>
          <w:tcPr>
            <w:tcW w:w="1524" w:type="dxa"/>
            <w:vAlign w:val="center"/>
          </w:tcPr>
          <w:p>
            <w:pPr>
              <w:ind w:firstLineChars="0" w:firstLine="0"/>
              <w:jc w:val="center"/>
              <w:rPr>
                <w:rFonts w:cs="Times New Roman"/>
                <w:color w:val="auto"/>
                <w:sz w:val="21"/>
                <w:szCs w:val="21"/>
                <w:highlight w:val="none"/>
              </w:rPr>
            </w:pPr>
          </w:p>
        </w:tc>
        <w:tc>
          <w:tcPr>
            <w:tcW w:w="683" w:type="dxa"/>
            <w:vAlign w:val="center"/>
          </w:tcPr>
          <w:p>
            <w:pPr>
              <w:ind w:firstLineChars="0" w:firstLine="0"/>
              <w:jc w:val="center"/>
              <w:rPr>
                <w:rFonts w:cs="Times New Roman"/>
                <w:color w:val="auto"/>
                <w:sz w:val="21"/>
                <w:szCs w:val="21"/>
                <w:highlight w:val="none"/>
              </w:rPr>
            </w:pPr>
            <w:r>
              <w:rPr>
                <w:rFonts w:cs="Times New Roman" w:hint="eastAsia"/>
                <w:color w:val="auto"/>
                <w:sz w:val="21"/>
                <w:szCs w:val="21"/>
                <w:lang w:val="en-US" w:eastAsia="zh-CN"/>
                <w:highlight w:val="none"/>
              </w:rPr>
              <w:t>√</w:t>
            </w:r>
          </w:p>
        </w:tc>
        <w:tc>
          <w:tcPr>
            <w:tcW w:w="1540" w:type="dxa"/>
            <w:vAlign w:val="center"/>
          </w:tcPr>
          <w:p>
            <w:pPr>
              <w:ind w:firstLineChars="0" w:firstLine="0"/>
              <w:jc w:val="center"/>
              <w:rPr>
                <w:rFonts w:cs="Times New Roman"/>
                <w:color w:val="auto"/>
                <w:sz w:val="21"/>
                <w:szCs w:val="21"/>
                <w:highlight w:val="none"/>
              </w:rPr>
            </w:pPr>
          </w:p>
        </w:tc>
        <w:tc>
          <w:tcPr>
            <w:tcW w:w="1716" w:type="dxa"/>
            <w:vAlign w:val="center"/>
          </w:tcPr>
          <w:p>
            <w:pPr>
              <w:ind w:firstLineChars="0" w:firstLine="0"/>
              <w:jc w:val="center"/>
              <w:rPr>
                <w:rFonts w:cs="Times New Roman"/>
                <w:color w:val="auto"/>
                <w:sz w:val="21"/>
                <w:szCs w:val="21"/>
                <w:highlight w:val="none"/>
              </w:rPr>
            </w:pPr>
          </w:p>
        </w:tc>
      </w:tr>
    </w:tbl>
    <w:p>
      <w:pPr>
        <w:rPr>
          <w:rFonts w:ascii="宋体" w:cs="宋体" w:hAnsi="宋体" w:hint="eastAsia"/>
          <w:color w:val="auto"/>
          <w:sz w:val="21"/>
          <w:szCs w:val="21"/>
          <w:lang w:val="en-US" w:eastAsia="zh-CN"/>
          <w:highlight w:val="none"/>
        </w:rPr>
      </w:pPr>
      <w:r>
        <w:rPr>
          <w:rFonts w:ascii="宋体" w:cs="宋体" w:hAnsi="宋体" w:hint="eastAsia"/>
          <w:color w:val="auto"/>
          <w:sz w:val="21"/>
          <w:szCs w:val="21"/>
          <w:lang w:val="en-US" w:eastAsia="zh-CN"/>
          <w:highlight w:val="none"/>
        </w:rPr>
        <w:t xml:space="preserve">注：1 </w:t>
      </w:r>
      <w:r>
        <w:rPr>
          <w:rFonts w:ascii="宋体" w:eastAsia="宋体" w:cs="宋体" w:hAnsi="宋体" w:hint="eastAsia"/>
          <w:color w:val="auto"/>
          <w:sz w:val="21"/>
          <w:szCs w:val="21"/>
          <w:highlight w:val="none"/>
        </w:rPr>
        <w:t>○</w:t>
      </w:r>
      <w:r>
        <w:rPr>
          <w:rFonts w:ascii="宋体" w:cs="宋体" w:hAnsi="宋体" w:hint="eastAsia"/>
          <w:color w:val="auto"/>
          <w:sz w:val="21"/>
          <w:szCs w:val="21"/>
          <w:lang w:val="en-US" w:eastAsia="zh-CN"/>
          <w:highlight w:val="none"/>
        </w:rPr>
        <w:t>为可选项；</w:t>
      </w:r>
    </w:p>
    <w:p>
      <w:pPr>
        <w:ind w:firstLineChars="400" w:firstLine="840"/>
        <w:rPr>
          <w:rFonts w:ascii="宋体" w:cs="宋体" w:hAnsi="宋体" w:hint="eastAsia"/>
          <w:color w:val="auto"/>
          <w:sz w:val="21"/>
          <w:szCs w:val="21"/>
          <w:lang w:val="en-US" w:eastAsia="zh-CN"/>
          <w:highlight w:val="none"/>
        </w:rPr>
      </w:pPr>
      <w:r>
        <w:rPr>
          <w:rFonts w:ascii="宋体" w:cs="宋体" w:hAnsi="宋体" w:hint="eastAsia"/>
          <w:color w:val="auto"/>
          <w:sz w:val="21"/>
          <w:szCs w:val="21"/>
          <w:lang w:val="en-US" w:eastAsia="zh-CN"/>
          <w:highlight w:val="none"/>
        </w:rPr>
        <w:t>2 √为必选项；</w:t>
      </w:r>
    </w:p>
    <w:p>
      <w:pPr>
        <w:ind w:firstLineChars="400" w:firstLine="840"/>
        <w:rPr>
          <w:rFonts w:ascii="宋体" w:cs="宋体" w:hAnsi="宋体" w:hint="eastAsia"/>
          <w:color w:val="auto"/>
          <w:sz w:val="21"/>
          <w:szCs w:val="21"/>
          <w:lang w:val="en-US" w:eastAsia="zh-CN"/>
          <w:highlight w:val="none"/>
        </w:rPr>
      </w:pPr>
      <w:r>
        <w:rPr>
          <w:rFonts w:ascii="宋体" w:cs="宋体" w:hAnsi="宋体" w:hint="eastAsia"/>
          <w:color w:val="auto"/>
          <w:sz w:val="21"/>
          <w:szCs w:val="21"/>
          <w:lang w:val="en-US" w:eastAsia="zh-CN"/>
          <w:highlight w:val="none"/>
        </w:rPr>
        <w:t>3 ◎为可选项，当其他检测方法的结果存在疑义时，应以本方法作为最终验证方法；</w:t>
      </w:r>
    </w:p>
    <w:p>
      <w:pPr>
        <w:ind w:firstLineChars="400" w:firstLine="840"/>
        <w:rPr>
          <w:rFonts w:ascii="宋体" w:cs="宋体" w:hAnsi="宋体"/>
          <w:color w:val="auto"/>
          <w:sz w:val="21"/>
          <w:szCs w:val="21"/>
          <w:lang w:val="en-US" w:eastAsia="zh-CN"/>
          <w:highlight w:val="none"/>
        </w:rPr>
      </w:pPr>
      <w:r>
        <w:rPr>
          <w:rFonts w:ascii="宋体" w:cs="宋体" w:hAnsi="宋体" w:hint="eastAsia"/>
          <w:color w:val="auto"/>
          <w:sz w:val="21"/>
          <w:szCs w:val="21"/>
          <w:lang w:val="en-US" w:eastAsia="zh-CN"/>
          <w:highlight w:val="none"/>
        </w:rPr>
        <w:t>4 钢结构连接检测项目要求，应按现行国家及行业标准执行。</w:t>
      </w:r>
    </w:p>
    <w:p>
      <w:pPr>
        <w:ind w:firstLineChars="400" w:firstLine="840"/>
        <w:rPr>
          <w:rFonts w:ascii="宋体" w:cs="宋体" w:hAnsi="宋体"/>
          <w:color w:val="auto"/>
          <w:sz w:val="21"/>
          <w:szCs w:val="21"/>
          <w:lang w:val="en-US" w:eastAsia="zh-CN"/>
          <w:highlight w:val="none"/>
        </w:rPr>
      </w:pPr>
    </w:p>
    <w:p>
      <w:pPr>
        <w:pStyle w:val="3"/>
        <w:tabs>
          <w:tab w:val="left" w:pos="0"/>
          <w:tab w:val="left" w:pos="567"/>
          <w:tab w:val="left" w:pos="709"/>
          <w:tab w:val="left" w:pos="1560"/>
        </w:tabs>
        <w:rPr>
          <w:rFonts w:cs="Times New Roman"/>
          <w:color w:val="auto"/>
          <w:highlight w:val="none"/>
        </w:rPr>
      </w:pPr>
      <w:r>
        <w:rPr>
          <w:rFonts w:cs="Times New Roman"/>
          <w:b/>
          <w:color w:val="auto"/>
          <w:szCs w:val="24"/>
          <w:highlight w:val="none"/>
        </w:rPr>
        <w:t>3.1.</w:t>
      </w:r>
      <w:r>
        <w:rPr>
          <w:rFonts w:cs="Times New Roman" w:hint="eastAsia"/>
          <w:b/>
          <w:color w:val="auto"/>
          <w:szCs w:val="24"/>
          <w:lang w:val="en-US" w:eastAsia="zh-CN"/>
          <w:highlight w:val="none"/>
        </w:rPr>
        <w:t>5</w:t>
      </w:r>
      <w:r>
        <w:rPr>
          <w:rFonts w:cs="Times New Roman"/>
          <w:b/>
          <w:color w:val="auto"/>
          <w:szCs w:val="24"/>
          <w:highlight w:val="none"/>
        </w:rPr>
        <w:t>　</w:t>
      </w:r>
      <w:r>
        <w:rPr>
          <w:rFonts w:cs="Times New Roman"/>
          <w:color w:val="auto"/>
          <w:highlight w:val="none"/>
        </w:rPr>
        <w:t>遇下列情况之一时，应进行装配式桥梁构件连接的第三方</w:t>
      </w:r>
      <w:r>
        <w:rPr>
          <w:rFonts w:cs="Times New Roman" w:hint="eastAsia"/>
          <w:color w:val="auto"/>
          <w:lang w:val="en-US" w:eastAsia="zh-CN"/>
          <w:highlight w:val="none"/>
        </w:rPr>
        <w:t>专项</w:t>
      </w:r>
      <w:r>
        <w:rPr>
          <w:rFonts w:cs="Times New Roman"/>
          <w:color w:val="auto"/>
          <w:highlight w:val="none"/>
        </w:rPr>
        <w:t>检测</w:t>
      </w:r>
      <w:r>
        <w:rPr>
          <w:rFonts w:cs="Times New Roman" w:hint="eastAsia"/>
          <w:color w:val="auto"/>
          <w:highlight w:val="none"/>
        </w:rPr>
        <w:t>：</w:t>
      </w:r>
    </w:p>
    <w:p>
      <w:pPr>
        <w:rPr>
          <w:rFonts w:cs="Times New Roman"/>
          <w:color w:val="auto"/>
          <w:highlight w:val="none"/>
        </w:rPr>
      </w:pPr>
      <w:r>
        <w:rPr>
          <w:rFonts w:cs="Times New Roman"/>
          <w:b/>
          <w:color w:val="auto"/>
          <w:szCs w:val="21"/>
          <w:highlight w:val="none"/>
        </w:rPr>
        <w:t>1　</w:t>
      </w:r>
      <w:r>
        <w:rPr>
          <w:rFonts w:cs="Times New Roman"/>
          <w:color w:val="auto"/>
          <w:highlight w:val="none"/>
        </w:rPr>
        <w:t>涉及主体结构工程质量的构件连接的检测数量不足；</w:t>
      </w:r>
    </w:p>
    <w:p>
      <w:pPr>
        <w:rPr>
          <w:rFonts w:cs="Times New Roman"/>
          <w:color w:val="auto"/>
          <w:highlight w:val="none"/>
        </w:rPr>
      </w:pPr>
      <w:r>
        <w:rPr>
          <w:rFonts w:cs="Times New Roman"/>
          <w:b/>
          <w:color w:val="auto"/>
          <w:szCs w:val="21"/>
          <w:highlight w:val="none"/>
        </w:rPr>
        <w:t>2</w:t>
      </w:r>
      <w:r>
        <w:rPr>
          <w:rFonts w:cs="Times New Roman"/>
          <w:color w:val="auto"/>
          <w:highlight w:val="none"/>
        </w:rPr>
        <w:t>　材料与部品部件的驻场检测或进场检测缺失，或对检测结果存在争议；</w:t>
      </w:r>
    </w:p>
    <w:p>
      <w:pPr>
        <w:rPr>
          <w:rFonts w:cs="Times New Roman"/>
          <w:color w:val="auto"/>
          <w:highlight w:val="none"/>
        </w:rPr>
      </w:pPr>
      <w:r>
        <w:rPr>
          <w:rFonts w:cs="Times New Roman"/>
          <w:b/>
          <w:color w:val="auto"/>
          <w:szCs w:val="21"/>
          <w:highlight w:val="none"/>
        </w:rPr>
        <w:t>3</w:t>
      </w:r>
      <w:r>
        <w:rPr>
          <w:rFonts w:cs="Times New Roman"/>
          <w:color w:val="auto"/>
          <w:highlight w:val="none"/>
        </w:rPr>
        <w:t>　对工程实体质量的抽样检测结果达不到设计要求或施工验收</w:t>
      </w:r>
      <w:r>
        <w:rPr>
          <w:rFonts w:cs="Times New Roman" w:hint="eastAsia"/>
          <w:color w:val="auto"/>
          <w:highlight w:val="none"/>
        </w:rPr>
        <w:t>标准</w:t>
      </w:r>
      <w:r>
        <w:rPr>
          <w:rFonts w:cs="Times New Roman"/>
          <w:color w:val="auto"/>
          <w:highlight w:val="none"/>
        </w:rPr>
        <w:t>要求；</w:t>
      </w:r>
    </w:p>
    <w:p>
      <w:pPr>
        <w:rPr>
          <w:rFonts w:cs="Times New Roman"/>
          <w:color w:val="auto"/>
          <w:highlight w:val="none"/>
        </w:rPr>
      </w:pPr>
      <w:r>
        <w:rPr>
          <w:rFonts w:cs="Times New Roman"/>
          <w:b/>
          <w:color w:val="auto"/>
          <w:szCs w:val="21"/>
          <w:highlight w:val="none"/>
        </w:rPr>
        <w:t>4</w:t>
      </w:r>
      <w:r>
        <w:rPr>
          <w:rFonts w:cs="Times New Roman"/>
          <w:color w:val="auto"/>
          <w:highlight w:val="none"/>
        </w:rPr>
        <w:t>　对工程实体质量有争议；</w:t>
      </w:r>
    </w:p>
    <w:p>
      <w:pPr>
        <w:rPr>
          <w:rFonts w:cs="Times New Roman"/>
          <w:color w:val="auto"/>
          <w:highlight w:val="none"/>
        </w:rPr>
      </w:pPr>
      <w:r>
        <w:rPr>
          <w:rFonts w:cs="Times New Roman"/>
          <w:b/>
          <w:color w:val="auto"/>
          <w:szCs w:val="21"/>
          <w:highlight w:val="none"/>
        </w:rPr>
        <w:t>5</w:t>
      </w:r>
      <w:r>
        <w:rPr>
          <w:rFonts w:cs="Times New Roman"/>
          <w:color w:val="auto"/>
          <w:highlight w:val="none"/>
        </w:rPr>
        <w:t>　发生工程质量事故，需要分析事故原因；</w:t>
      </w:r>
    </w:p>
    <w:p>
      <w:pPr>
        <w:rPr>
          <w:rFonts w:cs="Times New Roman"/>
          <w:color w:val="auto"/>
          <w:highlight w:val="none"/>
        </w:rPr>
      </w:pPr>
      <w:r>
        <w:rPr>
          <w:rFonts w:cs="Times New Roman"/>
          <w:b/>
          <w:color w:val="auto"/>
          <w:szCs w:val="21"/>
          <w:highlight w:val="none"/>
        </w:rPr>
        <w:t>6</w:t>
      </w:r>
      <w:r>
        <w:rPr>
          <w:rFonts w:cs="Times New Roman"/>
          <w:color w:val="auto"/>
          <w:highlight w:val="none"/>
        </w:rPr>
        <w:t>　相关法规﹑标准等要求进行的第三方检测。</w:t>
      </w:r>
    </w:p>
    <w:p>
      <w:pPr>
        <w:pStyle w:val="3"/>
        <w:tabs>
          <w:tab w:val="left" w:pos="0"/>
          <w:tab w:val="left" w:pos="567"/>
          <w:tab w:val="left" w:pos="709"/>
          <w:tab w:val="left" w:pos="1560"/>
        </w:tabs>
        <w:rPr>
          <w:rFonts w:cs="Times New Roman"/>
          <w:color w:val="auto"/>
          <w:highlight w:val="none"/>
        </w:rPr>
      </w:pPr>
      <w:r>
        <w:rPr>
          <w:rFonts w:cs="Times New Roman"/>
          <w:b/>
          <w:color w:val="auto"/>
          <w:szCs w:val="24"/>
          <w:highlight w:val="none"/>
        </w:rPr>
        <w:t>3.</w:t>
      </w:r>
      <w:r>
        <w:rPr>
          <w:rFonts w:cs="Times New Roman"/>
          <w:b/>
          <w:bCs w:val="0"/>
          <w:color w:val="auto"/>
          <w:szCs w:val="21"/>
          <w:highlight w:val="none"/>
        </w:rPr>
        <w:t>1.</w:t>
      </w:r>
      <w:r>
        <w:rPr>
          <w:rFonts w:cs="Times New Roman" w:hint="eastAsia"/>
          <w:b/>
          <w:bCs w:val="0"/>
          <w:color w:val="auto"/>
          <w:szCs w:val="21"/>
          <w:lang w:val="en-US" w:eastAsia="zh-CN"/>
          <w:highlight w:val="none"/>
        </w:rPr>
        <w:t>6</w:t>
      </w:r>
      <w:r>
        <w:rPr>
          <w:rFonts w:cs="Times New Roman"/>
          <w:b/>
          <w:bCs w:val="0"/>
          <w:color w:val="auto"/>
          <w:szCs w:val="21"/>
          <w:highlight w:val="none"/>
        </w:rPr>
        <w:t>　</w:t>
      </w:r>
      <w:r>
        <w:rPr>
          <w:rFonts w:cs="Times New Roman"/>
          <w:color w:val="auto"/>
          <w:highlight w:val="none"/>
        </w:rPr>
        <w:t>当采用本标准或国家现行标准规定以外的检测方法时，应符合下列规定：</w:t>
      </w:r>
    </w:p>
    <w:p>
      <w:pPr>
        <w:rPr>
          <w:rFonts w:cs="Times New Roman"/>
          <w:color w:val="auto"/>
          <w:highlight w:val="none"/>
        </w:rPr>
      </w:pPr>
      <w:r>
        <w:rPr>
          <w:rFonts w:cs="Times New Roman"/>
          <w:b/>
          <w:color w:val="auto"/>
          <w:szCs w:val="21"/>
          <w:highlight w:val="none"/>
        </w:rPr>
        <w:t>1</w:t>
      </w:r>
      <w:r>
        <w:rPr>
          <w:rFonts w:cs="Times New Roman"/>
          <w:color w:val="auto"/>
          <w:highlight w:val="none"/>
        </w:rPr>
        <w:t>　检测方法已通过技术鉴定；</w:t>
      </w:r>
    </w:p>
    <w:p>
      <w:pPr>
        <w:rPr>
          <w:rFonts w:cs="Times New Roman"/>
          <w:color w:val="auto"/>
          <w:highlight w:val="none"/>
        </w:rPr>
      </w:pPr>
      <w:r>
        <w:rPr>
          <w:rFonts w:cs="Times New Roman"/>
          <w:b/>
          <w:color w:val="auto"/>
          <w:szCs w:val="21"/>
          <w:highlight w:val="none"/>
        </w:rPr>
        <w:t>2</w:t>
      </w:r>
      <w:r>
        <w:rPr>
          <w:rFonts w:cs="Times New Roman"/>
          <w:color w:val="auto"/>
          <w:highlight w:val="none"/>
        </w:rPr>
        <w:t>　检测方法应已与现行标准规定的方法进行比对试验；</w:t>
      </w:r>
    </w:p>
    <w:p>
      <w:pPr>
        <w:rPr>
          <w:rFonts w:cs="Times New Roman"/>
          <w:color w:val="auto"/>
          <w:highlight w:val="none"/>
        </w:rPr>
      </w:pPr>
      <w:r>
        <w:rPr>
          <w:rFonts w:cs="Times New Roman"/>
          <w:b/>
          <w:color w:val="auto"/>
          <w:szCs w:val="21"/>
          <w:highlight w:val="none"/>
        </w:rPr>
        <w:t>3</w:t>
      </w:r>
      <w:r>
        <w:rPr>
          <w:rFonts w:cs="Times New Roman"/>
          <w:color w:val="auto"/>
          <w:highlight w:val="none"/>
        </w:rPr>
        <w:t>　检测单位应有相应的检测细则，</w:t>
      </w:r>
      <w:r>
        <w:rPr>
          <w:rFonts w:cs="Times New Roman" w:hint="eastAsia"/>
          <w:color w:val="auto"/>
          <w:lang w:val="en-US" w:eastAsia="zh-CN"/>
          <w:highlight w:val="none"/>
        </w:rPr>
        <w:t>应</w:t>
      </w:r>
      <w:r>
        <w:rPr>
          <w:rFonts w:cs="Times New Roman"/>
          <w:color w:val="auto"/>
          <w:highlight w:val="none"/>
        </w:rPr>
        <w:t>提供测试误差或测试结果的不确定度；</w:t>
      </w:r>
    </w:p>
    <w:p>
      <w:pPr>
        <w:rPr>
          <w:rFonts w:cs="Times New Roman"/>
          <w:color w:val="auto"/>
          <w:highlight w:val="none"/>
        </w:rPr>
      </w:pPr>
      <w:r>
        <w:rPr>
          <w:rFonts w:cs="Times New Roman"/>
          <w:b/>
          <w:color w:val="auto"/>
          <w:szCs w:val="21"/>
          <w:highlight w:val="none"/>
        </w:rPr>
        <w:t>4</w:t>
      </w:r>
      <w:r>
        <w:rPr>
          <w:rFonts w:cs="Times New Roman"/>
          <w:color w:val="auto"/>
          <w:highlight w:val="none"/>
        </w:rPr>
        <w:t>　检测方案应经委托方同意。</w:t>
      </w:r>
    </w:p>
    <w:p>
      <w:pPr>
        <w:pStyle w:val="3"/>
        <w:tabs>
          <w:tab w:val="left" w:pos="0"/>
          <w:tab w:val="left" w:pos="567"/>
          <w:tab w:val="left" w:pos="709"/>
          <w:tab w:val="left" w:pos="1560"/>
        </w:tabs>
        <w:rPr>
          <w:rFonts w:cs="Times New Roman"/>
          <w:color w:val="auto"/>
          <w:highlight w:val="none"/>
        </w:rPr>
      </w:pPr>
      <w:r>
        <w:rPr>
          <w:rFonts w:cs="Times New Roman"/>
          <w:b/>
          <w:color w:val="auto"/>
          <w:szCs w:val="24"/>
          <w:highlight w:val="none"/>
        </w:rPr>
        <w:t>3.1.</w:t>
      </w:r>
      <w:r>
        <w:rPr>
          <w:rFonts w:cs="Times New Roman" w:hint="eastAsia"/>
          <w:b/>
          <w:color w:val="auto"/>
          <w:szCs w:val="24"/>
          <w:lang w:val="en-US" w:eastAsia="zh-CN"/>
          <w:highlight w:val="none"/>
        </w:rPr>
        <w:t>7</w:t>
      </w:r>
      <w:r>
        <w:rPr>
          <w:rFonts w:cs="Times New Roman"/>
          <w:b/>
          <w:color w:val="auto"/>
          <w:szCs w:val="24"/>
          <w:highlight w:val="none"/>
        </w:rPr>
        <w:t>　</w:t>
      </w:r>
      <w:r>
        <w:rPr>
          <w:rFonts w:cs="Times New Roman"/>
          <w:color w:val="auto"/>
          <w:highlight w:val="none"/>
        </w:rPr>
        <w:t>检测结果出现异常时，</w:t>
      </w:r>
      <w:r>
        <w:rPr>
          <w:rFonts w:cs="Times New Roman" w:hint="eastAsia"/>
          <w:color w:val="auto"/>
          <w:lang w:val="en-US" w:eastAsia="zh-CN"/>
          <w:highlight w:val="none"/>
        </w:rPr>
        <w:t>应</w:t>
      </w:r>
      <w:r>
        <w:rPr>
          <w:rFonts w:cs="Times New Roman"/>
          <w:color w:val="auto"/>
          <w:highlight w:val="none"/>
        </w:rPr>
        <w:t>采取多种方法验证。</w:t>
      </w:r>
    </w:p>
    <w:p>
      <w:pPr>
        <w:pStyle w:val="19"/>
        <w:ind w:firstLineChars="0" w:firstLine="0"/>
        <w:rPr>
          <w:b/>
          <w:bCs/>
          <w:color w:val="auto"/>
          <w:shd w:val="pct10" w:color="auto" w:fill="FFFFFF"/>
          <w:lang w:val="en-US"/>
          <w:highlight w:val="none"/>
        </w:rPr>
      </w:pPr>
      <w:r>
        <w:rPr>
          <w:rFonts w:hint="eastAsia"/>
          <w:b/>
          <w:color w:val="auto"/>
          <w:shd w:val="pct10" w:color="auto" w:fill="FFFFFF"/>
          <w:lang w:val="en-US" w:eastAsia="zh-CN"/>
          <w:highlight w:val="none"/>
        </w:rPr>
        <w:t>条文说明</w:t>
      </w:r>
      <w:r>
        <w:rPr>
          <w:b/>
          <w:color w:val="auto"/>
          <w:shd w:val="pct10" w:color="auto" w:fill="FFFFFF"/>
          <w:lang w:val="en-US"/>
          <w:highlight w:val="none"/>
        </w:rPr>
        <w:t>3.1.</w:t>
      </w:r>
      <w:r>
        <w:rPr>
          <w:rFonts w:hint="eastAsia"/>
          <w:b/>
          <w:color w:val="auto"/>
          <w:shd w:val="pct10" w:color="auto" w:fill="FFFFFF"/>
          <w:lang w:val="en-US" w:eastAsia="zh-CN"/>
          <w:highlight w:val="none"/>
        </w:rPr>
        <w:t>7</w:t>
      </w:r>
      <w:r>
        <w:rPr>
          <w:b/>
          <w:color w:val="auto"/>
          <w:shd w:val="pct10" w:color="auto" w:fill="FFFFFF"/>
          <w:lang w:val="en-US"/>
          <w:highlight w:val="none"/>
        </w:rPr>
        <w:t>　</w:t>
      </w:r>
      <w:r>
        <w:rPr>
          <w:bCs/>
          <w:color w:val="auto"/>
          <w:shd w:val="pct10" w:color="auto" w:fill="FFFFFF"/>
          <w:lang w:val="en-US"/>
          <w:highlight w:val="none"/>
        </w:rPr>
        <w:t>检测结果出现异常时，查明原因（生产、取样、样品保存和检验），并采取合适的检测方法进行检测验证。</w:t>
      </w:r>
    </w:p>
    <w:p>
      <w:pPr>
        <w:rPr>
          <w:color w:val="auto"/>
          <w:highlight w:val="none"/>
        </w:rPr>
      </w:pPr>
    </w:p>
    <w:p>
      <w:pPr>
        <w:pStyle w:val="3"/>
        <w:tabs>
          <w:tab w:val="left" w:pos="0"/>
          <w:tab w:val="left" w:pos="567"/>
          <w:tab w:val="left" w:pos="709"/>
          <w:tab w:val="left" w:pos="1560"/>
        </w:tabs>
        <w:rPr>
          <w:rFonts w:cs="Times New Roman"/>
          <w:b/>
          <w:color w:val="auto"/>
          <w:szCs w:val="24"/>
          <w:highlight w:val="none"/>
        </w:rPr>
      </w:pPr>
      <w:r>
        <w:rPr>
          <w:rFonts w:cs="Times New Roman"/>
          <w:b/>
          <w:color w:val="auto"/>
          <w:highlight w:val="none"/>
        </w:rPr>
        <w:t>3.1.</w:t>
      </w:r>
      <w:r>
        <w:rPr>
          <w:rFonts w:cs="Times New Roman" w:hint="eastAsia"/>
          <w:b/>
          <w:color w:val="auto"/>
          <w:lang w:val="en-US" w:eastAsia="zh-CN"/>
          <w:highlight w:val="none"/>
        </w:rPr>
        <w:t>8</w:t>
      </w:r>
      <w:r>
        <w:rPr>
          <w:rFonts w:cs="Times New Roman"/>
          <w:b/>
          <w:color w:val="auto"/>
          <w:highlight w:val="none"/>
        </w:rPr>
        <w:t>　</w:t>
      </w:r>
      <w:r>
        <w:rPr>
          <w:rFonts w:cs="Times New Roman"/>
          <w:color w:val="auto"/>
          <w:szCs w:val="24"/>
          <w:highlight w:val="none"/>
        </w:rPr>
        <w:t>常规检测的检测频率应根据本标准规定的检测频率选取，</w:t>
      </w:r>
      <w:r>
        <w:rPr>
          <w:rFonts w:cs="Times New Roman"/>
          <w:color w:val="auto"/>
          <w:highlight w:val="none"/>
        </w:rPr>
        <w:t>具有特殊检测需求的项目，各阶段检测数量可适当增加，并</w:t>
      </w:r>
      <w:r>
        <w:rPr>
          <w:rFonts w:cs="Times New Roman" w:hint="eastAsia"/>
          <w:color w:val="auto"/>
          <w:shd w:val="clear" w:color="auto" w:fill="FFFFFF"/>
          <w:highlight w:val="none"/>
        </w:rPr>
        <w:t>应</w:t>
      </w:r>
      <w:r>
        <w:rPr>
          <w:rFonts w:cs="Times New Roman"/>
          <w:color w:val="auto"/>
          <w:highlight w:val="none"/>
        </w:rPr>
        <w:t>由项目各方商定。</w:t>
      </w:r>
    </w:p>
    <w:p>
      <w:pPr>
        <w:pStyle w:val="19"/>
        <w:ind w:firstLineChars="0" w:firstLine="0"/>
        <w:rPr>
          <w:b/>
          <w:bCs/>
          <w:color w:val="auto"/>
          <w:shd w:val="pct10" w:color="auto" w:fill="FFFFFF"/>
          <w:lang w:val="en-US"/>
          <w:highlight w:val="none"/>
        </w:rPr>
      </w:pPr>
    </w:p>
    <w:p>
      <w:pPr>
        <w:pStyle w:val="2"/>
        <w:tabs>
          <w:tab w:val="left" w:pos="0"/>
        </w:tabs>
        <w:rPr>
          <w:rFonts w:ascii="Times New Roman" w:cs="Times New Roman" w:hAnsi="Times New Roman"/>
          <w:color w:val="auto"/>
          <w:highlight w:val="none"/>
        </w:rPr>
      </w:pPr>
      <w:bookmarkStart w:id="92" w:name="_Toc30709"/>
      <w:bookmarkStart w:id="93" w:name="_Toc3217"/>
      <w:bookmarkStart w:id="94" w:name="_Toc15663"/>
      <w:bookmarkStart w:id="95" w:name="_Toc17213"/>
      <w:bookmarkStart w:id="96" w:name="_Toc27087"/>
      <w:r>
        <w:rPr>
          <w:rFonts w:ascii="Times New Roman" w:cs="Times New Roman" w:hAnsi="Times New Roman"/>
          <w:color w:val="auto"/>
          <w:highlight w:val="none"/>
        </w:rPr>
        <w:t>3.2　检测</w:t>
      </w:r>
      <w:bookmarkEnd w:id="92"/>
      <w:bookmarkEnd w:id="93"/>
      <w:bookmarkEnd w:id="94"/>
      <w:bookmarkEnd w:id="95"/>
      <w:r>
        <w:rPr>
          <w:rFonts w:ascii="Times New Roman" w:cs="Times New Roman" w:hAnsi="Times New Roman" w:hint="eastAsia"/>
          <w:color w:val="auto"/>
          <w:lang w:val="en-US" w:eastAsia="zh-CN"/>
          <w:highlight w:val="none"/>
        </w:rPr>
        <w:t>准备</w:t>
      </w:r>
      <w:bookmarkEnd w:id="96"/>
    </w:p>
    <w:p>
      <w:pPr>
        <w:pStyle w:val="3"/>
        <w:tabs>
          <w:tab w:val="left" w:pos="0"/>
          <w:tab w:val="left" w:pos="567"/>
          <w:tab w:val="left" w:pos="709"/>
          <w:tab w:val="left" w:pos="1560"/>
        </w:tabs>
        <w:rPr>
          <w:rFonts w:cs="Times New Roman"/>
          <w:color w:val="auto"/>
          <w:highlight w:val="none"/>
        </w:rPr>
      </w:pPr>
      <w:r>
        <w:rPr>
          <w:rFonts w:cs="Times New Roman"/>
          <w:b/>
          <w:color w:val="auto"/>
          <w:szCs w:val="24"/>
          <w:highlight w:val="none"/>
        </w:rPr>
        <w:t>3.2.1　</w:t>
      </w:r>
      <w:r>
        <w:rPr>
          <w:rFonts w:cs="Times New Roman"/>
          <w:color w:val="auto"/>
          <w:highlight w:val="none"/>
        </w:rPr>
        <w:t>检测前应进行现场调查，制定检测方案。</w:t>
      </w:r>
    </w:p>
    <w:p>
      <w:pPr>
        <w:pStyle w:val="3"/>
        <w:tabs>
          <w:tab w:val="left" w:pos="0"/>
          <w:tab w:val="left" w:pos="567"/>
          <w:tab w:val="left" w:pos="709"/>
          <w:tab w:val="left" w:pos="1560"/>
        </w:tabs>
        <w:rPr>
          <w:rFonts w:cs="Times New Roman"/>
          <w:color w:val="auto"/>
          <w:highlight w:val="none"/>
        </w:rPr>
      </w:pPr>
      <w:r>
        <w:rPr>
          <w:rFonts w:cs="Times New Roman"/>
          <w:b/>
          <w:color w:val="auto"/>
          <w:szCs w:val="24"/>
          <w:highlight w:val="none"/>
        </w:rPr>
        <w:t>3.2.2　</w:t>
      </w:r>
      <w:r>
        <w:rPr>
          <w:rFonts w:cs="Times New Roman"/>
          <w:color w:val="auto"/>
          <w:highlight w:val="none"/>
        </w:rPr>
        <w:t>现场调查应包括下列工作内容：</w:t>
      </w:r>
    </w:p>
    <w:p>
      <w:pPr>
        <w:rPr>
          <w:rFonts w:cs="Times New Roman"/>
          <w:color w:val="auto"/>
          <w:highlight w:val="none"/>
        </w:rPr>
      </w:pPr>
      <w:r>
        <w:rPr>
          <w:rFonts w:cs="Times New Roman"/>
          <w:b/>
          <w:color w:val="auto"/>
          <w:szCs w:val="21"/>
          <w:highlight w:val="none"/>
        </w:rPr>
        <w:t>1　</w:t>
      </w:r>
      <w:r>
        <w:rPr>
          <w:rFonts w:cs="Times New Roman"/>
          <w:color w:val="auto"/>
          <w:highlight w:val="none"/>
        </w:rPr>
        <w:t>收集被检测装配式桥梁工程结构的设计文件、施工记录等资料；</w:t>
      </w:r>
    </w:p>
    <w:p>
      <w:pPr>
        <w:rPr>
          <w:rFonts w:cs="Times New Roman"/>
          <w:color w:val="auto"/>
          <w:highlight w:val="none"/>
        </w:rPr>
      </w:pPr>
      <w:r>
        <w:rPr>
          <w:rFonts w:cs="Times New Roman"/>
          <w:b/>
          <w:color w:val="auto"/>
          <w:szCs w:val="21"/>
          <w:highlight w:val="none"/>
        </w:rPr>
        <w:t>2</w:t>
      </w:r>
      <w:r>
        <w:rPr>
          <w:rFonts w:cs="Times New Roman"/>
          <w:color w:val="auto"/>
          <w:highlight w:val="none"/>
        </w:rPr>
        <w:t>　调查被检测装配式桥梁工程结构的施工质量现状、周边环境条件。</w:t>
      </w:r>
    </w:p>
    <w:p>
      <w:pPr>
        <w:pStyle w:val="3"/>
        <w:tabs>
          <w:tab w:val="left" w:pos="0"/>
          <w:tab w:val="left" w:pos="567"/>
          <w:tab w:val="left" w:pos="709"/>
          <w:tab w:val="left" w:pos="1560"/>
        </w:tabs>
        <w:rPr>
          <w:rFonts w:cs="Times New Roman"/>
          <w:color w:val="auto"/>
          <w:highlight w:val="none"/>
        </w:rPr>
      </w:pPr>
      <w:r>
        <w:rPr>
          <w:rFonts w:cs="Times New Roman"/>
          <w:b/>
          <w:bCs w:val="0"/>
          <w:color w:val="auto"/>
          <w:szCs w:val="21"/>
          <w:highlight w:val="none"/>
        </w:rPr>
        <w:t>3.2.3　</w:t>
      </w:r>
      <w:r>
        <w:rPr>
          <w:rFonts w:cs="Times New Roman"/>
          <w:color w:val="auto"/>
          <w:highlight w:val="none"/>
        </w:rPr>
        <w:t>检测方案</w:t>
      </w:r>
      <w:r>
        <w:rPr>
          <w:rFonts w:cs="Times New Roman" w:hint="eastAsia"/>
          <w:color w:val="auto"/>
          <w:lang w:val="en-US" w:eastAsia="zh-CN"/>
          <w:highlight w:val="none"/>
        </w:rPr>
        <w:t>应</w:t>
      </w:r>
      <w:r>
        <w:rPr>
          <w:rFonts w:cs="Times New Roman"/>
          <w:color w:val="auto"/>
          <w:highlight w:val="none"/>
        </w:rPr>
        <w:t>包括下列内容：</w:t>
      </w:r>
    </w:p>
    <w:p>
      <w:pPr>
        <w:rPr>
          <w:rFonts w:cs="Times New Roman"/>
          <w:color w:val="auto"/>
          <w:highlight w:val="none"/>
        </w:rPr>
      </w:pPr>
      <w:r>
        <w:rPr>
          <w:rFonts w:cs="Times New Roman"/>
          <w:b/>
          <w:color w:val="auto"/>
          <w:szCs w:val="21"/>
          <w:highlight w:val="none"/>
        </w:rPr>
        <w:t>1</w:t>
      </w:r>
      <w:r>
        <w:rPr>
          <w:rFonts w:cs="Times New Roman"/>
          <w:color w:val="auto"/>
          <w:highlight w:val="none"/>
        </w:rPr>
        <w:t>　工程概况、检测目的或委托检测要求；</w:t>
      </w:r>
    </w:p>
    <w:p>
      <w:pPr>
        <w:rPr>
          <w:rFonts w:cs="Times New Roman"/>
          <w:color w:val="auto"/>
          <w:highlight w:val="none"/>
        </w:rPr>
      </w:pPr>
      <w:r>
        <w:rPr>
          <w:rFonts w:cs="Times New Roman"/>
          <w:b/>
          <w:color w:val="auto"/>
          <w:szCs w:val="21"/>
          <w:highlight w:val="none"/>
        </w:rPr>
        <w:t>2</w:t>
      </w:r>
      <w:r>
        <w:rPr>
          <w:rFonts w:cs="Times New Roman"/>
          <w:color w:val="auto"/>
          <w:highlight w:val="none"/>
        </w:rPr>
        <w:t>　检测依据；</w:t>
      </w:r>
    </w:p>
    <w:p>
      <w:pPr>
        <w:rPr>
          <w:rFonts w:cs="Times New Roman"/>
          <w:color w:val="auto"/>
          <w:highlight w:val="none"/>
        </w:rPr>
      </w:pPr>
      <w:r>
        <w:rPr>
          <w:rFonts w:cs="Times New Roman"/>
          <w:b/>
          <w:color w:val="auto"/>
          <w:szCs w:val="21"/>
          <w:highlight w:val="none"/>
        </w:rPr>
        <w:t>3</w:t>
      </w:r>
      <w:r>
        <w:rPr>
          <w:rFonts w:cs="Times New Roman"/>
          <w:color w:val="auto"/>
          <w:highlight w:val="none"/>
        </w:rPr>
        <w:t>　检测工作进度计划；</w:t>
      </w:r>
    </w:p>
    <w:p>
      <w:pPr>
        <w:rPr>
          <w:rFonts w:cs="Times New Roman"/>
          <w:color w:val="auto"/>
          <w:highlight w:val="none"/>
        </w:rPr>
      </w:pPr>
      <w:r>
        <w:rPr>
          <w:rFonts w:cs="Times New Roman"/>
          <w:b/>
          <w:color w:val="auto"/>
          <w:szCs w:val="21"/>
          <w:highlight w:val="none"/>
        </w:rPr>
        <w:t>4</w:t>
      </w:r>
      <w:r>
        <w:rPr>
          <w:rFonts w:cs="Times New Roman"/>
          <w:color w:val="auto"/>
          <w:highlight w:val="none"/>
        </w:rPr>
        <w:t>　检测项目、检测方法、步骤、位置以及检测数量；</w:t>
      </w:r>
    </w:p>
    <w:p>
      <w:pPr>
        <w:rPr>
          <w:rFonts w:cs="Times New Roman"/>
          <w:color w:val="auto"/>
          <w:highlight w:val="none"/>
        </w:rPr>
      </w:pPr>
      <w:r>
        <w:rPr>
          <w:rFonts w:cs="Times New Roman"/>
          <w:b/>
          <w:color w:val="auto"/>
          <w:szCs w:val="21"/>
          <w:highlight w:val="none"/>
        </w:rPr>
        <w:t>5</w:t>
      </w:r>
      <w:r>
        <w:rPr>
          <w:rFonts w:cs="Times New Roman"/>
          <w:color w:val="auto"/>
          <w:highlight w:val="none"/>
        </w:rPr>
        <w:t>　检测人员和仪器设备；</w:t>
      </w:r>
    </w:p>
    <w:p>
      <w:pPr>
        <w:rPr>
          <w:rFonts w:cs="Times New Roman"/>
          <w:color w:val="auto"/>
          <w:highlight w:val="none"/>
        </w:rPr>
      </w:pPr>
      <w:r>
        <w:rPr>
          <w:rFonts w:cs="Times New Roman"/>
          <w:b/>
          <w:color w:val="auto"/>
          <w:szCs w:val="21"/>
          <w:highlight w:val="none"/>
        </w:rPr>
        <w:t>6</w:t>
      </w:r>
      <w:r>
        <w:rPr>
          <w:rFonts w:cs="Times New Roman"/>
          <w:color w:val="auto"/>
          <w:highlight w:val="none"/>
        </w:rPr>
        <w:t>　需要委托方配合的工作；</w:t>
      </w:r>
    </w:p>
    <w:p>
      <w:pPr>
        <w:rPr>
          <w:rFonts w:cs="Times New Roman"/>
          <w:color w:val="auto"/>
          <w:highlight w:val="none"/>
        </w:rPr>
      </w:pPr>
      <w:r>
        <w:rPr>
          <w:rFonts w:cs="Times New Roman"/>
          <w:b/>
          <w:color w:val="auto"/>
          <w:szCs w:val="21"/>
          <w:highlight w:val="none"/>
        </w:rPr>
        <w:t>7</w:t>
      </w:r>
      <w:r>
        <w:rPr>
          <w:rFonts w:cs="Times New Roman"/>
          <w:color w:val="auto"/>
          <w:highlight w:val="none"/>
        </w:rPr>
        <w:t>　安全、文明及环保措施。</w:t>
      </w:r>
    </w:p>
    <w:p>
      <w:pPr>
        <w:pStyle w:val="3"/>
        <w:tabs>
          <w:tab w:val="left" w:pos="0"/>
          <w:tab w:val="left" w:pos="567"/>
          <w:tab w:val="left" w:pos="709"/>
          <w:tab w:val="left" w:pos="1560"/>
        </w:tabs>
        <w:rPr>
          <w:rFonts w:cs="Times New Roman"/>
          <w:color w:val="auto"/>
          <w:highlight w:val="none"/>
        </w:rPr>
      </w:pPr>
      <w:r>
        <w:rPr>
          <w:rFonts w:cs="Times New Roman"/>
          <w:b/>
          <w:color w:val="auto"/>
          <w:szCs w:val="24"/>
          <w:highlight w:val="none"/>
        </w:rPr>
        <w:t>3.2.4　</w:t>
      </w:r>
      <w:r>
        <w:rPr>
          <w:rFonts w:cs="Times New Roman"/>
          <w:color w:val="auto"/>
          <w:highlight w:val="none"/>
        </w:rPr>
        <w:t>检测方法应综合根据检测目的、检测项目、工程实际状况和现场具体条件等因素确定。</w:t>
      </w:r>
    </w:p>
    <w:p>
      <w:pPr>
        <w:pStyle w:val="3"/>
        <w:tabs>
          <w:tab w:val="left" w:pos="0"/>
          <w:tab w:val="left" w:pos="567"/>
          <w:tab w:val="left" w:pos="709"/>
          <w:tab w:val="left" w:pos="1560"/>
        </w:tabs>
        <w:rPr>
          <w:rFonts w:cs="Times New Roman"/>
          <w:color w:val="auto"/>
          <w:highlight w:val="none"/>
        </w:rPr>
      </w:pPr>
      <w:r>
        <w:rPr>
          <w:rFonts w:cs="Times New Roman"/>
          <w:b/>
          <w:color w:val="auto"/>
          <w:szCs w:val="24"/>
          <w:highlight w:val="none"/>
        </w:rPr>
        <w:t>3.2.5　</w:t>
      </w:r>
      <w:r>
        <w:rPr>
          <w:rFonts w:cs="Times New Roman"/>
          <w:color w:val="auto"/>
          <w:highlight w:val="none"/>
        </w:rPr>
        <w:t>检测所用仪器、设备的适用范围和检测精度应满足检测项目的要求。</w:t>
      </w:r>
    </w:p>
    <w:p>
      <w:pPr>
        <w:pStyle w:val="3"/>
        <w:tabs>
          <w:tab w:val="left" w:pos="0"/>
          <w:tab w:val="left" w:pos="567"/>
          <w:tab w:val="left" w:pos="709"/>
          <w:tab w:val="left" w:pos="1560"/>
        </w:tabs>
        <w:rPr>
          <w:rFonts w:cs="Times New Roman"/>
          <w:color w:val="auto"/>
          <w:highlight w:val="none"/>
        </w:rPr>
      </w:pPr>
      <w:r>
        <w:rPr>
          <w:rFonts w:cs="Times New Roman"/>
          <w:b/>
          <w:color w:val="auto"/>
          <w:szCs w:val="24"/>
          <w:highlight w:val="none"/>
        </w:rPr>
        <w:t>3.2.6　</w:t>
      </w:r>
      <w:r>
        <w:rPr>
          <w:rFonts w:cs="Times New Roman"/>
          <w:color w:val="auto"/>
          <w:highlight w:val="none"/>
        </w:rPr>
        <w:t>检测设备应送国家认可的计量检定机构进行检定或校准，且</w:t>
      </w:r>
      <w:r>
        <w:rPr>
          <w:rFonts w:cs="Times New Roman" w:hint="eastAsia"/>
          <w:color w:val="auto"/>
          <w:highlight w:val="none"/>
        </w:rPr>
        <w:t>应在</w:t>
      </w:r>
      <w:r>
        <w:rPr>
          <w:rFonts w:cs="Times New Roman"/>
          <w:color w:val="auto"/>
          <w:highlight w:val="none"/>
        </w:rPr>
        <w:t>检定或校准</w:t>
      </w:r>
      <w:r>
        <w:rPr>
          <w:rFonts w:cs="Times New Roman" w:hint="eastAsia"/>
          <w:color w:val="auto"/>
          <w:highlight w:val="none"/>
        </w:rPr>
        <w:t>合格有效期内使用</w:t>
      </w:r>
      <w:r>
        <w:rPr>
          <w:rFonts w:cs="Times New Roman"/>
          <w:color w:val="auto"/>
          <w:highlight w:val="none"/>
        </w:rPr>
        <w:t>。</w:t>
      </w:r>
    </w:p>
    <w:p>
      <w:pPr>
        <w:pStyle w:val="3"/>
        <w:tabs>
          <w:tab w:val="left" w:pos="0"/>
          <w:tab w:val="left" w:pos="567"/>
          <w:tab w:val="left" w:pos="709"/>
          <w:tab w:val="left" w:pos="1560"/>
        </w:tabs>
        <w:rPr>
          <w:rFonts w:cs="Times New Roman"/>
          <w:color w:val="auto"/>
          <w:highlight w:val="none"/>
        </w:rPr>
      </w:pPr>
      <w:r>
        <w:rPr>
          <w:rFonts w:cs="Times New Roman"/>
          <w:b/>
          <w:color w:val="auto"/>
          <w:szCs w:val="24"/>
          <w:highlight w:val="none"/>
        </w:rPr>
        <w:t>3.2.7　</w:t>
      </w:r>
      <w:r>
        <w:rPr>
          <w:rFonts w:cs="Times New Roman"/>
          <w:color w:val="auto"/>
          <w:highlight w:val="none"/>
        </w:rPr>
        <w:t>检测机构和检测人员应符合下列规定：</w:t>
      </w:r>
    </w:p>
    <w:p>
      <w:pPr>
        <w:rPr>
          <w:rFonts w:cs="Times New Roman"/>
          <w:color w:val="auto"/>
          <w:highlight w:val="none"/>
        </w:rPr>
      </w:pPr>
      <w:r>
        <w:rPr>
          <w:rFonts w:cs="Times New Roman"/>
          <w:b/>
          <w:color w:val="auto"/>
          <w:szCs w:val="21"/>
          <w:highlight w:val="none"/>
        </w:rPr>
        <w:t>1　</w:t>
      </w:r>
      <w:r>
        <w:rPr>
          <w:rFonts w:cs="Times New Roman"/>
          <w:color w:val="auto"/>
          <w:highlight w:val="none"/>
        </w:rPr>
        <w:t>检测机构应具备健全的质量管理体系和相应的技术能力；</w:t>
      </w:r>
    </w:p>
    <w:p>
      <w:pPr>
        <w:rPr>
          <w:rFonts w:cs="Times New Roman"/>
          <w:color w:val="auto"/>
          <w:highlight w:val="none"/>
        </w:rPr>
      </w:pPr>
      <w:r>
        <w:rPr>
          <w:rFonts w:cs="Times New Roman"/>
          <w:b/>
          <w:color w:val="auto"/>
          <w:szCs w:val="21"/>
          <w:highlight w:val="none"/>
        </w:rPr>
        <w:t>2　</w:t>
      </w:r>
      <w:r>
        <w:rPr>
          <w:rFonts w:cs="Times New Roman"/>
          <w:color w:val="auto"/>
          <w:highlight w:val="none"/>
        </w:rPr>
        <w:t>现场检测工作应由至少</w:t>
      </w:r>
      <w:r>
        <w:rPr>
          <w:rFonts w:cs="Times New Roman" w:hint="eastAsia"/>
          <w:color w:val="auto"/>
          <w:highlight w:val="none"/>
        </w:rPr>
        <w:t>2</w:t>
      </w:r>
      <w:r>
        <w:rPr>
          <w:rFonts w:cs="Times New Roman"/>
          <w:color w:val="auto"/>
          <w:highlight w:val="none"/>
        </w:rPr>
        <w:t>名检测人员承担，检测人员应经过培训</w:t>
      </w:r>
      <w:r>
        <w:rPr>
          <w:rFonts w:cs="Times New Roman" w:hint="eastAsia"/>
          <w:color w:val="auto"/>
          <w:highlight w:val="none"/>
        </w:rPr>
        <w:t>合格</w:t>
      </w:r>
      <w:r>
        <w:rPr>
          <w:rFonts w:cs="Times New Roman"/>
          <w:color w:val="auto"/>
          <w:highlight w:val="none"/>
        </w:rPr>
        <w:t>并取得上岗资格。</w:t>
      </w:r>
    </w:p>
    <w:p>
      <w:pPr>
        <w:pStyle w:val="3"/>
        <w:tabs>
          <w:tab w:val="left" w:pos="0"/>
          <w:tab w:val="left" w:pos="567"/>
          <w:tab w:val="left" w:pos="709"/>
          <w:tab w:val="left" w:pos="1560"/>
        </w:tabs>
        <w:rPr>
          <w:rFonts w:cs="Times New Roman"/>
          <w:color w:val="auto"/>
          <w:highlight w:val="none"/>
        </w:rPr>
      </w:pPr>
      <w:r>
        <w:rPr>
          <w:rFonts w:cs="Times New Roman"/>
          <w:b/>
          <w:color w:val="auto"/>
          <w:szCs w:val="24"/>
          <w:highlight w:val="none"/>
        </w:rPr>
        <w:t>3.2.8　</w:t>
      </w:r>
      <w:r>
        <w:rPr>
          <w:rFonts w:cs="Times New Roman"/>
          <w:color w:val="auto"/>
          <w:highlight w:val="none"/>
        </w:rPr>
        <w:t>现场检测获取的数据或信息应符合下列规定：</w:t>
      </w:r>
    </w:p>
    <w:p>
      <w:pPr>
        <w:rPr>
          <w:rFonts w:cs="Times New Roman"/>
          <w:color w:val="auto"/>
          <w:highlight w:val="none"/>
        </w:rPr>
      </w:pPr>
      <w:r>
        <w:rPr>
          <w:rFonts w:cs="Times New Roman"/>
          <w:b/>
          <w:color w:val="auto"/>
          <w:szCs w:val="21"/>
          <w:highlight w:val="none"/>
        </w:rPr>
        <w:t>1　</w:t>
      </w:r>
      <w:r>
        <w:rPr>
          <w:rFonts w:cs="Times New Roman"/>
          <w:color w:val="auto"/>
          <w:highlight w:val="none"/>
        </w:rPr>
        <w:t>人工记录时，宜用专用表格，并应做到数据准确、字迹清晰、信息完整，不应追记、涂改；</w:t>
      </w:r>
    </w:p>
    <w:p>
      <w:pPr>
        <w:rPr>
          <w:rFonts w:cs="Times New Roman"/>
          <w:color w:val="auto"/>
          <w:highlight w:val="none"/>
        </w:rPr>
      </w:pPr>
      <w:r>
        <w:rPr>
          <w:rFonts w:cs="Times New Roman"/>
          <w:b/>
          <w:color w:val="auto"/>
          <w:szCs w:val="21"/>
          <w:highlight w:val="none"/>
        </w:rPr>
        <w:t>2　</w:t>
      </w:r>
      <w:r>
        <w:rPr>
          <w:rFonts w:cs="Times New Roman"/>
          <w:color w:val="auto"/>
          <w:highlight w:val="none"/>
        </w:rPr>
        <w:t>仪器自动记录的数据宜打印输出后，</w:t>
      </w:r>
      <w:r>
        <w:rPr>
          <w:rFonts w:cs="Times New Roman" w:hint="eastAsia"/>
          <w:color w:val="auto"/>
          <w:shd w:val="clear" w:color="auto" w:fill="FFFFFF"/>
          <w:highlight w:val="none"/>
        </w:rPr>
        <w:t>应</w:t>
      </w:r>
      <w:r>
        <w:rPr>
          <w:rFonts w:cs="Times New Roman"/>
          <w:color w:val="auto"/>
          <w:highlight w:val="none"/>
        </w:rPr>
        <w:t>经现场检测人员校对确认；</w:t>
      </w:r>
    </w:p>
    <w:p>
      <w:pPr>
        <w:rPr>
          <w:rFonts w:cs="Times New Roman"/>
          <w:color w:val="auto"/>
          <w:highlight w:val="none"/>
        </w:rPr>
      </w:pPr>
      <w:r>
        <w:rPr>
          <w:rFonts w:cs="Times New Roman"/>
          <w:b/>
          <w:color w:val="auto"/>
          <w:szCs w:val="21"/>
          <w:highlight w:val="none"/>
        </w:rPr>
        <w:t>3　</w:t>
      </w:r>
      <w:r>
        <w:rPr>
          <w:rFonts w:cs="Times New Roman"/>
          <w:color w:val="auto"/>
          <w:highlight w:val="none"/>
        </w:rPr>
        <w:t>图像信息应标明获取信息的时间和位置；</w:t>
      </w:r>
    </w:p>
    <w:p>
      <w:pPr>
        <w:rPr>
          <w:rFonts w:cs="Times New Roman"/>
          <w:color w:val="auto"/>
          <w:highlight w:val="none"/>
        </w:rPr>
      </w:pPr>
      <w:r>
        <w:rPr>
          <w:rFonts w:cs="Times New Roman"/>
          <w:b/>
          <w:color w:val="auto"/>
          <w:szCs w:val="21"/>
          <w:highlight w:val="none"/>
        </w:rPr>
        <w:t>4　</w:t>
      </w:r>
      <w:r>
        <w:rPr>
          <w:rFonts w:cs="Times New Roman"/>
          <w:color w:val="auto"/>
          <w:highlight w:val="none"/>
        </w:rPr>
        <w:t>原始记录应由检测人员</w:t>
      </w:r>
      <w:r>
        <w:rPr>
          <w:rFonts w:cs="Times New Roman" w:hint="eastAsia"/>
          <w:color w:val="auto"/>
          <w:lang w:eastAsia="zh-CN"/>
          <w:highlight w:val="none"/>
        </w:rPr>
        <w:t>、</w:t>
      </w:r>
      <w:r>
        <w:rPr>
          <w:rFonts w:cs="Times New Roman"/>
          <w:color w:val="auto"/>
          <w:highlight w:val="none"/>
        </w:rPr>
        <w:t>记录人员</w:t>
      </w:r>
      <w:r>
        <w:rPr>
          <w:rFonts w:cs="Times New Roman" w:hint="eastAsia"/>
          <w:color w:val="auto"/>
          <w:lang w:eastAsia="zh-CN"/>
          <w:highlight w:val="none"/>
        </w:rPr>
        <w:t>、</w:t>
      </w:r>
      <w:r>
        <w:rPr>
          <w:rFonts w:cs="Times New Roman" w:hint="eastAsia"/>
          <w:color w:val="auto"/>
          <w:lang w:val="en-US" w:eastAsia="zh-CN"/>
          <w:highlight w:val="none"/>
        </w:rPr>
        <w:t>复核人员</w:t>
      </w:r>
      <w:r>
        <w:rPr>
          <w:rFonts w:cs="Times New Roman"/>
          <w:color w:val="auto"/>
          <w:highlight w:val="none"/>
        </w:rPr>
        <w:t>签字。</w:t>
      </w:r>
    </w:p>
    <w:p>
      <w:pPr>
        <w:pStyle w:val="3"/>
        <w:tabs>
          <w:tab w:val="left" w:pos="0"/>
          <w:tab w:val="left" w:pos="567"/>
          <w:tab w:val="left" w:pos="709"/>
          <w:tab w:val="left" w:pos="1560"/>
        </w:tabs>
        <w:rPr>
          <w:rFonts w:cs="Times New Roman"/>
          <w:color w:val="auto"/>
          <w:highlight w:val="none"/>
        </w:rPr>
      </w:pPr>
      <w:r>
        <w:rPr>
          <w:rFonts w:cs="Times New Roman"/>
          <w:b/>
          <w:color w:val="auto"/>
          <w:szCs w:val="24"/>
          <w:highlight w:val="none"/>
        </w:rPr>
        <w:t>3.2.9　</w:t>
      </w:r>
      <w:r>
        <w:rPr>
          <w:rFonts w:cs="Times New Roman"/>
          <w:color w:val="auto"/>
          <w:highlight w:val="none"/>
        </w:rPr>
        <w:t>装配式桥梁构件连接现场检测工作结束后，应按照检测方案提出的修补方法对因检测造成的结构或构件的局部损伤部位进行修补。</w:t>
      </w:r>
    </w:p>
    <w:p>
      <w:pPr>
        <w:ind w:left="0" w:firstLineChars="0" w:firstLine="0"/>
        <w:rPr>
          <w:rFonts w:eastAsia="宋体"/>
          <w:color w:val="auto"/>
          <w:lang w:val="en-US" w:eastAsia="zh-CN"/>
          <w:highlight w:val="none"/>
        </w:rPr>
      </w:pPr>
      <w:r>
        <w:rPr>
          <w:rFonts w:ascii="Times New Roman" w:eastAsia="宋体" w:cs="Times New Roman" w:hAnsi="Times New Roman" w:hint="eastAsia"/>
          <w:b/>
          <w:bCs/>
          <w:color w:val="auto"/>
          <w:kern w:val="2"/>
          <w:sz w:val="24"/>
          <w:szCs w:val="24"/>
          <w:lang w:val="en-US" w:eastAsia="zh-CN" w:bidi="ar-SA"/>
          <w:highlight w:val="none"/>
        </w:rPr>
        <w:t>3.2.10</w:t>
      </w:r>
      <w:r>
        <w:rPr>
          <w:rFonts w:cs="Times New Roman" w:hint="eastAsia"/>
          <w:color w:val="auto"/>
          <w:lang w:val="en-US" w:eastAsia="zh-CN"/>
          <w:highlight w:val="none"/>
        </w:rPr>
        <w:t xml:space="preserve"> 对于检测造成的局部成孔损伤，应采用高强灌浆料进行补灌，修复至密实状态；对于表面轻微损伤，应进行表面处理，修复至平整状态。</w:t>
      </w:r>
    </w:p>
    <w:p>
      <w:pPr>
        <w:rPr>
          <w:color w:val="auto"/>
          <w:highlight w:val="none"/>
        </w:rPr>
      </w:pPr>
    </w:p>
    <w:p>
      <w:pPr>
        <w:ind w:firstLineChars="0" w:firstLine="0"/>
        <w:rPr>
          <w:rFonts w:cs="Times New Roman"/>
          <w:color w:val="auto"/>
          <w:highlight w:val="none"/>
        </w:rPr>
      </w:pPr>
    </w:p>
    <w:p>
      <w:pPr>
        <w:pStyle w:val="2"/>
        <w:tabs>
          <w:tab w:val="left" w:pos="0"/>
        </w:tabs>
        <w:rPr>
          <w:rFonts w:ascii="Times New Roman" w:cs="Times New Roman" w:hAnsi="Times New Roman"/>
          <w:color w:val="auto"/>
          <w:highlight w:val="none"/>
        </w:rPr>
      </w:pPr>
      <w:bookmarkStart w:id="97" w:name="_Toc14246"/>
      <w:bookmarkStart w:id="98" w:name="_Toc32561"/>
      <w:bookmarkStart w:id="99" w:name="_Toc22026"/>
      <w:bookmarkStart w:id="100" w:name="_Toc21811"/>
      <w:bookmarkStart w:id="101" w:name="_Toc13563"/>
      <w:r>
        <w:rPr>
          <w:rFonts w:ascii="Times New Roman" w:cs="Times New Roman" w:hAnsi="Times New Roman"/>
          <w:color w:val="auto"/>
          <w:highlight w:val="none"/>
        </w:rPr>
        <w:t>3.3　检测报告</w:t>
      </w:r>
      <w:bookmarkEnd w:id="97"/>
      <w:bookmarkEnd w:id="98"/>
      <w:bookmarkEnd w:id="99"/>
      <w:bookmarkEnd w:id="100"/>
      <w:bookmarkEnd w:id="101"/>
    </w:p>
    <w:p>
      <w:pPr>
        <w:pStyle w:val="3"/>
        <w:tabs>
          <w:tab w:val="left" w:pos="0"/>
          <w:tab w:val="left" w:pos="567"/>
          <w:tab w:val="left" w:pos="709"/>
          <w:tab w:val="left" w:pos="1560"/>
        </w:tabs>
        <w:rPr>
          <w:rFonts w:cs="Times New Roman"/>
          <w:color w:val="auto"/>
          <w:highlight w:val="none"/>
        </w:rPr>
      </w:pPr>
      <w:r>
        <w:rPr>
          <w:rFonts w:cs="Times New Roman"/>
          <w:b/>
          <w:color w:val="auto"/>
          <w:szCs w:val="24"/>
          <w:highlight w:val="none"/>
        </w:rPr>
        <w:t>3.3.1　</w:t>
      </w:r>
      <w:r>
        <w:rPr>
          <w:rFonts w:cs="Times New Roman"/>
          <w:color w:val="auto"/>
          <w:highlight w:val="none"/>
        </w:rPr>
        <w:t>检测报告应结论明确、用词规范、文字简练，对于容易混淆的术语和概念应以文字解释或图例、图像说明。</w:t>
      </w:r>
    </w:p>
    <w:p>
      <w:pPr>
        <w:pStyle w:val="3"/>
        <w:tabs>
          <w:tab w:val="left" w:pos="0"/>
          <w:tab w:val="left" w:pos="567"/>
          <w:tab w:val="left" w:pos="709"/>
          <w:tab w:val="left" w:pos="1560"/>
        </w:tabs>
        <w:rPr>
          <w:rFonts w:cs="Times New Roman"/>
          <w:color w:val="auto"/>
          <w:highlight w:val="none"/>
        </w:rPr>
      </w:pPr>
      <w:r>
        <w:rPr>
          <w:rFonts w:cs="Times New Roman"/>
          <w:b/>
          <w:color w:val="auto"/>
          <w:szCs w:val="24"/>
          <w:highlight w:val="none"/>
        </w:rPr>
        <w:t>3.3.2　</w:t>
      </w:r>
      <w:r>
        <w:rPr>
          <w:rFonts w:cs="Times New Roman"/>
          <w:color w:val="auto"/>
          <w:highlight w:val="none"/>
        </w:rPr>
        <w:t>施工、验收与维护所需的检测报告要求应按国家现行有关标准执行。</w:t>
      </w:r>
    </w:p>
    <w:p>
      <w:pPr>
        <w:pStyle w:val="89"/>
        <w:autoSpaceDE w:val="0"/>
        <w:autoSpaceDN w:val="0"/>
        <w:textAlignment w:val="auto"/>
        <w:rPr>
          <w:rFonts w:eastAsia="仿宋" w:cs="Times New Roman"/>
          <w:color w:val="auto"/>
          <w:shd w:val="pct10" w:color="auto" w:fill="FFFFFF"/>
          <w:highlight w:val="none"/>
        </w:rPr>
      </w:pPr>
      <w:r>
        <w:rPr>
          <w:rFonts w:eastAsia="仿宋" w:cs="Times New Roman" w:hint="eastAsia"/>
          <w:b/>
          <w:bCs/>
          <w:color w:val="auto"/>
          <w:shd w:val="pct10" w:color="auto" w:fill="FFFFFF"/>
          <w:lang w:val="en-US" w:eastAsia="zh-CN"/>
          <w:highlight w:val="none"/>
        </w:rPr>
        <w:t>条文说明</w:t>
      </w:r>
      <w:r>
        <w:rPr>
          <w:rFonts w:eastAsia="仿宋" w:cs="Times New Roman"/>
          <w:b/>
          <w:bCs/>
          <w:color w:val="auto"/>
          <w:shd w:val="pct10" w:color="auto" w:fill="FFFFFF"/>
          <w:highlight w:val="none"/>
        </w:rPr>
        <w:t>3.3.2</w:t>
      </w:r>
      <w:r>
        <w:rPr>
          <w:rFonts w:eastAsia="仿宋" w:cs="Times New Roman"/>
          <w:b/>
          <w:color w:val="auto"/>
          <w:szCs w:val="24"/>
          <w:shd w:val="pct10" w:color="auto" w:fill="FFFFFF"/>
          <w:highlight w:val="none"/>
        </w:rPr>
        <w:t>　</w:t>
      </w:r>
      <w:r>
        <w:rPr>
          <w:rFonts w:eastAsia="仿宋" w:cs="Times New Roman"/>
          <w:color w:val="auto"/>
          <w:shd w:val="pct10" w:color="auto" w:fill="FFFFFF"/>
          <w:highlight w:val="none"/>
        </w:rPr>
        <w:t>检测报告涉及到的</w:t>
      </w:r>
      <w:r>
        <w:rPr>
          <w:rFonts w:eastAsia="仿宋" w:cs="Times New Roman" w:hint="eastAsia"/>
          <w:color w:val="auto"/>
          <w:shd w:val="pct10" w:color="auto" w:fill="FFFFFF"/>
          <w:highlight w:val="none"/>
        </w:rPr>
        <w:t>国家</w:t>
      </w:r>
      <w:r>
        <w:rPr>
          <w:rFonts w:eastAsia="仿宋" w:cs="Times New Roman"/>
          <w:color w:val="auto"/>
          <w:shd w:val="pct10" w:color="auto" w:fill="FFFFFF"/>
          <w:highlight w:val="none"/>
        </w:rPr>
        <w:t>现行标准主要有：《钢结构工程施工质量验收标准》GB 50205、《钢筋焊接及验收规程》JGJ 18、《混凝土强度检验评定标准》GB/T 50107、《钢筋套筒灌浆连接应用技术规程》JGJ 355、《焊缝无损检测 超声检测 技术、检测等级和评定》GB/T 11345、《焊缝无损检测 射线检测 第1部分：X和伽玛射线的胶片技术》GB/T 3323.1、《焊缝无损检测 磁粉检测》GB/T 26951等。</w:t>
      </w:r>
    </w:p>
    <w:p>
      <w:pPr>
        <w:rPr>
          <w:color w:val="auto"/>
          <w:highlight w:val="none"/>
        </w:rPr>
      </w:pPr>
    </w:p>
    <w:p>
      <w:pPr>
        <w:pStyle w:val="3"/>
        <w:tabs>
          <w:tab w:val="left" w:pos="0"/>
          <w:tab w:val="left" w:pos="567"/>
          <w:tab w:val="left" w:pos="709"/>
          <w:tab w:val="left" w:pos="1560"/>
        </w:tabs>
        <w:rPr>
          <w:rFonts w:cs="Times New Roman"/>
          <w:color w:val="auto"/>
          <w:highlight w:val="none"/>
        </w:rPr>
      </w:pPr>
      <w:r>
        <w:rPr>
          <w:rFonts w:cs="Times New Roman"/>
          <w:b/>
          <w:color w:val="auto"/>
          <w:szCs w:val="24"/>
          <w:highlight w:val="none"/>
        </w:rPr>
        <w:t>3.3.3　</w:t>
      </w:r>
      <w:r>
        <w:rPr>
          <w:rFonts w:cs="Times New Roman"/>
          <w:color w:val="auto"/>
          <w:highlight w:val="none"/>
        </w:rPr>
        <w:t>检测报告宜包括下列内容：</w:t>
      </w:r>
    </w:p>
    <w:p>
      <w:pPr>
        <w:rPr>
          <w:rFonts w:cs="Times New Roman"/>
          <w:color w:val="auto"/>
          <w:highlight w:val="none"/>
        </w:rPr>
      </w:pPr>
      <w:r>
        <w:rPr>
          <w:rFonts w:cs="Times New Roman"/>
          <w:b/>
          <w:color w:val="auto"/>
          <w:szCs w:val="21"/>
          <w:highlight w:val="none"/>
        </w:rPr>
        <w:t>1　</w:t>
      </w:r>
      <w:r>
        <w:rPr>
          <w:rFonts w:cs="Times New Roman"/>
          <w:color w:val="auto"/>
          <w:highlight w:val="none"/>
        </w:rPr>
        <w:t>委托方名称；</w:t>
      </w:r>
    </w:p>
    <w:p>
      <w:pPr>
        <w:rPr>
          <w:rFonts w:cs="Times New Roman"/>
          <w:color w:val="auto"/>
          <w:highlight w:val="none"/>
        </w:rPr>
      </w:pPr>
      <w:r>
        <w:rPr>
          <w:rFonts w:cs="Times New Roman"/>
          <w:b/>
          <w:color w:val="auto"/>
          <w:szCs w:val="21"/>
          <w:highlight w:val="none"/>
        </w:rPr>
        <w:t>2　</w:t>
      </w:r>
      <w:r>
        <w:rPr>
          <w:rFonts w:cs="Times New Roman"/>
          <w:color w:val="auto"/>
          <w:highlight w:val="none"/>
        </w:rPr>
        <w:t>工程概况包括工程名称、地址、装配式桥梁工程结构类型、规模、</w:t>
      </w:r>
      <w:r>
        <w:rPr>
          <w:rFonts w:cs="Times New Roman" w:hint="eastAsia"/>
          <w:color w:val="auto"/>
          <w:lang w:val="en-US" w:eastAsia="zh-CN"/>
          <w:highlight w:val="none"/>
        </w:rPr>
        <w:t>结构尺寸、</w:t>
      </w:r>
      <w:r>
        <w:rPr>
          <w:rFonts w:cs="Times New Roman"/>
          <w:color w:val="auto"/>
          <w:highlight w:val="none"/>
        </w:rPr>
        <w:t>检测部位、施工日期及现状等；</w:t>
      </w:r>
    </w:p>
    <w:p>
      <w:pPr>
        <w:rPr>
          <w:rFonts w:cs="Times New Roman"/>
          <w:color w:val="auto"/>
          <w:highlight w:val="none"/>
        </w:rPr>
      </w:pPr>
      <w:r>
        <w:rPr>
          <w:rFonts w:cs="Times New Roman"/>
          <w:b/>
          <w:color w:val="auto"/>
          <w:szCs w:val="21"/>
          <w:highlight w:val="none"/>
        </w:rPr>
        <w:t>3　</w:t>
      </w:r>
      <w:r>
        <w:rPr>
          <w:rFonts w:cs="Times New Roman"/>
          <w:color w:val="auto"/>
          <w:highlight w:val="none"/>
        </w:rPr>
        <w:t>建设单位、勘察单位、设计单位、预制构件制作单位、施工单位及监理单位的名称；</w:t>
      </w:r>
    </w:p>
    <w:p>
      <w:pPr>
        <w:rPr>
          <w:rFonts w:cs="Times New Roman"/>
          <w:color w:val="auto"/>
          <w:highlight w:val="none"/>
        </w:rPr>
      </w:pPr>
      <w:r>
        <w:rPr>
          <w:rFonts w:cs="Times New Roman"/>
          <w:b/>
          <w:color w:val="auto"/>
          <w:szCs w:val="21"/>
          <w:highlight w:val="none"/>
        </w:rPr>
        <w:t>4　</w:t>
      </w:r>
      <w:r>
        <w:rPr>
          <w:rFonts w:cs="Times New Roman"/>
          <w:color w:val="auto"/>
          <w:highlight w:val="none"/>
        </w:rPr>
        <w:t>检测原因和检测目的；</w:t>
      </w:r>
    </w:p>
    <w:p>
      <w:pPr>
        <w:rPr>
          <w:rFonts w:cs="Times New Roman"/>
          <w:color w:val="auto"/>
          <w:highlight w:val="none"/>
        </w:rPr>
      </w:pPr>
      <w:r>
        <w:rPr>
          <w:rFonts w:cs="Times New Roman"/>
          <w:b/>
          <w:color w:val="auto"/>
          <w:szCs w:val="21"/>
          <w:highlight w:val="none"/>
        </w:rPr>
        <w:t>5</w:t>
      </w:r>
      <w:r>
        <w:rPr>
          <w:rFonts w:cs="Times New Roman"/>
          <w:color w:val="auto"/>
          <w:highlight w:val="none"/>
        </w:rPr>
        <w:t>　检测项目、检测方法及依据的标准；</w:t>
      </w:r>
    </w:p>
    <w:p>
      <w:pPr>
        <w:rPr>
          <w:rFonts w:eastAsia="宋体" w:cs="Times New Roman"/>
          <w:color w:val="auto"/>
          <w:lang w:val="en-US" w:eastAsia="zh-CN"/>
          <w:highlight w:val="none"/>
        </w:rPr>
      </w:pPr>
      <w:r>
        <w:rPr>
          <w:rFonts w:cs="Times New Roman" w:hint="eastAsia"/>
          <w:b/>
          <w:bCs/>
          <w:color w:val="auto"/>
          <w:lang w:val="en-US" w:eastAsia="zh-CN"/>
          <w:highlight w:val="none"/>
        </w:rPr>
        <w:t>6</w:t>
      </w:r>
      <w:r>
        <w:rPr>
          <w:rFonts w:cs="Times New Roman" w:hint="eastAsia"/>
          <w:color w:val="auto"/>
          <w:lang w:val="en-US" w:eastAsia="zh-CN"/>
          <w:highlight w:val="none"/>
        </w:rPr>
        <w:t xml:space="preserve">  仪器设备；</w:t>
      </w:r>
    </w:p>
    <w:p>
      <w:pPr>
        <w:rPr>
          <w:rFonts w:cs="Times New Roman"/>
          <w:color w:val="auto"/>
          <w:highlight w:val="none"/>
        </w:rPr>
      </w:pPr>
      <w:r>
        <w:rPr>
          <w:rFonts w:cs="Times New Roman" w:hint="eastAsia"/>
          <w:b/>
          <w:color w:val="auto"/>
          <w:szCs w:val="21"/>
          <w:lang w:val="en-US" w:eastAsia="zh-CN"/>
          <w:highlight w:val="none"/>
        </w:rPr>
        <w:t>7</w:t>
      </w:r>
      <w:r>
        <w:rPr>
          <w:rFonts w:cs="Times New Roman"/>
          <w:color w:val="auto"/>
          <w:highlight w:val="none"/>
        </w:rPr>
        <w:t>　项目检测与评定；</w:t>
      </w:r>
    </w:p>
    <w:p>
      <w:pPr>
        <w:rPr>
          <w:rFonts w:cs="Times New Roman"/>
          <w:color w:val="auto"/>
          <w:highlight w:val="none"/>
        </w:rPr>
      </w:pPr>
      <w:r>
        <w:rPr>
          <w:rFonts w:cs="Times New Roman" w:hint="eastAsia"/>
          <w:b/>
          <w:color w:val="auto"/>
          <w:szCs w:val="21"/>
          <w:lang w:val="en-US" w:eastAsia="zh-CN"/>
          <w:highlight w:val="none"/>
        </w:rPr>
        <w:t>8</w:t>
      </w:r>
      <w:r>
        <w:rPr>
          <w:rFonts w:cs="Times New Roman"/>
          <w:color w:val="auto"/>
          <w:highlight w:val="none"/>
        </w:rPr>
        <w:t>　检测项目的主要检测数据、检测结果、检测结论、检测日期、报告完成日期；</w:t>
      </w:r>
    </w:p>
    <w:p>
      <w:pPr>
        <w:rPr>
          <w:rFonts w:cs="Times New Roman"/>
          <w:color w:val="auto"/>
          <w:highlight w:val="none"/>
        </w:rPr>
      </w:pPr>
      <w:r>
        <w:rPr>
          <w:rFonts w:cs="Times New Roman" w:hint="eastAsia"/>
          <w:b/>
          <w:color w:val="auto"/>
          <w:szCs w:val="21"/>
          <w:lang w:val="en-US" w:eastAsia="zh-CN"/>
          <w:highlight w:val="none"/>
        </w:rPr>
        <w:t>9</w:t>
      </w:r>
      <w:r>
        <w:rPr>
          <w:rFonts w:cs="Times New Roman"/>
          <w:b/>
          <w:color w:val="auto"/>
          <w:szCs w:val="21"/>
          <w:highlight w:val="none"/>
        </w:rPr>
        <w:t>　</w:t>
      </w:r>
      <w:r>
        <w:rPr>
          <w:rFonts w:cs="Times New Roman"/>
          <w:color w:val="auto"/>
          <w:highlight w:val="none"/>
        </w:rPr>
        <w:t>检测人员、审核和批准人的签名；</w:t>
      </w:r>
    </w:p>
    <w:p>
      <w:pPr>
        <w:rPr>
          <w:rFonts w:cs="Times New Roman"/>
          <w:color w:val="auto"/>
          <w:highlight w:val="none"/>
        </w:rPr>
      </w:pPr>
      <w:r>
        <w:rPr>
          <w:rFonts w:cs="Times New Roman" w:hint="eastAsia"/>
          <w:b/>
          <w:color w:val="auto"/>
          <w:szCs w:val="21"/>
          <w:lang w:val="en-US" w:eastAsia="zh-CN"/>
          <w:highlight w:val="none"/>
        </w:rPr>
        <w:t>10</w:t>
      </w:r>
      <w:r>
        <w:rPr>
          <w:rFonts w:cs="Times New Roman"/>
          <w:b/>
          <w:color w:val="auto"/>
          <w:szCs w:val="21"/>
          <w:highlight w:val="none"/>
        </w:rPr>
        <w:t>　</w:t>
      </w:r>
      <w:r>
        <w:rPr>
          <w:rFonts w:cs="Times New Roman"/>
          <w:color w:val="auto"/>
          <w:highlight w:val="none"/>
        </w:rPr>
        <w:t>检测机构的有效印章。</w:t>
      </w:r>
    </w:p>
    <w:p>
      <w:pPr>
        <w:pStyle w:val="89"/>
        <w:autoSpaceDE w:val="0"/>
        <w:autoSpaceDN w:val="0"/>
        <w:textAlignment w:val="auto"/>
        <w:rPr>
          <w:rFonts w:cs="Times New Roman"/>
          <w:color w:val="auto"/>
          <w:highlight w:val="none"/>
        </w:rPr>
      </w:pPr>
      <w:r>
        <w:rPr>
          <w:rFonts w:eastAsia="仿宋" w:cs="Times New Roman" w:hint="eastAsia"/>
          <w:b/>
          <w:bCs/>
          <w:color w:val="auto"/>
          <w:shd w:val="pct10" w:color="auto" w:fill="FFFFFF"/>
          <w:lang w:val="en-US" w:eastAsia="zh-CN"/>
          <w:highlight w:val="none"/>
        </w:rPr>
        <w:t>条文说明</w:t>
      </w:r>
      <w:r>
        <w:rPr>
          <w:rFonts w:eastAsia="仿宋" w:cs="Times New Roman"/>
          <w:b/>
          <w:bCs/>
          <w:color w:val="auto"/>
          <w:shd w:val="pct10" w:color="auto" w:fill="FFFFFF"/>
          <w:highlight w:val="none"/>
        </w:rPr>
        <w:t>3.3.3　</w:t>
      </w:r>
      <w:r>
        <w:rPr>
          <w:rFonts w:eastAsia="仿宋" w:cs="Times New Roman"/>
          <w:color w:val="auto"/>
          <w:shd w:val="pct10" w:color="auto" w:fill="FFFFFF"/>
          <w:highlight w:val="none"/>
        </w:rPr>
        <w:t>设计单位也包含深化设计单位。</w:t>
      </w:r>
      <w:bookmarkEnd w:id="81"/>
      <w:bookmarkEnd w:id="82"/>
      <w:bookmarkEnd w:id="83"/>
      <w:bookmarkEnd w:id="84"/>
      <w:bookmarkEnd w:id="85"/>
      <w:bookmarkEnd w:id="86"/>
      <w:bookmarkEnd w:id="87"/>
      <w:bookmarkEnd w:id="88"/>
      <w:bookmarkEnd w:id="89"/>
      <w:bookmarkEnd w:id="90"/>
      <w:bookmarkEnd w:id="91"/>
    </w:p>
    <w:p>
      <w:pPr>
        <w:ind w:firstLineChars="0" w:firstLine="0"/>
        <w:rPr>
          <w:rFonts w:cs="Times New Roman"/>
          <w:color w:val="auto"/>
          <w:highlight w:val="none"/>
        </w:rPr>
      </w:pPr>
    </w:p>
    <w:p>
      <w:pPr>
        <w:pStyle w:val="89"/>
        <w:autoSpaceDE w:val="0"/>
        <w:autoSpaceDN w:val="0"/>
        <w:jc w:val="center"/>
        <w:textAlignment w:val="auto"/>
        <w:rPr>
          <w:rFonts w:ascii="Times New Roman" w:eastAsia="黑体" w:cs="Times New Roman" w:hAnsi="Times New Roman" w:hint="eastAsia"/>
          <w:color w:val="auto"/>
          <w:kern w:val="2"/>
          <w:sz w:val="28"/>
          <w:szCs w:val="32"/>
          <w:lang w:val="en-US" w:eastAsia="zh-CN" w:bidi="ar-SA"/>
          <w:highlight w:val="none"/>
        </w:rPr>
      </w:pPr>
      <w:r>
        <w:rPr>
          <w:rFonts w:ascii="Times New Roman" w:eastAsia="黑体" w:cs="Times New Roman" w:hAnsi="Times New Roman" w:hint="eastAsia"/>
          <w:color w:val="auto"/>
          <w:kern w:val="2"/>
          <w:sz w:val="28"/>
          <w:szCs w:val="32"/>
          <w:lang w:val="en-US" w:eastAsia="zh-CN" w:bidi="ar-SA"/>
          <w:highlight w:val="none"/>
        </w:rPr>
        <w:t>3.4 验证检测与扩大检测</w:t>
      </w:r>
    </w:p>
    <w:p>
      <w:pPr>
        <w:pStyle w:val="89"/>
        <w:autoSpaceDE w:val="0"/>
        <w:autoSpaceDN w:val="0"/>
        <w:textAlignment w:val="auto"/>
        <w:rPr>
          <w:rFonts w:ascii="Times New Roman" w:eastAsia="宋体" w:cs="Times New Roman" w:hAnsi="Times New Roman" w:hint="eastAsia"/>
          <w:b w:val="0"/>
          <w:bCs w:val="0"/>
          <w:color w:val="auto"/>
          <w:kern w:val="2"/>
          <w:sz w:val="24"/>
          <w:szCs w:val="24"/>
          <w:lang w:val="en-US" w:eastAsia="zh-CN" w:bidi="ar-SA"/>
          <w:highlight w:val="none"/>
        </w:rPr>
      </w:pPr>
      <w:r>
        <w:rPr>
          <w:rFonts w:ascii="Times New Roman" w:eastAsia="宋体" w:cs="Times New Roman" w:hAnsi="Times New Roman" w:hint="eastAsia"/>
          <w:b/>
          <w:bCs/>
          <w:color w:val="auto"/>
          <w:kern w:val="2"/>
          <w:sz w:val="24"/>
          <w:szCs w:val="24"/>
          <w:lang w:val="en-US" w:eastAsia="zh-CN" w:bidi="ar-SA"/>
          <w:highlight w:val="none"/>
        </w:rPr>
        <w:t xml:space="preserve">3.4.1 </w:t>
      </w:r>
      <w:r>
        <w:rPr>
          <w:rFonts w:ascii="Times New Roman" w:eastAsia="宋体" w:cs="Times New Roman" w:hAnsi="Times New Roman" w:hint="eastAsia"/>
          <w:b w:val="0"/>
          <w:bCs w:val="0"/>
          <w:color w:val="auto"/>
          <w:kern w:val="2"/>
          <w:sz w:val="24"/>
          <w:szCs w:val="24"/>
          <w:lang w:val="en-US" w:eastAsia="zh-CN" w:bidi="ar-SA"/>
          <w:highlight w:val="none"/>
        </w:rPr>
        <w:t>当检测结果评定不合格时，应进行修补和复测。</w:t>
      </w:r>
    </w:p>
    <w:p>
      <w:pPr>
        <w:pStyle w:val="89"/>
        <w:autoSpaceDE w:val="0"/>
        <w:autoSpaceDN w:val="0"/>
        <w:textAlignment w:val="auto"/>
        <w:rPr>
          <w:rFonts w:ascii="Times New Roman" w:eastAsia="宋体" w:cs="Times New Roman" w:hAnsi="Times New Roman" w:hint="eastAsia"/>
          <w:b w:val="0"/>
          <w:bCs w:val="0"/>
          <w:color w:val="auto"/>
          <w:kern w:val="2"/>
          <w:sz w:val="24"/>
          <w:szCs w:val="24"/>
          <w:lang w:val="en-US" w:eastAsia="zh-CN" w:bidi="ar-SA"/>
          <w:highlight w:val="none"/>
        </w:rPr>
      </w:pPr>
      <w:r>
        <w:rPr>
          <w:rFonts w:ascii="Times New Roman" w:eastAsia="宋体" w:cs="Times New Roman" w:hAnsi="Times New Roman" w:hint="eastAsia"/>
          <w:b/>
          <w:bCs/>
          <w:color w:val="auto"/>
          <w:kern w:val="2"/>
          <w:sz w:val="24"/>
          <w:szCs w:val="24"/>
          <w:lang w:val="en-US" w:eastAsia="zh-CN" w:bidi="ar-SA"/>
          <w:highlight w:val="none"/>
        </w:rPr>
        <w:t>3.4.2</w:t>
      </w:r>
      <w:r>
        <w:rPr>
          <w:rFonts w:ascii="Times New Roman" w:eastAsia="宋体" w:cs="Times New Roman" w:hAnsi="Times New Roman" w:hint="eastAsia"/>
          <w:b w:val="0"/>
          <w:bCs w:val="0"/>
          <w:color w:val="auto"/>
          <w:kern w:val="2"/>
          <w:sz w:val="24"/>
          <w:szCs w:val="24"/>
          <w:lang w:val="en-US" w:eastAsia="zh-CN" w:bidi="ar-SA"/>
          <w:highlight w:val="none"/>
        </w:rPr>
        <w:t xml:space="preserve"> 当复测结果仍不合格时，应采用原检测方法或准确度更高的检测方法，进行不合格数量的加倍扩大抽检。</w:t>
      </w:r>
    </w:p>
    <w:p>
      <w:pPr>
        <w:pStyle w:val="89"/>
        <w:autoSpaceDE w:val="0"/>
        <w:autoSpaceDN w:val="0"/>
        <w:textAlignment w:val="auto"/>
        <w:rPr>
          <w:color w:val="auto"/>
          <w:highlight w:val="none"/>
        </w:rPr>
      </w:pPr>
      <w:r>
        <w:rPr>
          <w:rFonts w:ascii="Times New Roman" w:eastAsia="宋体" w:cs="Times New Roman" w:hAnsi="Times New Roman" w:hint="eastAsia"/>
          <w:b/>
          <w:bCs/>
          <w:color w:val="auto"/>
          <w:kern w:val="2"/>
          <w:sz w:val="24"/>
          <w:szCs w:val="24"/>
          <w:lang w:val="en-US" w:eastAsia="zh-CN" w:bidi="ar-SA"/>
          <w:highlight w:val="none"/>
        </w:rPr>
        <w:t>3.4.</w:t>
      </w:r>
      <w:r>
        <w:rPr>
          <w:rFonts w:cs="Times New Roman" w:hint="eastAsia"/>
          <w:b/>
          <w:bCs/>
          <w:color w:val="auto"/>
          <w:kern w:val="2"/>
          <w:sz w:val="24"/>
          <w:szCs w:val="24"/>
          <w:lang w:val="en-US" w:eastAsia="zh-CN" w:bidi="ar-SA"/>
          <w:highlight w:val="none"/>
        </w:rPr>
        <w:t>3</w:t>
      </w:r>
      <w:r>
        <w:rPr>
          <w:rFonts w:ascii="Times New Roman" w:eastAsia="宋体" w:cs="Times New Roman" w:hAnsi="Times New Roman" w:hint="eastAsia"/>
          <w:b/>
          <w:bCs/>
          <w:color w:val="auto"/>
          <w:kern w:val="2"/>
          <w:sz w:val="24"/>
          <w:szCs w:val="24"/>
          <w:lang w:val="en-US" w:eastAsia="zh-CN" w:bidi="ar-SA"/>
          <w:highlight w:val="none"/>
        </w:rPr>
        <w:t xml:space="preserve"> </w:t>
      </w:r>
      <w:r>
        <w:rPr>
          <w:rFonts w:ascii="Times New Roman" w:eastAsia="宋体" w:cs="Times New Roman" w:hAnsi="Times New Roman" w:hint="eastAsia"/>
          <w:b w:val="0"/>
          <w:bCs w:val="0"/>
          <w:color w:val="auto"/>
          <w:kern w:val="2"/>
          <w:sz w:val="24"/>
          <w:szCs w:val="24"/>
          <w:lang w:val="en-US" w:eastAsia="zh-CN" w:bidi="ar-SA"/>
          <w:highlight w:val="none"/>
        </w:rPr>
        <w:t>验证检测和扩大抽检后，应根据检测结果，经工程质量各方责任主体共同确定处理方案或进一步抽检的方法和数量。</w:t>
      </w:r>
    </w:p>
    <w:p>
      <w:pPr>
        <w:ind w:firstLineChars="0" w:firstLine="0"/>
        <w:rPr>
          <w:rFonts w:cs="Times New Roman"/>
          <w:color w:val="auto"/>
          <w:highlight w:val="none"/>
        </w:rPr>
        <w:sectPr>
          <w:headerReference w:type="default" r:id="rId7"/>
          <w:footerReference w:type="default" r:id="rId8"/>
          <w:pgSz w:w="11906" w:h="16838"/>
          <w:pgMar w:top="1440" w:right="1274" w:bottom="1440" w:left="1560" w:header="851" w:footer="992" w:gutter="0"/>
          <w:pgBorders>
            <w:top w:val="none" w:sz="0" w:space="0" w:color="auto"/>
            <w:left w:val="none" w:sz="0" w:space="0" w:color="auto"/>
            <w:bottom w:val="none" w:sz="0" w:space="0" w:color="auto"/>
            <w:right w:val="none" w:sz="0" w:space="0" w:color="auto"/>
          </w:pgBorders>
          <w:pgNumType w:start="1"/>
          <w:cols w:num="1" w:space="425"/>
          <w:docGrid w:type="lines" w:linePitch="312" w:charSpace="0"/>
        </w:sectPr>
      </w:pPr>
    </w:p>
    <w:p>
      <w:pPr>
        <w:pStyle w:val="1"/>
        <w:rPr>
          <w:rFonts w:cs="Times New Roman"/>
          <w:color w:val="auto"/>
          <w:highlight w:val="none"/>
        </w:rPr>
      </w:pPr>
      <w:bookmarkStart w:id="102" w:name="_Toc9641"/>
      <w:bookmarkStart w:id="103" w:name="_Toc188"/>
      <w:bookmarkStart w:id="104" w:name="_Toc4797"/>
      <w:bookmarkStart w:id="105" w:name="_Toc10067"/>
      <w:bookmarkStart w:id="106" w:name="_Toc6511"/>
      <w:r>
        <w:rPr>
          <w:rFonts w:cs="Times New Roman"/>
          <w:color w:val="auto"/>
          <w:highlight w:val="none"/>
        </w:rPr>
        <w:t>4　内窥镜法</w:t>
      </w:r>
      <w:bookmarkEnd w:id="102"/>
      <w:bookmarkEnd w:id="103"/>
      <w:bookmarkEnd w:id="104"/>
      <w:bookmarkEnd w:id="105"/>
      <w:bookmarkEnd w:id="106"/>
    </w:p>
    <w:p>
      <w:pPr>
        <w:pStyle w:val="2"/>
        <w:tabs>
          <w:tab w:val="left" w:pos="0"/>
        </w:tabs>
        <w:rPr>
          <w:rFonts w:ascii="Times New Roman" w:cs="Times New Roman" w:hAnsi="Times New Roman"/>
          <w:color w:val="auto"/>
          <w:highlight w:val="none"/>
        </w:rPr>
      </w:pPr>
      <w:bookmarkStart w:id="107" w:name="_Toc15710"/>
      <w:bookmarkStart w:id="108" w:name="_Toc15493"/>
      <w:bookmarkStart w:id="109" w:name="_Toc15375"/>
      <w:bookmarkStart w:id="110" w:name="_Toc24972"/>
      <w:bookmarkStart w:id="111" w:name="_Toc535"/>
      <w:r>
        <w:rPr>
          <w:rFonts w:ascii="Times New Roman" w:cs="Times New Roman" w:hAnsi="Times New Roman"/>
          <w:color w:val="auto"/>
          <w:highlight w:val="none"/>
        </w:rPr>
        <w:t>4.1　一般规定</w:t>
      </w:r>
      <w:bookmarkEnd w:id="107"/>
      <w:bookmarkEnd w:id="108"/>
      <w:bookmarkEnd w:id="109"/>
      <w:bookmarkEnd w:id="110"/>
      <w:bookmarkEnd w:id="111"/>
    </w:p>
    <w:p>
      <w:pPr>
        <w:pStyle w:val="3"/>
        <w:tabs>
          <w:tab w:val="left" w:pos="0"/>
          <w:tab w:val="left" w:pos="567"/>
          <w:tab w:val="left" w:pos="709"/>
          <w:tab w:val="left" w:pos="1560"/>
        </w:tabs>
        <w:rPr>
          <w:color w:val="auto"/>
          <w:highlight w:val="none"/>
        </w:rPr>
      </w:pPr>
      <w:r>
        <w:rPr>
          <w:rFonts w:cs="Times New Roman"/>
          <w:b/>
          <w:color w:val="auto"/>
          <w:highlight w:val="none"/>
        </w:rPr>
        <w:t>4.1.1　</w:t>
      </w:r>
      <w:r>
        <w:rPr>
          <w:rFonts w:cs="Times New Roman"/>
          <w:color w:val="auto"/>
          <w:highlight w:val="none"/>
        </w:rPr>
        <w:t>内窥镜法适用于灌浆前套筒、金属波纹管内部状况检测。</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4.1.2　</w:t>
      </w:r>
      <w:r>
        <w:rPr>
          <w:rFonts w:cs="Times New Roman"/>
          <w:color w:val="auto"/>
          <w:highlight w:val="none"/>
        </w:rPr>
        <w:t>灌浆后可通过出浆口水平钻孔内窥方式对</w:t>
      </w:r>
      <w:r>
        <w:rPr>
          <w:rFonts w:cs="Times New Roman" w:hint="eastAsia"/>
          <w:color w:val="auto"/>
          <w:lang w:val="en-US" w:eastAsia="zh-CN"/>
          <w:highlight w:val="none"/>
        </w:rPr>
        <w:t>墩柱</w:t>
      </w:r>
      <w:r>
        <w:rPr>
          <w:rFonts w:cs="Times New Roman"/>
          <w:color w:val="auto"/>
          <w:highlight w:val="none"/>
        </w:rPr>
        <w:t>套筒内部灌浆检测进行验证。</w:t>
      </w:r>
    </w:p>
    <w:p>
      <w:pPr>
        <w:rPr>
          <w:color w:val="auto"/>
          <w:highlight w:val="none"/>
        </w:rPr>
      </w:pPr>
    </w:p>
    <w:p>
      <w:pPr>
        <w:pStyle w:val="2"/>
        <w:tabs>
          <w:tab w:val="left" w:pos="0"/>
        </w:tabs>
        <w:rPr>
          <w:rFonts w:ascii="Times New Roman" w:cs="Times New Roman" w:hAnsi="Times New Roman"/>
          <w:color w:val="auto"/>
          <w:highlight w:val="none"/>
        </w:rPr>
      </w:pPr>
      <w:bookmarkStart w:id="112" w:name="_Toc30064"/>
      <w:bookmarkStart w:id="113" w:name="_Toc9640"/>
      <w:bookmarkStart w:id="114" w:name="_Toc1338"/>
      <w:bookmarkStart w:id="115" w:name="_Toc24846"/>
      <w:bookmarkStart w:id="116" w:name="_Toc3651"/>
      <w:r>
        <w:rPr>
          <w:rFonts w:ascii="Times New Roman" w:cs="Times New Roman" w:hAnsi="Times New Roman"/>
          <w:color w:val="auto"/>
          <w:highlight w:val="none"/>
        </w:rPr>
        <w:t>4.2　检测设备</w:t>
      </w:r>
      <w:bookmarkEnd w:id="112"/>
      <w:bookmarkEnd w:id="113"/>
      <w:bookmarkEnd w:id="114"/>
      <w:bookmarkEnd w:id="115"/>
      <w:bookmarkEnd w:id="116"/>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4.2.1　</w:t>
      </w:r>
      <w:r>
        <w:rPr>
          <w:rFonts w:cs="Times New Roman"/>
          <w:color w:val="auto"/>
          <w:highlight w:val="none"/>
        </w:rPr>
        <w:t>采用内窥镜法检测时，内窥镜应包括内窥镜主机和内窥镜镜头。</w:t>
      </w:r>
    </w:p>
    <w:p>
      <w:pPr>
        <w:ind w:firstLineChars="0" w:firstLine="0"/>
        <w:rPr>
          <w:rFonts w:cs="Times New Roman"/>
          <w:color w:val="auto"/>
          <w:highlight w:val="none"/>
        </w:rPr>
      </w:pPr>
      <w:r>
        <w:rPr>
          <w:rFonts w:eastAsia="仿宋" w:cs="Times New Roman" w:hint="eastAsia"/>
          <w:b/>
          <w:bCs/>
          <w:color w:val="auto"/>
          <w:shd w:val="pct10" w:color="auto" w:fill="FFFFFF"/>
          <w:lang w:val="en-US" w:eastAsia="zh-CN"/>
          <w:highlight w:val="none"/>
        </w:rPr>
        <w:t>条文说明</w:t>
      </w:r>
      <w:r>
        <w:rPr>
          <w:rFonts w:eastAsia="仿宋" w:cs="Times New Roman"/>
          <w:b/>
          <w:bCs/>
          <w:color w:val="auto"/>
          <w:szCs w:val="24"/>
          <w:shd w:val="pct10" w:color="auto" w:fill="FFFFFF"/>
          <w:highlight w:val="none"/>
        </w:rPr>
        <w:t>4.2.1　</w:t>
      </w:r>
      <w:r>
        <w:rPr>
          <w:rFonts w:eastAsia="仿宋" w:cs="Times New Roman"/>
          <w:color w:val="auto"/>
          <w:szCs w:val="24"/>
          <w:shd w:val="pct10" w:color="auto" w:fill="FFFFFF"/>
          <w:highlight w:val="none"/>
        </w:rPr>
        <w:t>内窥镜构成示意如图</w:t>
      </w:r>
      <w:r>
        <w:rPr>
          <w:rFonts w:eastAsia="仿宋" w:cs="Times New Roman" w:hint="eastAsia"/>
          <w:color w:val="auto"/>
          <w:szCs w:val="24"/>
          <w:shd w:val="pct10" w:color="auto" w:fill="FFFFFF"/>
          <w:lang w:val="en-US" w:eastAsia="zh-CN"/>
          <w:highlight w:val="none"/>
        </w:rPr>
        <w:t>4-</w:t>
      </w:r>
      <w:r>
        <w:rPr>
          <w:rFonts w:eastAsia="仿宋" w:cs="Times New Roman"/>
          <w:color w:val="auto"/>
          <w:szCs w:val="24"/>
          <w:shd w:val="pct10" w:color="auto" w:fill="FFFFFF"/>
          <w:highlight w:val="none"/>
        </w:rPr>
        <w:t>1。</w:t>
      </w:r>
    </w:p>
    <w:p>
      <w:pPr>
        <w:pStyle w:val="38"/>
        <w:ind w:firstLineChars="0" w:firstLine="0"/>
        <w:jc w:val="center"/>
        <w:rPr>
          <w:rFonts w:cs="Times New Roman"/>
          <w:color w:val="auto"/>
          <w:highlight w:val="none"/>
        </w:rPr>
      </w:pPr>
      <w:r>
        <w:rPr>
          <w:color w:val="auto"/>
          <w:highlight w:val="none"/>
        </w:rPr>
        <w:drawing>
          <wp:inline distT="0" distB="0" distL="114300" distR="114300">
            <wp:extent cx="5614035" cy="3886200"/>
            <wp:effectExtent l="0" t="0" r="0" b="0"/>
            <wp:docPr id="688168599" name="图片 49"/>
            <wp:cNvGraphicFramePr>
              <a:graphicFrameLocks noChangeAspect="1"/>
            </wp:cNvGraphicFramePr>
            <a:graphic>
              <a:graphicData uri="http://schemas.openxmlformats.org/drawingml/2006/picture">
                <pic:pic>
                  <pic:nvPicPr>
                    <pic:cNvPr id="54" name="图片 49 54"/>
                    <pic:cNvPicPr/>
                  </pic:nvPicPr>
                  <pic:blipFill>
                    <a:blip r:embed="rId53"/>
                    <a:srcRect l="48279"/>
                    <a:stretch>
                      <a:fillRect/>
                    </a:stretch>
                  </pic:blipFill>
                  <pic:spPr>
                    <a:xfrm rot="0">
                      <a:off x="0" y="0"/>
                      <a:ext cx="5614035" cy="3886200"/>
                    </a:xfrm>
                    <a:prstGeom prst="rect"/>
                    <a:noFill/>
                    <a:ln cmpd="sng" cap="flat">
                      <a:noFill/>
                      <a:prstDash val="solid"/>
                      <a:round/>
                    </a:ln>
                  </pic:spPr>
                </pic:pic>
              </a:graphicData>
            </a:graphic>
          </wp:inline>
        </w:drawing>
      </w:r>
    </w:p>
    <w:p>
      <w:pPr>
        <w:pStyle w:val="38"/>
        <w:spacing w:after="0"/>
        <w:ind w:firstLineChars="0" w:firstLine="0"/>
        <w:jc w:val="center"/>
        <w:rPr>
          <w:rFonts w:cs="Times New Roman"/>
          <w:color w:val="auto"/>
          <w:sz w:val="20"/>
          <w:szCs w:val="20"/>
          <w:shd w:val="pct10" w:color="auto" w:fill="FFFFFF"/>
          <w:highlight w:val="none"/>
        </w:rPr>
      </w:pPr>
      <w:r>
        <w:rPr>
          <w:rFonts w:cs="Times New Roman"/>
          <w:color w:val="auto"/>
          <w:sz w:val="20"/>
          <w:szCs w:val="20"/>
          <w:shd w:val="pct10" w:color="auto" w:fill="FFFFFF"/>
          <w:highlight w:val="none"/>
        </w:rPr>
        <w:t>1</w:t>
      </w:r>
      <w:r>
        <w:rPr>
          <w:rFonts w:cs="Times New Roman" w:hint="eastAsia"/>
          <w:color w:val="auto"/>
          <w:sz w:val="20"/>
          <w:szCs w:val="20"/>
          <w:shd w:val="pct10" w:color="auto" w:fill="FFFFFF"/>
          <w:highlight w:val="none"/>
        </w:rPr>
        <w:t>—</w:t>
      </w:r>
      <w:r>
        <w:rPr>
          <w:rFonts w:cs="Times New Roman"/>
          <w:color w:val="auto"/>
          <w:sz w:val="20"/>
          <w:szCs w:val="20"/>
          <w:shd w:val="pct10" w:color="auto" w:fill="FFFFFF"/>
          <w:highlight w:val="none"/>
        </w:rPr>
        <w:t>内窥镜主机；2</w:t>
      </w:r>
      <w:r>
        <w:rPr>
          <w:rFonts w:cs="Times New Roman" w:hint="eastAsia"/>
          <w:color w:val="auto"/>
          <w:sz w:val="20"/>
          <w:szCs w:val="20"/>
          <w:shd w:val="pct10" w:color="auto" w:fill="FFFFFF"/>
          <w:highlight w:val="none"/>
        </w:rPr>
        <w:t>—</w:t>
      </w:r>
      <w:r>
        <w:rPr>
          <w:rFonts w:cs="Times New Roman"/>
          <w:color w:val="auto"/>
          <w:sz w:val="20"/>
          <w:szCs w:val="20"/>
          <w:shd w:val="pct10" w:color="auto" w:fill="FFFFFF"/>
          <w:highlight w:val="none"/>
        </w:rPr>
        <w:t>内窥镜镜头</w:t>
      </w:r>
    </w:p>
    <w:p>
      <w:pPr>
        <w:pStyle w:val="38"/>
        <w:ind w:firstLineChars="0" w:firstLine="0"/>
        <w:jc w:val="center"/>
        <w:rPr>
          <w:rFonts w:cs="Times New Roman"/>
          <w:b/>
          <w:bCs/>
          <w:color w:val="auto"/>
          <w:szCs w:val="24"/>
          <w:shd w:val="pct10" w:color="auto" w:fill="FFFFFF"/>
          <w:highlight w:val="none"/>
        </w:rPr>
      </w:pPr>
      <w:r>
        <w:rPr>
          <w:rFonts w:cs="Times New Roman"/>
          <w:b/>
          <w:bCs/>
          <w:color w:val="auto"/>
          <w:shd w:val="pct10" w:color="auto" w:fill="FFFFFF"/>
          <w:highlight w:val="none"/>
        </w:rPr>
        <w:t>图</w:t>
      </w:r>
      <w:r>
        <w:rPr>
          <w:rFonts w:cs="Times New Roman" w:hint="eastAsia"/>
          <w:b/>
          <w:bCs/>
          <w:color w:val="auto"/>
          <w:shd w:val="pct10" w:color="auto" w:fill="FFFFFF"/>
          <w:lang w:val="en-US" w:eastAsia="zh-CN"/>
          <w:highlight w:val="none"/>
        </w:rPr>
        <w:t>4-</w:t>
      </w:r>
      <w:r>
        <w:rPr>
          <w:rFonts w:cs="Times New Roman"/>
          <w:b/>
          <w:bCs/>
          <w:color w:val="auto"/>
          <w:shd w:val="pct10" w:color="auto" w:fill="FFFFFF"/>
          <w:highlight w:val="none"/>
        </w:rPr>
        <w:t>1　</w:t>
      </w:r>
      <w:r>
        <w:rPr>
          <w:rFonts w:cs="Times New Roman"/>
          <w:b/>
          <w:bCs/>
          <w:color w:val="auto"/>
          <w:szCs w:val="24"/>
          <w:shd w:val="pct10" w:color="auto" w:fill="FFFFFF"/>
          <w:highlight w:val="none"/>
        </w:rPr>
        <w:t>内窥镜构成示意图</w:t>
      </w:r>
    </w:p>
    <w:p>
      <w:pPr>
        <w:pStyle w:val="3"/>
        <w:tabs>
          <w:tab w:val="left" w:pos="0"/>
          <w:tab w:val="left" w:pos="567"/>
          <w:tab w:val="left" w:pos="709"/>
          <w:tab w:val="left" w:pos="1560"/>
        </w:tabs>
        <w:rPr>
          <w:rFonts w:cs="Times New Roman"/>
          <w:b/>
          <w:color w:val="auto"/>
          <w:highlight w:val="none"/>
        </w:rPr>
      </w:pPr>
      <w:r>
        <w:rPr>
          <w:rFonts w:cs="Times New Roman"/>
          <w:b/>
          <w:color w:val="auto"/>
          <w:highlight w:val="none"/>
        </w:rPr>
        <w:t>4.2.2　</w:t>
      </w:r>
      <w:r>
        <w:rPr>
          <w:rFonts w:cs="Times New Roman"/>
          <w:color w:val="auto"/>
          <w:highlight w:val="none"/>
        </w:rPr>
        <w:t>内窥镜镜头应符合下列规定：</w:t>
      </w:r>
    </w:p>
    <w:p>
      <w:pPr>
        <w:rPr>
          <w:rFonts w:cs="Times New Roman"/>
          <w:color w:val="auto"/>
          <w:highlight w:val="none"/>
        </w:rPr>
      </w:pPr>
      <w:r>
        <w:rPr>
          <w:rFonts w:cs="Times New Roman"/>
          <w:b/>
          <w:color w:val="auto"/>
          <w:szCs w:val="21"/>
          <w:highlight w:val="none"/>
        </w:rPr>
        <w:t>1　</w:t>
      </w:r>
      <w:r>
        <w:rPr>
          <w:rFonts w:cs="Times New Roman"/>
          <w:color w:val="auto"/>
          <w:highlight w:val="none"/>
        </w:rPr>
        <w:t>内窥镜镜头应具备自主方向调节和自动聚焦功能；</w:t>
      </w:r>
    </w:p>
    <w:p>
      <w:pPr>
        <w:rPr>
          <w:rFonts w:cs="Times New Roman"/>
          <w:color w:val="auto"/>
          <w:highlight w:val="none"/>
        </w:rPr>
      </w:pPr>
      <w:r>
        <w:rPr>
          <w:rFonts w:cs="Times New Roman"/>
          <w:b/>
          <w:color w:val="auto"/>
          <w:szCs w:val="21"/>
          <w:highlight w:val="none"/>
        </w:rPr>
        <w:t>2</w:t>
      </w:r>
      <w:r>
        <w:rPr>
          <w:rFonts w:cs="Times New Roman"/>
          <w:color w:val="auto"/>
          <w:highlight w:val="none"/>
        </w:rPr>
        <w:t>　内窥镜镜头应具备自动补光功能和光源可调，最大光源的照度不</w:t>
      </w:r>
      <w:r>
        <w:rPr>
          <w:rFonts w:cs="Times New Roman" w:hint="eastAsia"/>
          <w:color w:val="auto"/>
          <w:shd w:val="clear" w:color="auto" w:fill="FFFFFF"/>
          <w:highlight w:val="none"/>
        </w:rPr>
        <w:t>宜</w:t>
      </w:r>
      <w:r>
        <w:rPr>
          <w:rFonts w:cs="Times New Roman"/>
          <w:color w:val="auto"/>
          <w:highlight w:val="none"/>
        </w:rPr>
        <w:t>低于8000lx。</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4.2</w:t>
      </w:r>
      <w:r>
        <w:rPr>
          <w:rFonts w:cs="Times New Roman"/>
          <w:b/>
          <w:bCs w:val="0"/>
          <w:color w:val="auto"/>
          <w:szCs w:val="21"/>
          <w:highlight w:val="none"/>
        </w:rPr>
        <w:t>.3　</w:t>
      </w:r>
      <w:r>
        <w:rPr>
          <w:rFonts w:cs="Times New Roman"/>
          <w:color w:val="auto"/>
          <w:highlight w:val="none"/>
        </w:rPr>
        <w:t>内窥镜主机应符合下列规定：</w:t>
      </w:r>
    </w:p>
    <w:p>
      <w:pPr>
        <w:rPr>
          <w:rFonts w:cs="Times New Roman"/>
          <w:color w:val="auto"/>
          <w:highlight w:val="none"/>
        </w:rPr>
      </w:pPr>
      <w:r>
        <w:rPr>
          <w:rFonts w:cs="Times New Roman"/>
          <w:b/>
          <w:color w:val="auto"/>
          <w:szCs w:val="21"/>
          <w:highlight w:val="none"/>
        </w:rPr>
        <w:t>1</w:t>
      </w:r>
      <w:r>
        <w:rPr>
          <w:rFonts w:cs="Times New Roman"/>
          <w:color w:val="auto"/>
          <w:highlight w:val="none"/>
        </w:rPr>
        <w:t>　内窥镜应具备录视频和照片拍摄功能；</w:t>
      </w:r>
    </w:p>
    <w:p>
      <w:pPr>
        <w:rPr>
          <w:rFonts w:cs="Times New Roman"/>
          <w:color w:val="auto"/>
          <w:highlight w:val="none"/>
        </w:rPr>
      </w:pPr>
      <w:r>
        <w:rPr>
          <w:rFonts w:cs="Times New Roman"/>
          <w:b/>
          <w:color w:val="auto"/>
          <w:szCs w:val="21"/>
          <w:highlight w:val="none"/>
        </w:rPr>
        <w:t>2</w:t>
      </w:r>
      <w:r>
        <w:rPr>
          <w:rFonts w:cs="Times New Roman"/>
          <w:color w:val="auto"/>
          <w:highlight w:val="none"/>
        </w:rPr>
        <w:t>　拍摄像素不应低于100万。</w:t>
      </w:r>
    </w:p>
    <w:p>
      <w:pPr>
        <w:pStyle w:val="2"/>
        <w:tabs>
          <w:tab w:val="left" w:pos="0"/>
        </w:tabs>
        <w:rPr>
          <w:rFonts w:ascii="Times New Roman" w:cs="Times New Roman" w:hAnsi="Times New Roman"/>
          <w:color w:val="auto"/>
          <w:highlight w:val="none"/>
        </w:rPr>
      </w:pPr>
      <w:bookmarkStart w:id="117" w:name="_Toc14904"/>
      <w:bookmarkStart w:id="118" w:name="_Toc17374"/>
      <w:bookmarkStart w:id="119" w:name="_Toc20363"/>
      <w:bookmarkStart w:id="120" w:name="_Toc22685"/>
      <w:bookmarkStart w:id="121" w:name="_Toc30684"/>
      <w:r>
        <w:rPr>
          <w:rFonts w:ascii="Times New Roman" w:cs="Times New Roman" w:hAnsi="Times New Roman"/>
          <w:color w:val="auto"/>
          <w:highlight w:val="none"/>
        </w:rPr>
        <w:t>4.3　检测</w:t>
      </w:r>
      <w:bookmarkEnd w:id="117"/>
      <w:bookmarkEnd w:id="118"/>
      <w:bookmarkEnd w:id="119"/>
      <w:bookmarkEnd w:id="120"/>
      <w:bookmarkEnd w:id="121"/>
    </w:p>
    <w:p>
      <w:pPr>
        <w:pStyle w:val="3"/>
        <w:tabs>
          <w:tab w:val="left" w:pos="0"/>
          <w:tab w:val="left" w:pos="567"/>
          <w:tab w:val="left" w:pos="709"/>
          <w:tab w:val="left" w:pos="1560"/>
        </w:tabs>
        <w:rPr>
          <w:rFonts w:cs="Times New Roman"/>
          <w:color w:val="auto"/>
          <w:sz w:val="20"/>
          <w:szCs w:val="20"/>
          <w:highlight w:val="none"/>
        </w:rPr>
      </w:pPr>
      <w:r>
        <w:rPr>
          <w:rFonts w:hint="eastAsia"/>
          <w:b/>
          <w:color w:val="auto"/>
          <w:szCs w:val="21"/>
          <w:highlight w:val="none"/>
        </w:rPr>
        <w:t>4.3</w:t>
      </w:r>
      <w:r>
        <w:rPr>
          <w:rFonts w:cs="Times New Roman" w:hint="eastAsia"/>
          <w:b/>
          <w:bCs w:val="0"/>
          <w:color w:val="auto"/>
          <w:szCs w:val="21"/>
          <w:highlight w:val="none"/>
        </w:rPr>
        <w:t>.</w:t>
      </w:r>
      <w:r>
        <w:rPr>
          <w:rFonts w:hint="eastAsia"/>
          <w:b/>
          <w:color w:val="auto"/>
          <w:szCs w:val="21"/>
          <w:highlight w:val="none"/>
        </w:rPr>
        <w:t>1　</w:t>
      </w:r>
      <w:r>
        <w:rPr>
          <w:rFonts w:cs="Times New Roman"/>
          <w:color w:val="auto"/>
          <w:highlight w:val="none"/>
        </w:rPr>
        <w:t>内窥镜检测前应进行下列准备工作：</w:t>
      </w:r>
    </w:p>
    <w:p>
      <w:pPr>
        <w:rPr>
          <w:rFonts w:cs="Times New Roman"/>
          <w:color w:val="auto"/>
          <w:highlight w:val="none"/>
        </w:rPr>
      </w:pPr>
      <w:r>
        <w:rPr>
          <w:rFonts w:cs="Times New Roman"/>
          <w:b/>
          <w:color w:val="auto"/>
          <w:szCs w:val="21"/>
          <w:highlight w:val="none"/>
        </w:rPr>
        <w:t>1</w:t>
      </w:r>
      <w:r>
        <w:rPr>
          <w:rFonts w:cs="Times New Roman"/>
          <w:color w:val="auto"/>
          <w:highlight w:val="none"/>
        </w:rPr>
        <w:t>　应检查并确认仪器设备和相关检测系统处于正常状态；</w:t>
      </w:r>
    </w:p>
    <w:p>
      <w:pPr>
        <w:rPr>
          <w:rFonts w:cs="Times New Roman"/>
          <w:color w:val="auto"/>
          <w:highlight w:val="none"/>
        </w:rPr>
      </w:pPr>
      <w:r>
        <w:rPr>
          <w:rFonts w:cs="Times New Roman"/>
          <w:b/>
          <w:color w:val="auto"/>
          <w:szCs w:val="21"/>
          <w:highlight w:val="none"/>
        </w:rPr>
        <w:t>2</w:t>
      </w:r>
      <w:r>
        <w:rPr>
          <w:rFonts w:cs="Times New Roman"/>
          <w:color w:val="auto"/>
          <w:highlight w:val="none"/>
        </w:rPr>
        <w:t>　应记录工程名称、套筒所在构件编号、套筒具体位置、检测人员信息等，修整或返工的结构构件部位，应有实施施工前后的文字及图像记录资料。</w:t>
      </w:r>
    </w:p>
    <w:p>
      <w:pPr>
        <w:pStyle w:val="3"/>
        <w:tabs>
          <w:tab w:val="left" w:pos="0"/>
          <w:tab w:val="left" w:pos="567"/>
          <w:tab w:val="left" w:pos="709"/>
          <w:tab w:val="left" w:pos="1560"/>
        </w:tabs>
        <w:rPr>
          <w:rFonts w:cs="Times New Roman"/>
          <w:color w:val="auto"/>
          <w:highlight w:val="none"/>
        </w:rPr>
      </w:pPr>
      <w:r>
        <w:rPr>
          <w:rStyle w:val="141"/>
          <w:rFonts w:cs="Times New Roman"/>
          <w:b/>
          <w:bCs/>
          <w:color w:val="auto"/>
          <w:szCs w:val="24"/>
          <w:highlight w:val="none"/>
        </w:rPr>
        <w:t>4.3.2　</w:t>
      </w:r>
      <w:r>
        <w:rPr>
          <w:rStyle w:val="141"/>
          <w:rFonts w:cs="Times New Roman"/>
          <w:bCs w:val="0"/>
          <w:color w:val="auto"/>
          <w:szCs w:val="24"/>
          <w:highlight w:val="none"/>
        </w:rPr>
        <w:t>套筒</w:t>
      </w:r>
      <w:r>
        <w:rPr>
          <w:rStyle w:val="141"/>
          <w:rFonts w:cs="Times New Roman" w:hint="eastAsia"/>
          <w:bCs w:val="0"/>
          <w:color w:val="auto"/>
          <w:szCs w:val="24"/>
          <w:lang w:val="en-US" w:eastAsia="zh-CN"/>
          <w:highlight w:val="none"/>
        </w:rPr>
        <w:t>或金属波纹管</w:t>
      </w:r>
      <w:r>
        <w:rPr>
          <w:rStyle w:val="141"/>
          <w:rFonts w:cs="Times New Roman"/>
          <w:bCs w:val="0"/>
          <w:color w:val="auto"/>
          <w:szCs w:val="24"/>
          <w:highlight w:val="none"/>
        </w:rPr>
        <w:t>灌浆前</w:t>
      </w:r>
      <w:r>
        <w:rPr>
          <w:rFonts w:cs="Times New Roman"/>
          <w:color w:val="auto"/>
          <w:highlight w:val="none"/>
        </w:rPr>
        <w:t>采用内窥镜检测时应符合下列规定：</w:t>
      </w:r>
    </w:p>
    <w:p>
      <w:pPr>
        <w:rPr>
          <w:rFonts w:cs="Times New Roman"/>
          <w:color w:val="auto"/>
          <w:highlight w:val="none"/>
        </w:rPr>
      </w:pPr>
      <w:r>
        <w:rPr>
          <w:rFonts w:cs="Times New Roman"/>
          <w:b/>
          <w:color w:val="auto"/>
          <w:szCs w:val="21"/>
          <w:highlight w:val="none"/>
        </w:rPr>
        <w:t>1　</w:t>
      </w:r>
      <w:r>
        <w:rPr>
          <w:rFonts w:cs="Times New Roman"/>
          <w:color w:val="auto"/>
          <w:highlight w:val="none"/>
        </w:rPr>
        <w:t>灌浆前内窥镜法检测，应沿构件四周进行查看，可根据外侧的目视检测情况，确定抽检的套筒位置；</w:t>
      </w:r>
    </w:p>
    <w:p>
      <w:pPr>
        <w:rPr>
          <w:rFonts w:cs="Times New Roman"/>
          <w:color w:val="auto"/>
          <w:highlight w:val="none"/>
        </w:rPr>
      </w:pPr>
      <w:r>
        <w:rPr>
          <w:rFonts w:cs="Times New Roman"/>
          <w:b/>
          <w:color w:val="auto"/>
          <w:szCs w:val="21"/>
          <w:highlight w:val="none"/>
        </w:rPr>
        <w:t>2　</w:t>
      </w:r>
      <w:r>
        <w:rPr>
          <w:rFonts w:cs="Times New Roman"/>
          <w:color w:val="auto"/>
          <w:highlight w:val="none"/>
        </w:rPr>
        <w:t>内窥镜开机后，应根据现场情况选择内窥镜镜头补光的光源；</w:t>
      </w:r>
    </w:p>
    <w:p>
      <w:pPr>
        <w:rPr>
          <w:rFonts w:cs="Times New Roman"/>
          <w:color w:val="auto"/>
          <w:highlight w:val="none"/>
        </w:rPr>
      </w:pPr>
      <w:r>
        <w:rPr>
          <w:rFonts w:cs="Times New Roman"/>
          <w:b/>
          <w:color w:val="auto"/>
          <w:szCs w:val="21"/>
          <w:highlight w:val="none"/>
        </w:rPr>
        <w:t>3　</w:t>
      </w:r>
      <w:r>
        <w:rPr>
          <w:rFonts w:cs="Times New Roman"/>
          <w:color w:val="auto"/>
          <w:highlight w:val="none"/>
        </w:rPr>
        <w:t>内窥镜的镜头应从套筒进浆口缓慢伸入，直到内部钢筋位置，然后调整镜头向上和向下进行查看套筒和钢筋之间通畅度，并拍摄对应的照片；</w:t>
      </w:r>
    </w:p>
    <w:p>
      <w:pPr>
        <w:pStyle w:val="3"/>
        <w:tabs>
          <w:tab w:val="left" w:pos="0"/>
          <w:tab w:val="left" w:pos="567"/>
          <w:tab w:val="left" w:pos="709"/>
          <w:tab w:val="left" w:pos="1560"/>
        </w:tabs>
        <w:rPr>
          <w:rStyle w:val="141"/>
          <w:rFonts w:cs="Times New Roman"/>
          <w:bCs w:val="0"/>
          <w:color w:val="auto"/>
          <w:szCs w:val="24"/>
          <w:highlight w:val="none"/>
        </w:rPr>
      </w:pPr>
      <w:r>
        <w:rPr>
          <w:rStyle w:val="141"/>
          <w:rFonts w:cs="Times New Roman"/>
          <w:b/>
          <w:bCs/>
          <w:color w:val="auto"/>
          <w:szCs w:val="24"/>
          <w:highlight w:val="none"/>
        </w:rPr>
        <w:t>4.3.3　</w:t>
      </w:r>
      <w:r>
        <w:rPr>
          <w:rStyle w:val="141"/>
          <w:rFonts w:cs="Times New Roman"/>
          <w:bCs w:val="0"/>
          <w:color w:val="auto"/>
          <w:szCs w:val="24"/>
          <w:highlight w:val="none"/>
        </w:rPr>
        <w:t>套筒灌浆后钻孔内窥镜法检测时应符合下列规定：</w:t>
      </w:r>
    </w:p>
    <w:p>
      <w:pPr>
        <w:rPr>
          <w:rFonts w:eastAsia="宋体" w:cs="Times New Roman"/>
          <w:b/>
          <w:color w:val="auto"/>
          <w:szCs w:val="21"/>
          <w:lang w:val="en-US" w:eastAsia="zh-CN"/>
          <w:highlight w:val="none"/>
        </w:rPr>
      </w:pPr>
      <w:r>
        <w:rPr>
          <w:rFonts w:cs="Times New Roman" w:hint="eastAsia"/>
          <w:b/>
          <w:color w:val="auto"/>
          <w:szCs w:val="21"/>
          <w:lang w:val="en-US" w:eastAsia="zh-CN"/>
          <w:highlight w:val="none"/>
        </w:rPr>
        <w:t xml:space="preserve">1  </w:t>
      </w:r>
      <w:r>
        <w:rPr>
          <w:rFonts w:cs="Times New Roman"/>
          <w:color w:val="auto"/>
          <w:highlight w:val="none"/>
        </w:rPr>
        <w:t>宜</w:t>
      </w:r>
      <w:r>
        <w:rPr>
          <w:rFonts w:cs="Times New Roman" w:hint="eastAsia"/>
          <w:color w:val="auto"/>
          <w:lang w:val="en-US" w:eastAsia="zh-CN"/>
          <w:highlight w:val="none"/>
        </w:rPr>
        <w:t>于套筒灌浆3d后检测；</w:t>
      </w:r>
    </w:p>
    <w:p>
      <w:pPr>
        <w:rPr>
          <w:rFonts w:cs="Times New Roman"/>
          <w:color w:val="auto"/>
          <w:highlight w:val="none"/>
        </w:rPr>
      </w:pPr>
      <w:r>
        <w:rPr>
          <w:rFonts w:cs="Times New Roman" w:hint="eastAsia"/>
          <w:b/>
          <w:color w:val="auto"/>
          <w:szCs w:val="21"/>
          <w:lang w:val="en-US" w:eastAsia="zh-CN"/>
          <w:highlight w:val="none"/>
        </w:rPr>
        <w:t>2</w:t>
      </w:r>
      <w:r>
        <w:rPr>
          <w:rFonts w:cs="Times New Roman"/>
          <w:b/>
          <w:color w:val="auto"/>
          <w:szCs w:val="21"/>
          <w:highlight w:val="none"/>
        </w:rPr>
        <w:t>　</w:t>
      </w:r>
      <w:r>
        <w:rPr>
          <w:rFonts w:cs="Times New Roman"/>
          <w:color w:val="auto"/>
          <w:highlight w:val="none"/>
        </w:rPr>
        <w:t>应结合检测项目特点、现场状况确定检测位置；</w:t>
      </w:r>
    </w:p>
    <w:p>
      <w:pPr>
        <w:rPr>
          <w:rFonts w:cs="Times New Roman"/>
          <w:color w:val="auto"/>
          <w:highlight w:val="none"/>
        </w:rPr>
      </w:pPr>
      <w:r>
        <w:rPr>
          <w:rFonts w:cs="Times New Roman" w:hint="eastAsia"/>
          <w:b/>
          <w:color w:val="auto"/>
          <w:szCs w:val="21"/>
          <w:lang w:val="en-US" w:eastAsia="zh-CN"/>
          <w:highlight w:val="none"/>
        </w:rPr>
        <w:t>3</w:t>
      </w:r>
      <w:r>
        <w:rPr>
          <w:rFonts w:cs="Times New Roman"/>
          <w:b/>
          <w:color w:val="auto"/>
          <w:szCs w:val="21"/>
          <w:highlight w:val="none"/>
        </w:rPr>
        <w:t>　</w:t>
      </w:r>
      <w:r>
        <w:rPr>
          <w:rFonts w:cs="Times New Roman" w:hint="eastAsia"/>
          <w:color w:val="auto"/>
          <w:highlight w:val="none"/>
        </w:rPr>
        <w:t>钻头直径宜为10mm～12mm</w:t>
      </w:r>
      <w:r>
        <w:rPr>
          <w:rFonts w:cs="Times New Roman"/>
          <w:color w:val="auto"/>
          <w:highlight w:val="none"/>
        </w:rPr>
        <w:t>，从套筒出浆口中心位置水平钻孔至套筒内部与主钢筋之间；</w:t>
      </w:r>
    </w:p>
    <w:p>
      <w:pPr>
        <w:rPr>
          <w:rFonts w:cs="Times New Roman"/>
          <w:color w:val="auto"/>
          <w:highlight w:val="none"/>
        </w:rPr>
      </w:pPr>
      <w:r>
        <w:rPr>
          <w:rFonts w:cs="Times New Roman" w:hint="eastAsia"/>
          <w:b/>
          <w:color w:val="auto"/>
          <w:szCs w:val="21"/>
          <w:lang w:val="en-US" w:eastAsia="zh-CN"/>
          <w:highlight w:val="none"/>
        </w:rPr>
        <w:t>4</w:t>
      </w:r>
      <w:r>
        <w:rPr>
          <w:rFonts w:cs="Times New Roman"/>
          <w:b/>
          <w:color w:val="auto"/>
          <w:szCs w:val="21"/>
          <w:highlight w:val="none"/>
        </w:rPr>
        <w:t>　</w:t>
      </w:r>
      <w:r>
        <w:rPr>
          <w:rFonts w:cs="Times New Roman"/>
          <w:color w:val="auto"/>
          <w:highlight w:val="none"/>
        </w:rPr>
        <w:t>现场宜采用机械清理</w:t>
      </w:r>
      <w:r>
        <w:rPr>
          <w:rFonts w:cs="Times New Roman" w:hint="eastAsia"/>
          <w:color w:val="auto"/>
          <w:highlight w:val="none"/>
        </w:rPr>
        <w:t>或高压风等</w:t>
      </w:r>
      <w:r>
        <w:rPr>
          <w:rFonts w:cs="Times New Roman"/>
          <w:color w:val="auto"/>
          <w:highlight w:val="none"/>
        </w:rPr>
        <w:t>方式对水平钻孔进行清灰，若孔道内有积水应进行清理；</w:t>
      </w:r>
    </w:p>
    <w:p>
      <w:pPr>
        <w:rPr>
          <w:rFonts w:cs="Times New Roman"/>
          <w:color w:val="auto"/>
          <w:highlight w:val="none"/>
        </w:rPr>
      </w:pPr>
      <w:r>
        <w:rPr>
          <w:rFonts w:cs="Times New Roman" w:hint="eastAsia"/>
          <w:b/>
          <w:color w:val="auto"/>
          <w:szCs w:val="21"/>
          <w:lang w:val="en-US" w:eastAsia="zh-CN"/>
          <w:highlight w:val="none"/>
        </w:rPr>
        <w:t>5</w:t>
      </w:r>
      <w:r>
        <w:rPr>
          <w:rFonts w:cs="Times New Roman"/>
          <w:b/>
          <w:color w:val="auto"/>
          <w:szCs w:val="21"/>
          <w:highlight w:val="none"/>
        </w:rPr>
        <w:t>　</w:t>
      </w:r>
      <w:r>
        <w:rPr>
          <w:rFonts w:cs="Times New Roman"/>
          <w:color w:val="auto"/>
          <w:highlight w:val="none"/>
        </w:rPr>
        <w:t>内窥镜</w:t>
      </w:r>
      <w:r>
        <w:rPr>
          <w:rFonts w:cs="Times New Roman" w:hint="eastAsia"/>
          <w:color w:val="auto"/>
          <w:shd w:val="clear" w:color="auto" w:fill="FFFFFF"/>
          <w:highlight w:val="none"/>
        </w:rPr>
        <w:t>应</w:t>
      </w:r>
      <w:r>
        <w:rPr>
          <w:rFonts w:cs="Times New Roman"/>
          <w:color w:val="auto"/>
          <w:highlight w:val="none"/>
        </w:rPr>
        <w:t>从套筒出浆口孔道水平伸入，调整内窥镜镜头查看主筋周边的空洞等的缺陷情况。</w:t>
      </w:r>
    </w:p>
    <w:p>
      <w:pPr>
        <w:rPr>
          <w:rFonts w:cs="Times New Roman"/>
          <w:color w:val="auto"/>
          <w:highlight w:val="none"/>
        </w:rPr>
      </w:pPr>
    </w:p>
    <w:p>
      <w:pPr>
        <w:pStyle w:val="3"/>
        <w:tabs>
          <w:tab w:val="left" w:pos="0"/>
          <w:tab w:val="left" w:pos="567"/>
          <w:tab w:val="left" w:pos="709"/>
          <w:tab w:val="left" w:pos="1560"/>
        </w:tabs>
        <w:rPr>
          <w:rStyle w:val="141"/>
          <w:rFonts w:cs="Times New Roman"/>
          <w:bCs w:val="0"/>
          <w:color w:val="auto"/>
          <w:szCs w:val="24"/>
          <w:highlight w:val="none"/>
        </w:rPr>
      </w:pPr>
      <w:r>
        <w:rPr>
          <w:rStyle w:val="141"/>
          <w:rFonts w:cs="Times New Roman"/>
          <w:b/>
          <w:bCs/>
          <w:color w:val="auto"/>
          <w:szCs w:val="24"/>
          <w:highlight w:val="none"/>
        </w:rPr>
        <w:t>4.3.4　</w:t>
      </w:r>
      <w:r>
        <w:rPr>
          <w:rStyle w:val="141"/>
          <w:rFonts w:cs="Times New Roman"/>
          <w:bCs w:val="0"/>
          <w:color w:val="auto"/>
          <w:szCs w:val="24"/>
          <w:highlight w:val="none"/>
        </w:rPr>
        <w:t>套筒灌浆前抽检数量不宜少于</w:t>
      </w:r>
      <w:r>
        <w:rPr>
          <w:rStyle w:val="141"/>
          <w:rFonts w:cs="Times New Roman" w:hint="eastAsia"/>
          <w:bCs w:val="0"/>
          <w:color w:val="auto"/>
          <w:szCs w:val="24"/>
          <w:highlight w:val="none"/>
        </w:rPr>
        <w:t>被测</w:t>
      </w:r>
      <w:r>
        <w:rPr>
          <w:rStyle w:val="141"/>
          <w:rFonts w:cs="Times New Roman"/>
          <w:bCs w:val="0"/>
          <w:color w:val="auto"/>
          <w:szCs w:val="24"/>
          <w:highlight w:val="none"/>
        </w:rPr>
        <w:t>连接部位套筒数量的5%，且不宜少于3个，抽样应具有代表性。</w:t>
      </w:r>
    </w:p>
    <w:p>
      <w:pPr>
        <w:pStyle w:val="89"/>
        <w:autoSpaceDE w:val="0"/>
        <w:autoSpaceDN w:val="0"/>
        <w:textAlignment w:val="auto"/>
        <w:rPr>
          <w:rFonts w:eastAsia="仿宋" w:cs="Times New Roman"/>
          <w:b/>
          <w:bCs/>
          <w:color w:val="auto"/>
          <w:shd w:val="pct10" w:color="auto" w:fill="FFFFFF"/>
          <w:highlight w:val="none"/>
        </w:rPr>
      </w:pPr>
      <w:r>
        <w:rPr>
          <w:rFonts w:eastAsia="仿宋" w:cs="Times New Roman" w:hint="eastAsia"/>
          <w:b/>
          <w:bCs/>
          <w:color w:val="auto"/>
          <w:shd w:val="pct10" w:color="auto" w:fill="FFFFFF"/>
          <w:lang w:val="en-US" w:eastAsia="zh-CN"/>
          <w:highlight w:val="none"/>
        </w:rPr>
        <w:t>条文说明</w:t>
      </w:r>
      <w:r>
        <w:rPr>
          <w:rFonts w:eastAsia="仿宋" w:cs="Times New Roman"/>
          <w:b/>
          <w:bCs/>
          <w:color w:val="auto"/>
          <w:shd w:val="pct10" w:color="auto" w:fill="FFFFFF"/>
          <w:highlight w:val="none"/>
        </w:rPr>
        <w:t>4.3.4　</w:t>
      </w:r>
      <w:r>
        <w:rPr>
          <w:rFonts w:eastAsia="仿宋" w:cs="Times New Roman"/>
          <w:color w:val="auto"/>
          <w:shd w:val="pct10" w:color="auto" w:fill="FFFFFF"/>
          <w:highlight w:val="none"/>
        </w:rPr>
        <w:t>检测频率的来源或者依据，通过调研、应用等确定的。</w:t>
      </w:r>
    </w:p>
    <w:p>
      <w:pPr>
        <w:rPr>
          <w:color w:val="auto"/>
          <w:highlight w:val="none"/>
        </w:rPr>
      </w:pPr>
    </w:p>
    <w:p>
      <w:pPr>
        <w:pStyle w:val="3"/>
        <w:tabs>
          <w:tab w:val="left" w:pos="0"/>
          <w:tab w:val="left" w:pos="567"/>
          <w:tab w:val="left" w:pos="709"/>
          <w:tab w:val="left" w:pos="1560"/>
        </w:tabs>
        <w:rPr>
          <w:rStyle w:val="141"/>
          <w:rFonts w:cs="Times New Roman"/>
          <w:bCs w:val="0"/>
          <w:color w:val="auto"/>
          <w:szCs w:val="24"/>
          <w:highlight w:val="none"/>
        </w:rPr>
      </w:pPr>
      <w:r>
        <w:rPr>
          <w:rStyle w:val="141"/>
          <w:rFonts w:cs="Times New Roman"/>
          <w:b/>
          <w:bCs/>
          <w:color w:val="auto"/>
          <w:szCs w:val="24"/>
          <w:highlight w:val="none"/>
        </w:rPr>
        <w:t>4.3.5　</w:t>
      </w:r>
      <w:r>
        <w:rPr>
          <w:rStyle w:val="141"/>
          <w:rFonts w:cs="Times New Roman"/>
          <w:bCs w:val="0"/>
          <w:color w:val="auto"/>
          <w:szCs w:val="24"/>
          <w:highlight w:val="none"/>
        </w:rPr>
        <w:t>套筒灌浆后抽检数量不宜少于</w:t>
      </w:r>
      <w:r>
        <w:rPr>
          <w:rStyle w:val="141"/>
          <w:rFonts w:cs="Times New Roman" w:hint="eastAsia"/>
          <w:bCs w:val="0"/>
          <w:color w:val="auto"/>
          <w:szCs w:val="24"/>
          <w:highlight w:val="none"/>
        </w:rPr>
        <w:t>被测</w:t>
      </w:r>
      <w:r>
        <w:rPr>
          <w:rStyle w:val="141"/>
          <w:rFonts w:cs="Times New Roman"/>
          <w:bCs w:val="0"/>
          <w:color w:val="auto"/>
          <w:szCs w:val="24"/>
          <w:highlight w:val="none"/>
        </w:rPr>
        <w:t>连接部位套筒数量的30%，且不宜少于6个，抽样应具有代表性。</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4.3.6　</w:t>
      </w:r>
      <w:r>
        <w:rPr>
          <w:rFonts w:cs="Times New Roman"/>
          <w:color w:val="auto"/>
          <w:highlight w:val="none"/>
        </w:rPr>
        <w:t>内窥镜</w:t>
      </w:r>
      <w:r>
        <w:rPr>
          <w:rStyle w:val="141"/>
          <w:rFonts w:eastAsia="宋体" w:cs="Times New Roman"/>
          <w:bCs w:val="0"/>
          <w:color w:val="auto"/>
          <w:szCs w:val="24"/>
          <w:highlight w:val="none"/>
        </w:rPr>
        <w:t>检测</w:t>
      </w:r>
      <w:r>
        <w:rPr>
          <w:rStyle w:val="141"/>
          <w:rFonts w:eastAsia="宋体" w:cs="Times New Roman" w:hint="eastAsia"/>
          <w:bCs w:val="0"/>
          <w:color w:val="auto"/>
          <w:szCs w:val="24"/>
          <w:lang w:val="en-US" w:eastAsia="zh-CN"/>
          <w:highlight w:val="none"/>
        </w:rPr>
        <w:t>应</w:t>
      </w:r>
      <w:r>
        <w:rPr>
          <w:rFonts w:cs="Times New Roman"/>
          <w:color w:val="auto"/>
          <w:highlight w:val="none"/>
        </w:rPr>
        <w:t>按本标准附录A记录。</w:t>
      </w:r>
    </w:p>
    <w:p>
      <w:pPr>
        <w:pStyle w:val="2"/>
        <w:tabs>
          <w:tab w:val="left" w:pos="0"/>
        </w:tabs>
        <w:rPr>
          <w:rFonts w:ascii="Times New Roman" w:cs="Times New Roman" w:hAnsi="Times New Roman"/>
          <w:color w:val="auto"/>
          <w:highlight w:val="none"/>
        </w:rPr>
      </w:pPr>
      <w:bookmarkStart w:id="122" w:name="_Toc5145"/>
      <w:bookmarkStart w:id="123" w:name="_Toc5527"/>
      <w:bookmarkStart w:id="124" w:name="_Toc17087"/>
      <w:bookmarkStart w:id="125" w:name="_Toc29989"/>
      <w:bookmarkStart w:id="126" w:name="_Toc20403"/>
      <w:r>
        <w:rPr>
          <w:rFonts w:ascii="Times New Roman" w:cs="Times New Roman" w:hAnsi="Times New Roman"/>
          <w:color w:val="auto"/>
          <w:highlight w:val="none"/>
        </w:rPr>
        <w:t>4.</w:t>
      </w:r>
      <w:bookmarkEnd w:id="122"/>
      <w:r>
        <w:rPr>
          <w:rFonts w:ascii="Times New Roman" w:cs="Times New Roman" w:hAnsi="Times New Roman"/>
          <w:color w:val="auto"/>
          <w:highlight w:val="none"/>
        </w:rPr>
        <w:t>4　评定</w:t>
      </w:r>
      <w:bookmarkEnd w:id="123"/>
      <w:bookmarkEnd w:id="124"/>
      <w:bookmarkEnd w:id="125"/>
      <w:bookmarkEnd w:id="126"/>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4.4.1　</w:t>
      </w:r>
      <w:r>
        <w:rPr>
          <w:rFonts w:cs="Times New Roman" w:hint="eastAsia"/>
          <w:color w:val="auto"/>
          <w:highlight w:val="none"/>
        </w:rPr>
        <w:t>应对内窥镜采集到的构件和套筒位置照片等进行编号</w:t>
      </w:r>
      <w:r>
        <w:rPr>
          <w:rFonts w:cs="Times New Roman"/>
          <w:color w:val="auto"/>
          <w:highlight w:val="none"/>
        </w:rPr>
        <w:t>。</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4.4.2　</w:t>
      </w:r>
      <w:r>
        <w:rPr>
          <w:rFonts w:cs="Times New Roman"/>
          <w:color w:val="auto"/>
          <w:highlight w:val="none"/>
        </w:rPr>
        <w:t>套筒灌浆前内窥镜法检测评定应符合下列规定：</w:t>
      </w:r>
    </w:p>
    <w:p>
      <w:pPr>
        <w:rPr>
          <w:rFonts w:cs="Times New Roman"/>
          <w:color w:val="auto"/>
          <w:highlight w:val="none"/>
        </w:rPr>
      </w:pPr>
      <w:r>
        <w:rPr>
          <w:rFonts w:cs="Times New Roman"/>
          <w:b/>
          <w:color w:val="auto"/>
          <w:szCs w:val="21"/>
          <w:highlight w:val="none"/>
        </w:rPr>
        <w:t>1　</w:t>
      </w:r>
      <w:r>
        <w:rPr>
          <w:rFonts w:cs="Times New Roman" w:hint="eastAsia"/>
          <w:color w:val="auto"/>
          <w:shd w:val="clear" w:color="auto" w:fill="FFFFFF"/>
          <w:highlight w:val="none"/>
        </w:rPr>
        <w:t>应检查</w:t>
      </w:r>
      <w:r>
        <w:rPr>
          <w:rFonts w:cs="Times New Roman"/>
          <w:color w:val="auto"/>
          <w:highlight w:val="none"/>
        </w:rPr>
        <w:t>套筒内钢筋和套筒壁之间</w:t>
      </w:r>
      <w:r>
        <w:rPr>
          <w:rFonts w:cs="Times New Roman" w:hint="eastAsia"/>
          <w:color w:val="auto"/>
          <w:highlight w:val="none"/>
        </w:rPr>
        <w:t>是否存在</w:t>
      </w:r>
      <w:r>
        <w:rPr>
          <w:rFonts w:cs="Times New Roman"/>
          <w:color w:val="auto"/>
          <w:highlight w:val="none"/>
        </w:rPr>
        <w:t>坐浆料、石子、混凝土块等其他异物的情况</w:t>
      </w:r>
      <w:r>
        <w:rPr>
          <w:rFonts w:cs="Times New Roman" w:hint="eastAsia"/>
          <w:color w:val="auto"/>
          <w:highlight w:val="none"/>
        </w:rPr>
        <w:t>；</w:t>
      </w:r>
    </w:p>
    <w:p>
      <w:pPr>
        <w:rPr>
          <w:rFonts w:cs="Times New Roman"/>
          <w:color w:val="auto"/>
          <w:highlight w:val="none"/>
        </w:rPr>
      </w:pPr>
      <w:r>
        <w:rPr>
          <w:rFonts w:cs="Times New Roman"/>
          <w:b/>
          <w:color w:val="auto"/>
          <w:szCs w:val="21"/>
          <w:highlight w:val="none"/>
        </w:rPr>
        <w:t>2　</w:t>
      </w:r>
      <w:r>
        <w:rPr>
          <w:rFonts w:cs="Times New Roman"/>
          <w:color w:val="auto"/>
          <w:highlight w:val="none"/>
        </w:rPr>
        <w:t>对内窥镜法检测套筒存在的异物，应进行处理，并</w:t>
      </w:r>
      <w:r>
        <w:rPr>
          <w:rFonts w:cs="Times New Roman" w:hint="eastAsia"/>
          <w:color w:val="auto"/>
          <w:shd w:val="clear" w:color="auto" w:fill="FFFFFF"/>
          <w:highlight w:val="none"/>
        </w:rPr>
        <w:t>应</w:t>
      </w:r>
      <w:r>
        <w:rPr>
          <w:rFonts w:cs="Times New Roman"/>
          <w:color w:val="auto"/>
          <w:highlight w:val="none"/>
        </w:rPr>
        <w:t>在处理后使用内窥镜再次检测</w:t>
      </w:r>
      <w:r>
        <w:rPr>
          <w:rFonts w:cs="Times New Roman" w:hint="eastAsia"/>
          <w:color w:val="auto"/>
          <w:highlight w:val="none"/>
        </w:rPr>
        <w:t>；</w:t>
      </w:r>
    </w:p>
    <w:p>
      <w:pPr>
        <w:rPr>
          <w:rFonts w:cs="Times New Roman"/>
          <w:color w:val="auto"/>
          <w:highlight w:val="none"/>
        </w:rPr>
      </w:pPr>
      <w:r>
        <w:rPr>
          <w:rFonts w:cs="Times New Roman"/>
          <w:b/>
          <w:color w:val="auto"/>
          <w:szCs w:val="21"/>
          <w:highlight w:val="none"/>
        </w:rPr>
        <w:t>3　</w:t>
      </w:r>
      <w:r>
        <w:rPr>
          <w:rFonts w:cs="Times New Roman"/>
          <w:color w:val="auto"/>
          <w:highlight w:val="none"/>
        </w:rPr>
        <w:t>异物尺寸占灌浆套筒进浆口的面积比例小于25%且不影响正常灌浆</w:t>
      </w:r>
      <w:r>
        <w:rPr>
          <w:rFonts w:cs="Times New Roman" w:hint="eastAsia"/>
          <w:color w:val="auto"/>
          <w:highlight w:val="none"/>
        </w:rPr>
        <w:t>时</w:t>
      </w:r>
      <w:r>
        <w:rPr>
          <w:rFonts w:cs="Times New Roman"/>
          <w:color w:val="auto"/>
          <w:highlight w:val="none"/>
        </w:rPr>
        <w:t>，可不进行处理；若占灌浆套筒进浆口的面积比例大于25%，应进行疏通保证正常灌浆。</w:t>
      </w:r>
    </w:p>
    <w:p>
      <w:pPr>
        <w:pStyle w:val="89"/>
        <w:autoSpaceDE w:val="0"/>
        <w:autoSpaceDN w:val="0"/>
        <w:textAlignment w:val="auto"/>
        <w:rPr>
          <w:rFonts w:eastAsia="仿宋" w:cs="Times New Roman"/>
          <w:color w:val="auto"/>
          <w:shd w:val="pct10" w:color="auto" w:fill="FFFFFF"/>
          <w:highlight w:val="none"/>
        </w:rPr>
      </w:pPr>
      <w:r>
        <w:rPr>
          <w:rFonts w:eastAsia="仿宋" w:cs="Times New Roman" w:hint="eastAsia"/>
          <w:b/>
          <w:bCs/>
          <w:color w:val="auto"/>
          <w:shd w:val="pct10" w:color="auto" w:fill="FFFFFF"/>
          <w:lang w:val="en-US" w:eastAsia="zh-CN"/>
          <w:highlight w:val="none"/>
        </w:rPr>
        <w:t>条文说明</w:t>
      </w:r>
      <w:r>
        <w:rPr>
          <w:rFonts w:eastAsia="仿宋" w:cs="Times New Roman"/>
          <w:b/>
          <w:bCs/>
          <w:color w:val="auto"/>
          <w:shd w:val="pct10" w:color="auto" w:fill="FFFFFF"/>
          <w:highlight w:val="none"/>
        </w:rPr>
        <w:t>4.4.2　</w:t>
      </w:r>
      <w:r>
        <w:rPr>
          <w:rFonts w:eastAsia="仿宋" w:cs="Times New Roman"/>
          <w:color w:val="auto"/>
          <w:shd w:val="pct10" w:color="auto" w:fill="FFFFFF"/>
          <w:highlight w:val="none"/>
        </w:rPr>
        <w:t>坐浆层现场过厚，导致吊装完成后坐浆料倒灌至套筒进浆口；预制厂进行预制过程中，出现套筒进出浆口封堵不严，导致预制振捣混凝土进入到套筒进出浆口。</w:t>
      </w:r>
    </w:p>
    <w:p>
      <w:pPr>
        <w:pStyle w:val="89"/>
        <w:autoSpaceDE w:val="0"/>
        <w:autoSpaceDN w:val="0"/>
        <w:jc w:val="center"/>
        <w:textAlignment w:val="auto"/>
        <w:rPr>
          <w:rFonts w:cs="Times New Roman"/>
          <w:color w:val="auto"/>
          <w:shd w:val="clear" w:color="FFFFFF" w:fill="D9D9D9"/>
          <w:highlight w:val="none"/>
        </w:rPr>
      </w:pPr>
      <w:r>
        <w:rPr>
          <w:rFonts w:cs="Times New Roman"/>
          <w:color w:val="auto"/>
          <w:shd w:val="clear" w:color="FFFFFF" w:fill="D9D9D9"/>
          <w:highlight w:val="none"/>
        </w:rPr>
        <w:drawing>
          <wp:inline distT="0" distB="0" distL="0" distR="0">
            <wp:extent cx="1031239" cy="1326410"/>
            <wp:effectExtent l="0" t="0" r="1" b="0"/>
            <wp:docPr id="688168600" name="图片 688168600"/>
            <wp:cNvGraphicFramePr>
              <a:graphicFrameLocks noChangeAspect="1"/>
            </wp:cNvGraphicFramePr>
            <a:graphic>
              <a:graphicData uri="http://schemas.openxmlformats.org/drawingml/2006/picture">
                <pic:pic>
                  <pic:nvPicPr>
                    <pic:cNvPr id="56" name="图片 56"/>
                    <pic:cNvPicPr/>
                  </pic:nvPicPr>
                  <pic:blipFill>
                    <a:blip r:embed="rId54"/>
                    <a:stretch>
                      <a:fillRect/>
                    </a:stretch>
                  </pic:blipFill>
                  <pic:spPr>
                    <a:xfrm rot="0">
                      <a:off x="0" y="0"/>
                      <a:ext cx="1031239" cy="1326410"/>
                    </a:xfrm>
                    <a:prstGeom prst="rect"/>
                    <a:noFill/>
                    <a:ln cmpd="sng" cap="flat">
                      <a:noFill/>
                      <a:prstDash val="solid"/>
                      <a:round/>
                    </a:ln>
                  </pic:spPr>
                </pic:pic>
              </a:graphicData>
            </a:graphic>
          </wp:inline>
        </w:drawing>
      </w:r>
      <w:r>
        <w:rPr>
          <w:rFonts w:cs="Times New Roman"/>
          <w:color w:val="auto"/>
          <w:shd w:val="clear" w:color="FFFFFF" w:fill="D9D9D9"/>
          <w:highlight w:val="none"/>
        </w:rPr>
        <w:t xml:space="preserve">  </w:t>
      </w:r>
      <w:r>
        <w:rPr>
          <w:rFonts w:cs="Times New Roman"/>
          <w:color w:val="auto"/>
          <w:highlight w:val="none"/>
        </w:rPr>
        <w:drawing>
          <wp:inline distT="0" distB="0" distL="0" distR="0">
            <wp:extent cx="2244725" cy="1489711"/>
            <wp:effectExtent l="0" t="0" r="0" b="0"/>
            <wp:docPr id="688168601" name="图片 1"/>
            <wp:cNvGraphicFramePr>
              <a:graphicFrameLocks noChangeAspect="1"/>
            </wp:cNvGraphicFramePr>
            <a:graphic>
              <a:graphicData uri="http://schemas.openxmlformats.org/drawingml/2006/picture">
                <pic:pic>
                  <pic:nvPicPr>
                    <pic:cNvPr id="58" name="图片 1 58"/>
                    <pic:cNvPicPr/>
                  </pic:nvPicPr>
                  <pic:blipFill>
                    <a:blip r:embed="rId55"/>
                    <a:stretch>
                      <a:fillRect/>
                    </a:stretch>
                  </pic:blipFill>
                  <pic:spPr>
                    <a:xfrm rot="0">
                      <a:off x="0" y="0"/>
                      <a:ext cx="2244725" cy="1489711"/>
                    </a:xfrm>
                    <a:prstGeom prst="rect"/>
                    <a:noFill/>
                    <a:ln w="9525" cmpd="sng" cap="flat">
                      <a:noFill/>
                      <a:prstDash val="solid"/>
                      <a:miter/>
                    </a:ln>
                  </pic:spPr>
                </pic:pic>
              </a:graphicData>
            </a:graphic>
          </wp:inline>
        </w:drawing>
      </w:r>
    </w:p>
    <w:p>
      <w:pPr>
        <w:pStyle w:val="89"/>
        <w:autoSpaceDE w:val="0"/>
        <w:autoSpaceDN w:val="0"/>
        <w:jc w:val="center"/>
        <w:textAlignment w:val="auto"/>
        <w:rPr>
          <w:rFonts w:eastAsia="仿宋" w:cs="Times New Roman"/>
          <w:color w:val="auto"/>
          <w:sz w:val="21"/>
          <w:shd w:val="pct10" w:color="auto" w:fill="FFFFFF"/>
          <w:highlight w:val="none"/>
        </w:rPr>
      </w:pPr>
      <w:r>
        <w:rPr>
          <w:rFonts w:eastAsia="仿宋" w:cs="Times New Roman"/>
          <w:color w:val="auto"/>
          <w:sz w:val="21"/>
          <w:shd w:val="pct10" w:color="auto" w:fill="FFFFFF"/>
          <w:highlight w:val="none"/>
        </w:rPr>
        <w:t>1</w:t>
      </w:r>
      <w:r>
        <w:rPr>
          <w:rFonts w:eastAsia="仿宋" w:cs="Times New Roman" w:hint="eastAsia"/>
          <w:color w:val="auto"/>
          <w:sz w:val="21"/>
          <w:shd w:val="pct10" w:color="auto" w:fill="FFFFFF"/>
          <w:highlight w:val="none"/>
        </w:rPr>
        <w:t>—</w:t>
      </w:r>
      <w:r>
        <w:rPr>
          <w:rFonts w:eastAsia="仿宋" w:cs="Times New Roman"/>
          <w:color w:val="auto"/>
          <w:sz w:val="21"/>
          <w:shd w:val="pct10" w:color="auto" w:fill="FFFFFF"/>
          <w:highlight w:val="none"/>
        </w:rPr>
        <w:t>倒灌的坐浆料</w:t>
      </w:r>
      <w:r>
        <w:rPr>
          <w:rFonts w:eastAsia="仿宋" w:cs="Times New Roman" w:hint="eastAsia"/>
          <w:color w:val="auto"/>
          <w:sz w:val="21"/>
          <w:shd w:val="pct10" w:color="auto" w:fill="FFFFFF"/>
          <w:highlight w:val="none"/>
        </w:rPr>
        <w:t>；</w:t>
      </w:r>
      <w:r>
        <w:rPr>
          <w:rFonts w:eastAsia="仿宋" w:cs="Times New Roman"/>
          <w:color w:val="auto"/>
          <w:sz w:val="21"/>
          <w:shd w:val="pct10" w:color="auto" w:fill="FFFFFF"/>
          <w:highlight w:val="none"/>
        </w:rPr>
        <w:t>2</w:t>
      </w:r>
      <w:r>
        <w:rPr>
          <w:rFonts w:eastAsia="仿宋" w:cs="Times New Roman" w:hint="eastAsia"/>
          <w:color w:val="auto"/>
          <w:sz w:val="21"/>
          <w:shd w:val="pct10" w:color="auto" w:fill="FFFFFF"/>
          <w:highlight w:val="none"/>
        </w:rPr>
        <w:t>—</w:t>
      </w:r>
      <w:r>
        <w:rPr>
          <w:rFonts w:eastAsia="仿宋" w:cs="Times New Roman"/>
          <w:color w:val="auto"/>
          <w:sz w:val="21"/>
          <w:shd w:val="pct10" w:color="auto" w:fill="FFFFFF"/>
          <w:highlight w:val="none"/>
        </w:rPr>
        <w:t>套筒进浆口</w:t>
      </w:r>
    </w:p>
    <w:p>
      <w:pPr>
        <w:autoSpaceDE w:val="0"/>
        <w:autoSpaceDN w:val="0"/>
        <w:ind w:firstLineChars="0" w:firstLine="0"/>
        <w:jc w:val="center"/>
        <w:textAlignment w:val="auto"/>
        <w:rPr>
          <w:rFonts w:eastAsia="仿宋" w:cs="Times New Roman"/>
          <w:b/>
          <w:bCs/>
          <w:color w:val="auto"/>
          <w:shd w:val="pct10" w:color="auto" w:fill="FFFFFF"/>
          <w:highlight w:val="none"/>
        </w:rPr>
      </w:pPr>
      <w:r>
        <w:rPr>
          <w:rFonts w:eastAsia="仿宋" w:cs="Times New Roman"/>
          <w:b/>
          <w:bCs/>
          <w:color w:val="auto"/>
          <w:shd w:val="pct10" w:color="auto" w:fill="FFFFFF"/>
          <w:highlight w:val="none"/>
        </w:rPr>
        <w:t>图</w:t>
      </w:r>
      <w:r>
        <w:rPr>
          <w:rFonts w:eastAsia="仿宋" w:cs="Times New Roman" w:hint="eastAsia"/>
          <w:b/>
          <w:bCs/>
          <w:color w:val="auto"/>
          <w:shd w:val="pct10" w:color="auto" w:fill="FFFFFF"/>
          <w:lang w:val="en-US" w:eastAsia="zh-CN"/>
          <w:highlight w:val="none"/>
        </w:rPr>
        <w:t>4-</w:t>
      </w:r>
      <w:r>
        <w:rPr>
          <w:rFonts w:eastAsia="仿宋" w:cs="Times New Roman" w:hint="eastAsia"/>
          <w:b/>
          <w:bCs/>
          <w:color w:val="auto"/>
          <w:shd w:val="pct10" w:color="auto" w:fill="FFFFFF"/>
          <w:highlight w:val="none"/>
        </w:rPr>
        <w:t>2</w:t>
      </w:r>
      <w:r>
        <w:rPr>
          <w:rFonts w:eastAsia="仿宋" w:cs="Times New Roman"/>
          <w:b/>
          <w:bCs/>
          <w:color w:val="auto"/>
          <w:shd w:val="pct10" w:color="auto" w:fill="FFFFFF"/>
          <w:highlight w:val="none"/>
        </w:rPr>
        <w:t>　坐浆层倒灌超过25%</w:t>
      </w:r>
    </w:p>
    <w:p>
      <w:pPr>
        <w:pStyle w:val="89"/>
        <w:autoSpaceDE w:val="0"/>
        <w:autoSpaceDN w:val="0"/>
        <w:jc w:val="center"/>
        <w:textAlignment w:val="auto"/>
        <w:rPr>
          <w:rFonts w:cs="Times New Roman"/>
          <w:color w:val="auto"/>
          <w:shd w:val="clear" w:color="FFFFFF" w:fill="D9D9D9"/>
          <w:highlight w:val="none"/>
        </w:rPr>
      </w:pPr>
      <w:r>
        <w:rPr>
          <w:rFonts w:cs="Times New Roman"/>
          <w:color w:val="auto"/>
          <w:shd w:val="clear" w:color="FFFFFF" w:fill="D9D9D9"/>
          <w:highlight w:val="none"/>
        </w:rPr>
        <w:drawing>
          <wp:inline distT="0" distB="0" distL="0" distR="0">
            <wp:extent cx="1039494" cy="1301224"/>
            <wp:effectExtent l="0" t="0" r="0" b="0"/>
            <wp:docPr id="688168602" name="图片 688168602"/>
            <wp:cNvGraphicFramePr>
              <a:graphicFrameLocks noChangeAspect="1"/>
            </wp:cNvGraphicFramePr>
            <a:graphic>
              <a:graphicData uri="http://schemas.openxmlformats.org/drawingml/2006/picture">
                <pic:pic>
                  <pic:nvPicPr>
                    <pic:cNvPr id="60" name="图片 60"/>
                    <pic:cNvPicPr/>
                  </pic:nvPicPr>
                  <pic:blipFill>
                    <a:blip r:embed="rId56"/>
                    <a:stretch>
                      <a:fillRect/>
                    </a:stretch>
                  </pic:blipFill>
                  <pic:spPr>
                    <a:xfrm rot="0">
                      <a:off x="0" y="0"/>
                      <a:ext cx="1039494" cy="1301224"/>
                    </a:xfrm>
                    <a:prstGeom prst="rect"/>
                    <a:noFill/>
                    <a:ln cmpd="sng" cap="flat">
                      <a:noFill/>
                      <a:prstDash val="solid"/>
                      <a:round/>
                    </a:ln>
                  </pic:spPr>
                </pic:pic>
              </a:graphicData>
            </a:graphic>
          </wp:inline>
        </w:drawing>
      </w:r>
      <w:r>
        <w:rPr>
          <w:rFonts w:cs="Times New Roman"/>
          <w:color w:val="auto"/>
          <w:shd w:val="clear" w:color="FFFFFF" w:fill="D9D9D9"/>
          <w:highlight w:val="none"/>
        </w:rPr>
        <w:t xml:space="preserve">  </w:t>
      </w:r>
      <w:r>
        <w:rPr>
          <w:rFonts w:cs="Times New Roman"/>
          <w:color w:val="auto"/>
          <w:highlight w:val="none"/>
        </w:rPr>
        <w:drawing>
          <wp:inline distT="0" distB="0" distL="0" distR="0">
            <wp:extent cx="2413000" cy="1635251"/>
            <wp:effectExtent l="0" t="0" r="0" b="0"/>
            <wp:docPr id="688168603" name="图片 1"/>
            <wp:cNvGraphicFramePr>
              <a:graphicFrameLocks noChangeAspect="1"/>
            </wp:cNvGraphicFramePr>
            <a:graphic>
              <a:graphicData uri="http://schemas.openxmlformats.org/drawingml/2006/picture">
                <pic:pic>
                  <pic:nvPicPr>
                    <pic:cNvPr id="62" name="图片 1 62"/>
                    <pic:cNvPicPr/>
                  </pic:nvPicPr>
                  <pic:blipFill>
                    <a:blip r:embed="rId57"/>
                    <a:stretch>
                      <a:fillRect/>
                    </a:stretch>
                  </pic:blipFill>
                  <pic:spPr>
                    <a:xfrm rot="0">
                      <a:off x="0" y="0"/>
                      <a:ext cx="2413000" cy="1635251"/>
                    </a:xfrm>
                    <a:prstGeom prst="rect"/>
                    <a:noFill/>
                    <a:ln w="9525" cmpd="sng" cap="flat">
                      <a:noFill/>
                      <a:prstDash val="solid"/>
                      <a:miter/>
                    </a:ln>
                  </pic:spPr>
                </pic:pic>
              </a:graphicData>
            </a:graphic>
          </wp:inline>
        </w:drawing>
      </w:r>
    </w:p>
    <w:p>
      <w:pPr>
        <w:pStyle w:val="89"/>
        <w:autoSpaceDE w:val="0"/>
        <w:autoSpaceDN w:val="0"/>
        <w:jc w:val="center"/>
        <w:textAlignment w:val="auto"/>
        <w:rPr>
          <w:rFonts w:eastAsia="仿宋" w:cs="Times New Roman"/>
          <w:color w:val="auto"/>
          <w:sz w:val="21"/>
          <w:shd w:val="pct10" w:color="auto" w:fill="FFFFFF"/>
          <w:highlight w:val="none"/>
        </w:rPr>
      </w:pPr>
      <w:r>
        <w:rPr>
          <w:rFonts w:eastAsia="仿宋" w:cs="Times New Roman"/>
          <w:color w:val="auto"/>
          <w:sz w:val="21"/>
          <w:shd w:val="pct10" w:color="auto" w:fill="FFFFFF"/>
          <w:highlight w:val="none"/>
        </w:rPr>
        <w:t>1</w:t>
      </w:r>
      <w:r>
        <w:rPr>
          <w:rFonts w:eastAsia="仿宋" w:cs="Times New Roman" w:hint="eastAsia"/>
          <w:color w:val="auto"/>
          <w:sz w:val="21"/>
          <w:shd w:val="pct10" w:color="auto" w:fill="FFFFFF"/>
          <w:highlight w:val="none"/>
        </w:rPr>
        <w:t>—</w:t>
      </w:r>
      <w:r>
        <w:rPr>
          <w:rFonts w:eastAsia="仿宋" w:cs="Times New Roman"/>
          <w:color w:val="auto"/>
          <w:sz w:val="21"/>
          <w:shd w:val="pct10" w:color="auto" w:fill="FFFFFF"/>
          <w:highlight w:val="none"/>
        </w:rPr>
        <w:t>混凝土异物</w:t>
      </w:r>
      <w:r>
        <w:rPr>
          <w:rFonts w:eastAsia="仿宋" w:cs="Times New Roman" w:hint="eastAsia"/>
          <w:color w:val="auto"/>
          <w:sz w:val="21"/>
          <w:shd w:val="pct10" w:color="auto" w:fill="FFFFFF"/>
          <w:highlight w:val="none"/>
        </w:rPr>
        <w:t>；</w:t>
      </w:r>
      <w:r>
        <w:rPr>
          <w:rFonts w:eastAsia="仿宋" w:cs="Times New Roman"/>
          <w:color w:val="auto"/>
          <w:sz w:val="21"/>
          <w:shd w:val="pct10" w:color="auto" w:fill="FFFFFF"/>
          <w:highlight w:val="none"/>
        </w:rPr>
        <w:t>2</w:t>
      </w:r>
      <w:r>
        <w:rPr>
          <w:rFonts w:eastAsia="仿宋" w:cs="Times New Roman" w:hint="eastAsia"/>
          <w:color w:val="auto"/>
          <w:sz w:val="21"/>
          <w:shd w:val="pct10" w:color="auto" w:fill="FFFFFF"/>
          <w:highlight w:val="none"/>
        </w:rPr>
        <w:t>—</w:t>
      </w:r>
      <w:r>
        <w:rPr>
          <w:rFonts w:eastAsia="仿宋" w:cs="Times New Roman"/>
          <w:color w:val="auto"/>
          <w:sz w:val="21"/>
          <w:shd w:val="pct10" w:color="auto" w:fill="FFFFFF"/>
          <w:highlight w:val="none"/>
        </w:rPr>
        <w:t>套筒进浆口</w:t>
      </w:r>
    </w:p>
    <w:p>
      <w:pPr>
        <w:autoSpaceDE w:val="0"/>
        <w:autoSpaceDN w:val="0"/>
        <w:ind w:firstLineChars="0" w:firstLine="0"/>
        <w:jc w:val="center"/>
        <w:textAlignment w:val="auto"/>
        <w:rPr>
          <w:rFonts w:eastAsia="仿宋" w:cs="Times New Roman"/>
          <w:b/>
          <w:bCs/>
          <w:color w:val="auto"/>
          <w:shd w:val="pct10" w:color="auto" w:fill="FFFFFF"/>
          <w:highlight w:val="none"/>
        </w:rPr>
      </w:pPr>
      <w:r>
        <w:rPr>
          <w:rFonts w:eastAsia="仿宋" w:cs="Times New Roman"/>
          <w:b/>
          <w:bCs/>
          <w:color w:val="auto"/>
          <w:shd w:val="pct10" w:color="auto" w:fill="FFFFFF"/>
          <w:highlight w:val="none"/>
        </w:rPr>
        <w:t>图</w:t>
      </w:r>
      <w:r>
        <w:rPr>
          <w:rFonts w:eastAsia="仿宋" w:cs="Times New Roman" w:hint="eastAsia"/>
          <w:b/>
          <w:bCs/>
          <w:color w:val="auto"/>
          <w:shd w:val="pct10" w:color="auto" w:fill="FFFFFF"/>
          <w:lang w:val="en-US" w:eastAsia="zh-CN"/>
          <w:highlight w:val="none"/>
        </w:rPr>
        <w:t>4-</w:t>
      </w:r>
      <w:r>
        <w:rPr>
          <w:rFonts w:eastAsia="仿宋" w:cs="Times New Roman" w:hint="eastAsia"/>
          <w:b/>
          <w:bCs/>
          <w:color w:val="auto"/>
          <w:shd w:val="pct10" w:color="auto" w:fill="FFFFFF"/>
          <w:highlight w:val="none"/>
        </w:rPr>
        <w:t>3</w:t>
      </w:r>
      <w:r>
        <w:rPr>
          <w:rFonts w:eastAsia="仿宋" w:cs="Times New Roman"/>
          <w:b/>
          <w:bCs/>
          <w:color w:val="auto"/>
          <w:shd w:val="pct10" w:color="auto" w:fill="FFFFFF"/>
          <w:highlight w:val="none"/>
        </w:rPr>
        <w:t>　混凝土等异物占套筒进浆口50%</w:t>
      </w:r>
    </w:p>
    <w:p>
      <w:pPr>
        <w:rPr>
          <w:rFonts w:cs="Times New Roman"/>
          <w:color w:val="auto"/>
          <w:highlight w:val="none"/>
        </w:rPr>
      </w:pP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4.4.3　</w:t>
      </w:r>
      <w:r>
        <w:rPr>
          <w:rFonts w:cs="Times New Roman"/>
          <w:color w:val="auto"/>
          <w:highlight w:val="none"/>
        </w:rPr>
        <w:t>套筒灌浆后钻孔内窥镜法检测评定应符合下列规定：</w:t>
      </w:r>
    </w:p>
    <w:p>
      <w:pPr>
        <w:rPr>
          <w:rFonts w:cs="Times New Roman"/>
          <w:color w:val="auto"/>
          <w:highlight w:val="none"/>
        </w:rPr>
      </w:pPr>
      <w:r>
        <w:rPr>
          <w:rFonts w:cs="Times New Roman"/>
          <w:b/>
          <w:color w:val="auto"/>
          <w:szCs w:val="21"/>
          <w:highlight w:val="none"/>
        </w:rPr>
        <w:t>1　</w:t>
      </w:r>
      <w:r>
        <w:rPr>
          <w:rFonts w:cs="Times New Roman"/>
          <w:color w:val="auto"/>
          <w:highlight w:val="none"/>
        </w:rPr>
        <w:t>应检查套筒顶部主筋与套筒内壁之间</w:t>
      </w:r>
      <w:r>
        <w:rPr>
          <w:rFonts w:cs="Times New Roman" w:hint="eastAsia"/>
          <w:color w:val="auto"/>
          <w:highlight w:val="none"/>
        </w:rPr>
        <w:t>是否</w:t>
      </w:r>
      <w:r>
        <w:rPr>
          <w:rFonts w:cs="Times New Roman"/>
          <w:color w:val="auto"/>
          <w:highlight w:val="none"/>
        </w:rPr>
        <w:t>存在空洞、积水导致的灌浆料变质等缺陷的情况；</w:t>
      </w:r>
    </w:p>
    <w:p>
      <w:pPr>
        <w:rPr>
          <w:rFonts w:cs="Times New Roman"/>
          <w:color w:val="auto"/>
          <w:highlight w:val="none"/>
        </w:rPr>
      </w:pPr>
      <w:r>
        <w:rPr>
          <w:rFonts w:cs="Times New Roman"/>
          <w:b/>
          <w:color w:val="auto"/>
          <w:szCs w:val="21"/>
          <w:highlight w:val="none"/>
        </w:rPr>
        <w:t>2　</w:t>
      </w:r>
      <w:r>
        <w:rPr>
          <w:rFonts w:cs="Times New Roman"/>
          <w:color w:val="auto"/>
          <w:highlight w:val="none"/>
        </w:rPr>
        <w:t>内窥镜法检测套筒顶部存在空洞</w:t>
      </w:r>
      <w:r>
        <w:rPr>
          <w:rFonts w:cs="Times New Roman" w:hint="eastAsia"/>
          <w:color w:val="auto"/>
          <w:highlight w:val="none"/>
        </w:rPr>
        <w:t>时</w:t>
      </w:r>
      <w:r>
        <w:rPr>
          <w:rFonts w:cs="Times New Roman"/>
          <w:color w:val="auto"/>
          <w:highlight w:val="none"/>
        </w:rPr>
        <w:t>，则应进行补灌；</w:t>
      </w:r>
    </w:p>
    <w:p>
      <w:pPr>
        <w:rPr>
          <w:rFonts w:cs="Times New Roman"/>
          <w:color w:val="auto"/>
          <w:highlight w:val="none"/>
        </w:rPr>
      </w:pPr>
      <w:r>
        <w:rPr>
          <w:rFonts w:cs="Times New Roman"/>
          <w:b/>
          <w:color w:val="auto"/>
          <w:szCs w:val="21"/>
          <w:highlight w:val="none"/>
        </w:rPr>
        <w:t>3　</w:t>
      </w:r>
      <w:r>
        <w:rPr>
          <w:rFonts w:cs="Times New Roman" w:hint="eastAsia"/>
          <w:color w:val="auto"/>
          <w:szCs w:val="21"/>
          <w:highlight w:val="none"/>
        </w:rPr>
        <w:t>若</w:t>
      </w:r>
      <w:r>
        <w:rPr>
          <w:rFonts w:cs="Times New Roman"/>
          <w:color w:val="auto"/>
          <w:highlight w:val="none"/>
        </w:rPr>
        <w:t>检测</w:t>
      </w:r>
      <w:r>
        <w:rPr>
          <w:rFonts w:cs="Times New Roman" w:hint="eastAsia"/>
          <w:color w:val="auto"/>
          <w:highlight w:val="none"/>
        </w:rPr>
        <w:t>到</w:t>
      </w:r>
      <w:r>
        <w:rPr>
          <w:rFonts w:cs="Times New Roman"/>
          <w:color w:val="auto"/>
          <w:highlight w:val="none"/>
        </w:rPr>
        <w:t>套筒顶部存在离析等其他影响结构安全的缺陷，应采取特殊处理方案；</w:t>
      </w:r>
    </w:p>
    <w:p>
      <w:pPr>
        <w:rPr>
          <w:rFonts w:cs="Times New Roman"/>
          <w:color w:val="auto"/>
          <w:highlight w:val="none"/>
        </w:rPr>
      </w:pPr>
      <w:r>
        <w:rPr>
          <w:rFonts w:cs="Times New Roman"/>
          <w:b/>
          <w:color w:val="auto"/>
          <w:szCs w:val="21"/>
          <w:highlight w:val="none"/>
        </w:rPr>
        <w:t>4　</w:t>
      </w:r>
      <w:r>
        <w:rPr>
          <w:rFonts w:cs="Times New Roman"/>
          <w:color w:val="auto"/>
          <w:highlight w:val="none"/>
        </w:rPr>
        <w:t>内窥镜法检测完成后且无缺陷</w:t>
      </w:r>
      <w:r>
        <w:rPr>
          <w:rFonts w:cs="Times New Roman" w:hint="eastAsia"/>
          <w:color w:val="auto"/>
          <w:highlight w:val="none"/>
        </w:rPr>
        <w:t>时</w:t>
      </w:r>
      <w:r>
        <w:rPr>
          <w:rFonts w:cs="Times New Roman"/>
          <w:color w:val="auto"/>
          <w:highlight w:val="none"/>
        </w:rPr>
        <w:t>，应修补水平钻孔的孔道。</w:t>
      </w:r>
    </w:p>
    <w:p>
      <w:pPr>
        <w:pStyle w:val="89"/>
        <w:autoSpaceDE w:val="0"/>
        <w:autoSpaceDN w:val="0"/>
        <w:textAlignment w:val="auto"/>
        <w:rPr>
          <w:rFonts w:eastAsia="仿宋" w:cs="Times New Roman"/>
          <w:b/>
          <w:bCs/>
          <w:color w:val="auto"/>
          <w:shd w:val="pct10" w:color="auto" w:fill="FFFFFF"/>
          <w:highlight w:val="none"/>
        </w:rPr>
      </w:pPr>
      <w:r>
        <w:rPr>
          <w:rFonts w:eastAsia="仿宋" w:cs="Times New Roman" w:hint="eastAsia"/>
          <w:b/>
          <w:bCs/>
          <w:color w:val="auto"/>
          <w:shd w:val="pct10" w:color="auto" w:fill="FFFFFF"/>
          <w:lang w:val="en-US" w:eastAsia="zh-CN"/>
          <w:highlight w:val="none"/>
        </w:rPr>
        <w:t>条文说明</w:t>
      </w:r>
      <w:r>
        <w:rPr>
          <w:rFonts w:eastAsia="仿宋" w:cs="Times New Roman"/>
          <w:b/>
          <w:bCs/>
          <w:color w:val="auto"/>
          <w:shd w:val="pct10" w:color="auto" w:fill="FFFFFF"/>
          <w:highlight w:val="none"/>
        </w:rPr>
        <w:t>4.4.3　</w:t>
      </w:r>
      <w:r>
        <w:rPr>
          <w:rFonts w:eastAsia="仿宋" w:cs="Times New Roman"/>
          <w:color w:val="auto"/>
          <w:shd w:val="pct10" w:color="auto" w:fill="FFFFFF"/>
          <w:highlight w:val="none"/>
        </w:rPr>
        <w:t>套筒顶部典型缺陷参考图</w:t>
      </w:r>
      <w:r>
        <w:rPr>
          <w:rFonts w:eastAsia="仿宋" w:cs="Times New Roman" w:hint="eastAsia"/>
          <w:color w:val="auto"/>
          <w:shd w:val="pct10" w:color="auto" w:fill="FFFFFF"/>
          <w:highlight w:val="none"/>
        </w:rPr>
        <w:t>4、图5</w:t>
      </w:r>
      <w:r>
        <w:rPr>
          <w:rFonts w:eastAsia="仿宋" w:cs="Times New Roman"/>
          <w:color w:val="auto"/>
          <w:shd w:val="pct10" w:color="auto" w:fill="FFFFFF"/>
          <w:highlight w:val="none"/>
        </w:rPr>
        <w:t>，灌浆料凝固后，出浆口钻孔至套筒内，空洞为主钢筋周边没有灌浆料；离析情况为套筒内灌浆料一直未能正常凝固。</w:t>
      </w:r>
    </w:p>
    <w:tbl>
      <w:tblPr>
        <w:jc w:val="left"/>
        <w:tblInd w:w="0" w:type="dxa"/>
        <w:tblW w:w="8789" w:type="dxa"/>
        <w:tblBorders>
          <w:top w:val="none" w:sz="0" w:space="0" w:color="auto"/>
          <w:left w:val="none" w:sz="0" w:space="0" w:color="auto"/>
          <w:bottom w:val="none" w:sz="0" w:space="0" w:color="auto"/>
          <w:right w:val="none" w:sz="0" w:space="0" w:color="auto"/>
        </w:tblBorders>
        <w:tblCellMar>
          <w:top w:w="0" w:type="dxa"/>
          <w:left w:w="108" w:type="dxa"/>
          <w:bottom w:w="0" w:type="dxa"/>
          <w:right w:w="108" w:type="dxa"/>
        </w:tblCellMar>
        <w:tblLook w:val="0600" w:firstRow="0" w:lastRow="0" w:firstColumn="0" w:lastColumn="0" w:noHBand="1" w:noVBand="1"/>
      </w:tblPr>
      <w:tblGrid>
        <w:gridCol w:w="4275"/>
        <w:gridCol w:w="4514"/>
      </w:tblGrid>
      <w:tr>
        <w:tc>
          <w:tcPr>
            <w:tcW w:w="4214" w:type="dxa"/>
            <w:vAlign w:val="center"/>
          </w:tcPr>
          <w:p>
            <w:pPr>
              <w:pStyle w:val="89"/>
              <w:autoSpaceDE w:val="0"/>
              <w:autoSpaceDN w:val="0"/>
              <w:jc w:val="center"/>
              <w:textAlignment w:val="auto"/>
              <w:rPr>
                <w:rFonts w:cs="Times New Roman"/>
                <w:b/>
                <w:bCs/>
                <w:color w:val="auto"/>
                <w:shd w:val="clear" w:color="FFFFFF" w:fill="D9D9D9"/>
                <w:highlight w:val="none"/>
              </w:rPr>
            </w:pPr>
            <w:r>
              <w:rPr>
                <w:rFonts w:cs="Times New Roman"/>
                <w:color w:val="auto"/>
                <w:highlight w:val="none"/>
              </w:rPr>
              <w:drawing>
                <wp:inline distT="0" distB="0" distL="0" distR="0">
                  <wp:extent cx="2577465" cy="1572295"/>
                  <wp:effectExtent l="0" t="0" r="0" b="1"/>
                  <wp:docPr id="688168604" name="图片 1"/>
                  <wp:cNvGraphicFramePr>
                    <a:graphicFrameLocks noChangeAspect="1"/>
                  </wp:cNvGraphicFramePr>
                  <a:graphic>
                    <a:graphicData uri="http://schemas.openxmlformats.org/drawingml/2006/picture">
                      <pic:pic>
                        <pic:nvPicPr>
                          <pic:cNvPr id="64" name="图片 1 64"/>
                          <pic:cNvPicPr/>
                        </pic:nvPicPr>
                        <pic:blipFill>
                          <a:blip r:embed="rId58"/>
                          <a:stretch>
                            <a:fillRect/>
                          </a:stretch>
                        </pic:blipFill>
                        <pic:spPr>
                          <a:xfrm rot="0">
                            <a:off x="0" y="0"/>
                            <a:ext cx="2577465" cy="1572295"/>
                          </a:xfrm>
                          <a:prstGeom prst="rect"/>
                          <a:noFill/>
                          <a:ln w="9525" cmpd="sng" cap="flat">
                            <a:noFill/>
                            <a:prstDash val="solid"/>
                            <a:miter/>
                          </a:ln>
                        </pic:spPr>
                      </pic:pic>
                    </a:graphicData>
                  </a:graphic>
                </wp:inline>
              </w:drawing>
            </w:r>
          </w:p>
        </w:tc>
        <w:tc>
          <w:tcPr>
            <w:tcW w:w="4575" w:type="dxa"/>
            <w:vAlign w:val="center"/>
          </w:tcPr>
          <w:p>
            <w:pPr>
              <w:pStyle w:val="89"/>
              <w:autoSpaceDE w:val="0"/>
              <w:autoSpaceDN w:val="0"/>
              <w:jc w:val="center"/>
              <w:textAlignment w:val="auto"/>
              <w:rPr>
                <w:rFonts w:cs="Times New Roman"/>
                <w:b/>
                <w:bCs/>
                <w:color w:val="auto"/>
                <w:shd w:val="clear" w:color="FFFFFF" w:fill="D9D9D9"/>
                <w:highlight w:val="none"/>
              </w:rPr>
            </w:pPr>
            <w:r>
              <w:rPr>
                <w:rFonts w:cs="Times New Roman"/>
                <w:color w:val="auto"/>
                <w:highlight w:val="none"/>
              </w:rPr>
              <w:drawing>
                <wp:inline distT="0" distB="0" distL="0" distR="0">
                  <wp:extent cx="2499360" cy="1524914"/>
                  <wp:effectExtent l="0" t="0" r="1" b="0"/>
                  <wp:docPr id="688168605" name="图片 1"/>
                  <wp:cNvGraphicFramePr>
                    <a:graphicFrameLocks noChangeAspect="1"/>
                  </wp:cNvGraphicFramePr>
                  <a:graphic>
                    <a:graphicData uri="http://schemas.openxmlformats.org/drawingml/2006/picture">
                      <pic:pic>
                        <pic:nvPicPr>
                          <pic:cNvPr id="66" name="图片 1 66"/>
                          <pic:cNvPicPr/>
                        </pic:nvPicPr>
                        <pic:blipFill>
                          <a:blip r:embed="rId59"/>
                          <a:stretch>
                            <a:fillRect/>
                          </a:stretch>
                        </pic:blipFill>
                        <pic:spPr>
                          <a:xfrm rot="0">
                            <a:off x="0" y="0"/>
                            <a:ext cx="2499360" cy="1524914"/>
                          </a:xfrm>
                          <a:prstGeom prst="rect"/>
                          <a:noFill/>
                          <a:ln w="9525" cmpd="sng" cap="flat">
                            <a:noFill/>
                            <a:prstDash val="solid"/>
                            <a:miter/>
                          </a:ln>
                        </pic:spPr>
                      </pic:pic>
                    </a:graphicData>
                  </a:graphic>
                </wp:inline>
              </w:drawing>
            </w:r>
          </w:p>
        </w:tc>
      </w:tr>
      <w:tr>
        <w:tc>
          <w:tcPr>
            <w:tcW w:w="4214" w:type="dxa"/>
            <w:vAlign w:val="center"/>
          </w:tcPr>
          <w:p>
            <w:pPr>
              <w:pStyle w:val="89"/>
              <w:autoSpaceDE w:val="0"/>
              <w:autoSpaceDN w:val="0"/>
              <w:jc w:val="center"/>
              <w:textAlignment w:val="auto"/>
              <w:rPr>
                <w:rFonts w:eastAsia="仿宋" w:cs="Times New Roman"/>
                <w:b/>
                <w:bCs/>
                <w:color w:val="auto"/>
                <w:sz w:val="21"/>
                <w:shd w:val="pct10" w:color="auto" w:fill="FFFFFF"/>
                <w:highlight w:val="none"/>
              </w:rPr>
            </w:pPr>
            <w:r>
              <w:rPr>
                <w:rFonts w:eastAsia="仿宋" w:cs="Times New Roman"/>
                <w:color w:val="auto"/>
                <w:sz w:val="21"/>
                <w:shd w:val="pct10" w:color="auto" w:fill="FFFFFF"/>
                <w:highlight w:val="none"/>
              </w:rPr>
              <w:t>1</w:t>
            </w:r>
            <w:r>
              <w:rPr>
                <w:rFonts w:eastAsia="仿宋" w:cs="Times New Roman" w:hint="eastAsia"/>
                <w:color w:val="auto"/>
                <w:sz w:val="21"/>
                <w:shd w:val="pct10" w:color="auto" w:fill="FFFFFF"/>
                <w:highlight w:val="none"/>
              </w:rPr>
              <w:t>—</w:t>
            </w:r>
            <w:r>
              <w:rPr>
                <w:rFonts w:eastAsia="仿宋" w:cs="Times New Roman"/>
                <w:color w:val="auto"/>
                <w:sz w:val="21"/>
                <w:shd w:val="pct10" w:color="auto" w:fill="FFFFFF"/>
                <w:highlight w:val="none"/>
              </w:rPr>
              <w:t>套筒内浆液顶面</w:t>
            </w:r>
            <w:r>
              <w:rPr>
                <w:rFonts w:eastAsia="仿宋" w:cs="Times New Roman" w:hint="eastAsia"/>
                <w:color w:val="auto"/>
                <w:sz w:val="21"/>
                <w:shd w:val="pct10" w:color="auto" w:fill="FFFFFF"/>
                <w:highlight w:val="none"/>
              </w:rPr>
              <w:t>；</w:t>
            </w:r>
            <w:r>
              <w:rPr>
                <w:rFonts w:eastAsia="仿宋" w:cs="Times New Roman"/>
                <w:color w:val="auto"/>
                <w:sz w:val="21"/>
                <w:shd w:val="pct10" w:color="auto" w:fill="FFFFFF"/>
                <w:highlight w:val="none"/>
              </w:rPr>
              <w:t>2</w:t>
            </w:r>
            <w:r>
              <w:rPr>
                <w:rFonts w:eastAsia="仿宋" w:cs="Times New Roman" w:hint="eastAsia"/>
                <w:color w:val="auto"/>
                <w:sz w:val="21"/>
                <w:shd w:val="pct10" w:color="auto" w:fill="FFFFFF"/>
                <w:highlight w:val="none"/>
              </w:rPr>
              <w:t>—</w:t>
            </w:r>
            <w:r>
              <w:rPr>
                <w:rFonts w:eastAsia="仿宋" w:cs="Times New Roman"/>
                <w:color w:val="auto"/>
                <w:sz w:val="21"/>
                <w:shd w:val="pct10" w:color="auto" w:fill="FFFFFF"/>
                <w:highlight w:val="none"/>
              </w:rPr>
              <w:t>套筒内主筋</w:t>
            </w:r>
          </w:p>
          <w:p>
            <w:pPr>
              <w:pStyle w:val="89"/>
              <w:autoSpaceDE w:val="0"/>
              <w:autoSpaceDN w:val="0"/>
              <w:jc w:val="center"/>
              <w:textAlignment w:val="auto"/>
              <w:rPr>
                <w:rFonts w:cs="Times New Roman"/>
                <w:color w:val="auto"/>
                <w:shd w:val="pct10" w:color="auto" w:fill="FFFFFF"/>
                <w:highlight w:val="none"/>
              </w:rPr>
            </w:pPr>
            <w:r>
              <w:rPr>
                <w:rFonts w:eastAsia="仿宋" w:cs="Times New Roman"/>
                <w:b/>
                <w:bCs/>
                <w:color w:val="auto"/>
                <w:shd w:val="pct10" w:color="auto" w:fill="FFFFFF"/>
                <w:highlight w:val="none"/>
              </w:rPr>
              <w:t>图</w:t>
            </w:r>
            <w:r>
              <w:rPr>
                <w:rFonts w:eastAsia="仿宋" w:cs="Times New Roman" w:hint="eastAsia"/>
                <w:b/>
                <w:bCs/>
                <w:color w:val="auto"/>
                <w:shd w:val="pct10" w:color="auto" w:fill="FFFFFF"/>
                <w:lang w:val="en-US" w:eastAsia="zh-CN"/>
                <w:highlight w:val="none"/>
              </w:rPr>
              <w:t>4-</w:t>
            </w:r>
            <w:r>
              <w:rPr>
                <w:rFonts w:eastAsia="仿宋" w:cs="Times New Roman"/>
                <w:b/>
                <w:bCs/>
                <w:color w:val="auto"/>
                <w:shd w:val="pct10" w:color="auto" w:fill="FFFFFF"/>
                <w:highlight w:val="none"/>
              </w:rPr>
              <w:t>4　空洞</w:t>
            </w:r>
          </w:p>
        </w:tc>
        <w:tc>
          <w:tcPr>
            <w:tcW w:w="4575" w:type="dxa"/>
            <w:vAlign w:val="center"/>
          </w:tcPr>
          <w:p>
            <w:pPr>
              <w:pStyle w:val="89"/>
              <w:autoSpaceDE w:val="0"/>
              <w:autoSpaceDN w:val="0"/>
              <w:jc w:val="center"/>
              <w:textAlignment w:val="auto"/>
              <w:rPr>
                <w:rFonts w:eastAsia="仿宋" w:cs="Times New Roman"/>
                <w:b/>
                <w:bCs/>
                <w:color w:val="auto"/>
                <w:sz w:val="21"/>
                <w:shd w:val="pct10" w:color="auto" w:fill="FFFFFF"/>
                <w:highlight w:val="none"/>
              </w:rPr>
            </w:pPr>
            <w:r>
              <w:rPr>
                <w:rFonts w:eastAsia="仿宋" w:cs="Times New Roman"/>
                <w:color w:val="auto"/>
                <w:sz w:val="21"/>
                <w:shd w:val="pct10" w:color="auto" w:fill="FFFFFF"/>
                <w:highlight w:val="none"/>
              </w:rPr>
              <w:t>1</w:t>
            </w:r>
            <w:r>
              <w:rPr>
                <w:rFonts w:eastAsia="仿宋" w:cs="Times New Roman" w:hint="eastAsia"/>
                <w:color w:val="auto"/>
                <w:sz w:val="21"/>
                <w:shd w:val="pct10" w:color="auto" w:fill="FFFFFF"/>
                <w:highlight w:val="none"/>
              </w:rPr>
              <w:t>—</w:t>
            </w:r>
            <w:r>
              <w:rPr>
                <w:rFonts w:eastAsia="仿宋" w:cs="Times New Roman"/>
                <w:color w:val="auto"/>
                <w:sz w:val="21"/>
                <w:shd w:val="pct10" w:color="auto" w:fill="FFFFFF"/>
                <w:highlight w:val="none"/>
              </w:rPr>
              <w:t>离析(泌水)灌浆料</w:t>
            </w:r>
            <w:r>
              <w:rPr>
                <w:rFonts w:eastAsia="仿宋" w:cs="Times New Roman" w:hint="eastAsia"/>
                <w:color w:val="auto"/>
                <w:sz w:val="21"/>
                <w:shd w:val="pct10" w:color="auto" w:fill="FFFFFF"/>
                <w:highlight w:val="none"/>
              </w:rPr>
              <w:t>；2—</w:t>
            </w:r>
            <w:r>
              <w:rPr>
                <w:rFonts w:eastAsia="仿宋" w:cs="Times New Roman"/>
                <w:color w:val="auto"/>
                <w:sz w:val="21"/>
                <w:shd w:val="pct10" w:color="auto" w:fill="FFFFFF"/>
                <w:highlight w:val="none"/>
              </w:rPr>
              <w:t>套筒内主筋</w:t>
            </w:r>
          </w:p>
          <w:p>
            <w:pPr>
              <w:pStyle w:val="89"/>
              <w:autoSpaceDE w:val="0"/>
              <w:autoSpaceDN w:val="0"/>
              <w:jc w:val="center"/>
              <w:textAlignment w:val="auto"/>
              <w:rPr>
                <w:rFonts w:cs="Times New Roman"/>
                <w:b/>
                <w:bCs/>
                <w:color w:val="auto"/>
                <w:shd w:val="pct10" w:color="auto" w:fill="FFFFFF"/>
                <w:highlight w:val="none"/>
              </w:rPr>
            </w:pPr>
            <w:r>
              <w:rPr>
                <w:rFonts w:eastAsia="仿宋" w:cs="Times New Roman"/>
                <w:b/>
                <w:bCs/>
                <w:color w:val="auto"/>
                <w:shd w:val="pct10" w:color="auto" w:fill="FFFFFF"/>
                <w:highlight w:val="none"/>
              </w:rPr>
              <w:t>图</w:t>
            </w:r>
            <w:r>
              <w:rPr>
                <w:rFonts w:eastAsia="仿宋" w:cs="Times New Roman" w:hint="eastAsia"/>
                <w:b/>
                <w:bCs/>
                <w:color w:val="auto"/>
                <w:shd w:val="pct10" w:color="auto" w:fill="FFFFFF"/>
                <w:lang w:val="en-US" w:eastAsia="zh-CN"/>
                <w:highlight w:val="none"/>
              </w:rPr>
              <w:t>4-</w:t>
            </w:r>
            <w:r>
              <w:rPr>
                <w:rFonts w:eastAsia="仿宋" w:cs="Times New Roman" w:hint="eastAsia"/>
                <w:b/>
                <w:bCs/>
                <w:color w:val="auto"/>
                <w:shd w:val="pct10" w:color="auto" w:fill="FFFFFF"/>
                <w:highlight w:val="none"/>
              </w:rPr>
              <w:t>5</w:t>
            </w:r>
            <w:r>
              <w:rPr>
                <w:rFonts w:eastAsia="仿宋" w:cs="Times New Roman"/>
                <w:b/>
                <w:bCs/>
                <w:color w:val="auto"/>
                <w:shd w:val="pct10" w:color="auto" w:fill="FFFFFF"/>
                <w:highlight w:val="none"/>
              </w:rPr>
              <w:t>　离析</w:t>
            </w:r>
          </w:p>
        </w:tc>
      </w:tr>
    </w:tbl>
    <w:p>
      <w:pPr>
        <w:rPr>
          <w:rFonts w:cs="Times New Roman"/>
          <w:color w:val="auto"/>
          <w:highlight w:val="none"/>
        </w:rPr>
      </w:pPr>
    </w:p>
    <w:p>
      <w:pPr>
        <w:pStyle w:val="3"/>
        <w:tabs>
          <w:tab w:val="left" w:pos="0"/>
          <w:tab w:val="left" w:pos="567"/>
          <w:tab w:val="left" w:pos="709"/>
          <w:tab w:val="left" w:pos="1560"/>
        </w:tabs>
        <w:rPr>
          <w:rFonts w:cs="Times New Roman"/>
          <w:color w:val="auto"/>
          <w:shd w:val="clear" w:color="FFFFFF" w:fill="D9D9D9"/>
          <w:highlight w:val="none"/>
        </w:rPr>
      </w:pPr>
      <w:r>
        <w:rPr>
          <w:rFonts w:cs="Times New Roman" w:hint="eastAsia"/>
          <w:b/>
          <w:color w:val="auto"/>
          <w:highlight w:val="none"/>
        </w:rPr>
        <w:t>4</w:t>
      </w:r>
      <w:r>
        <w:rPr>
          <w:rFonts w:cs="Times New Roman"/>
          <w:b/>
          <w:color w:val="auto"/>
          <w:highlight w:val="none"/>
        </w:rPr>
        <w:t>.4.</w:t>
      </w:r>
      <w:r>
        <w:rPr>
          <w:rFonts w:cs="Times New Roman" w:hint="eastAsia"/>
          <w:b/>
          <w:color w:val="auto"/>
          <w:highlight w:val="none"/>
        </w:rPr>
        <w:t>4</w:t>
      </w:r>
      <w:r>
        <w:rPr>
          <w:rFonts w:cs="Times New Roman"/>
          <w:b/>
          <w:color w:val="auto"/>
          <w:highlight w:val="none"/>
        </w:rPr>
        <w:t>　</w:t>
      </w:r>
      <w:r>
        <w:rPr>
          <w:rFonts w:cs="Times New Roman"/>
          <w:color w:val="auto"/>
          <w:highlight w:val="none"/>
        </w:rPr>
        <w:t>灌浆饱满度不合格时，应二次补浆。补灌后应对原灌浆不饱满套筒的灌浆饱满度进行复测，直至灌浆饱满</w:t>
      </w:r>
      <w:r>
        <w:rPr>
          <w:rFonts w:cs="Times New Roman" w:hint="eastAsia"/>
          <w:color w:val="auto"/>
          <w:highlight w:val="none"/>
        </w:rPr>
        <w:t>。应</w:t>
      </w:r>
      <w:r>
        <w:rPr>
          <w:rFonts w:cs="Times New Roman"/>
          <w:color w:val="auto"/>
          <w:highlight w:val="none"/>
        </w:rPr>
        <w:t>在记录表备注栏中做复测记录。</w:t>
      </w:r>
    </w:p>
    <w:p>
      <w:pPr>
        <w:widowControl/>
        <w:spacing w:line="240" w:lineRule="auto"/>
        <w:ind w:firstLineChars="0" w:firstLine="0"/>
        <w:jc w:val="left"/>
        <w:textAlignment w:val="auto"/>
        <w:rPr>
          <w:rFonts w:cs="Times New Roman"/>
          <w:color w:val="auto"/>
          <w:shd w:val="clear" w:color="FFFFFF" w:fill="D9D9D9"/>
          <w:highlight w:val="none"/>
        </w:rPr>
      </w:pPr>
      <w:r>
        <w:rPr>
          <w:rFonts w:cs="Times New Roman"/>
          <w:color w:val="auto"/>
          <w:shd w:val="clear" w:color="FFFFFF" w:fill="D9D9D9"/>
          <w:highlight w:val="none"/>
        </w:rPr>
        <w:br w:type="page"/>
      </w:r>
    </w:p>
    <w:p>
      <w:pPr>
        <w:pStyle w:val="1"/>
        <w:rPr>
          <w:rFonts w:cs="Times New Roman"/>
          <w:color w:val="auto"/>
          <w:lang w:val="el-GR"/>
          <w:highlight w:val="none"/>
        </w:rPr>
      </w:pPr>
      <w:bookmarkStart w:id="127" w:name="_Toc9927"/>
      <w:bookmarkStart w:id="128" w:name="_Toc23949"/>
      <w:bookmarkStart w:id="129" w:name="_Toc10605"/>
      <w:bookmarkStart w:id="130" w:name="_Toc368"/>
      <w:bookmarkStart w:id="131" w:name="_Toc26604"/>
      <w:bookmarkStart w:id="132" w:name="_Toc22027"/>
      <w:r>
        <w:rPr>
          <w:rFonts w:cs="Times New Roman"/>
          <w:color w:val="auto"/>
          <w:highlight w:val="none"/>
        </w:rPr>
        <w:t>5</w:t>
      </w:r>
      <w:r>
        <w:rPr>
          <w:rFonts w:cs="Times New Roman"/>
          <w:color w:val="auto"/>
          <w:lang w:val="el-GR"/>
          <w:highlight w:val="none"/>
        </w:rPr>
        <w:t>　阻尼传感器法</w:t>
      </w:r>
      <w:bookmarkEnd w:id="127"/>
      <w:bookmarkEnd w:id="128"/>
      <w:bookmarkEnd w:id="129"/>
      <w:bookmarkEnd w:id="130"/>
      <w:bookmarkEnd w:id="131"/>
      <w:bookmarkEnd w:id="132"/>
    </w:p>
    <w:p>
      <w:pPr>
        <w:pStyle w:val="2"/>
        <w:tabs>
          <w:tab w:val="left" w:pos="0"/>
        </w:tabs>
        <w:rPr>
          <w:rFonts w:ascii="Times New Roman" w:cs="Times New Roman" w:hAnsi="Times New Roman"/>
          <w:color w:val="auto"/>
          <w:highlight w:val="none"/>
        </w:rPr>
      </w:pPr>
      <w:bookmarkStart w:id="133" w:name="_Toc12744"/>
      <w:bookmarkStart w:id="134" w:name="_Toc25451"/>
      <w:bookmarkStart w:id="135" w:name="_Toc3228"/>
      <w:bookmarkStart w:id="136" w:name="_Toc9252"/>
      <w:bookmarkStart w:id="137" w:name="_Toc17902"/>
      <w:bookmarkStart w:id="138" w:name="_Toc23640"/>
      <w:bookmarkStart w:id="139" w:name="_Toc5087"/>
      <w:r>
        <w:rPr>
          <w:rFonts w:ascii="Times New Roman" w:cs="Times New Roman" w:hAnsi="Times New Roman"/>
          <w:color w:val="auto"/>
          <w:highlight w:val="none"/>
        </w:rPr>
        <w:t>5.1　一般规定</w:t>
      </w:r>
      <w:bookmarkEnd w:id="133"/>
      <w:bookmarkEnd w:id="134"/>
      <w:bookmarkEnd w:id="135"/>
      <w:bookmarkEnd w:id="136"/>
      <w:bookmarkEnd w:id="137"/>
      <w:bookmarkEnd w:id="138"/>
      <w:bookmarkEnd w:id="139"/>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5.1.1　</w:t>
      </w:r>
      <w:r>
        <w:rPr>
          <w:rFonts w:cs="Times New Roman"/>
          <w:color w:val="auto"/>
          <w:highlight w:val="none"/>
        </w:rPr>
        <w:t>阻尼传感器法适用于灌浆过程中直至灌浆料初凝前的套筒灌浆饱满度检测。</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5.1.2　</w:t>
      </w:r>
      <w:r>
        <w:rPr>
          <w:rFonts w:cs="Times New Roman"/>
          <w:color w:val="auto"/>
          <w:highlight w:val="none"/>
        </w:rPr>
        <w:t>检测结果存在疑义时，可采用钻孔内窥镜法进行验证。</w:t>
      </w:r>
    </w:p>
    <w:p>
      <w:pPr>
        <w:pStyle w:val="2"/>
        <w:tabs>
          <w:tab w:val="left" w:pos="0"/>
        </w:tabs>
        <w:rPr>
          <w:rFonts w:ascii="Times New Roman" w:cs="Times New Roman" w:hAnsi="Times New Roman"/>
          <w:color w:val="auto"/>
          <w:highlight w:val="none"/>
        </w:rPr>
      </w:pPr>
      <w:bookmarkStart w:id="140" w:name="_Toc10804"/>
      <w:bookmarkStart w:id="141" w:name="_Toc369"/>
      <w:bookmarkStart w:id="142" w:name="_Toc10883"/>
      <w:bookmarkStart w:id="143" w:name="_Toc14864"/>
      <w:bookmarkStart w:id="144" w:name="_Toc26409"/>
      <w:bookmarkStart w:id="145" w:name="_Toc32514"/>
      <w:bookmarkStart w:id="146" w:name="_Toc14459"/>
      <w:r>
        <w:rPr>
          <w:rFonts w:ascii="Times New Roman" w:cs="Times New Roman" w:hAnsi="Times New Roman"/>
          <w:color w:val="auto"/>
          <w:highlight w:val="none"/>
        </w:rPr>
        <w:t>5.2　检测设备</w:t>
      </w:r>
      <w:bookmarkEnd w:id="140"/>
      <w:bookmarkEnd w:id="141"/>
      <w:bookmarkEnd w:id="142"/>
      <w:bookmarkEnd w:id="143"/>
      <w:bookmarkEnd w:id="144"/>
      <w:bookmarkEnd w:id="145"/>
      <w:bookmarkEnd w:id="146"/>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5.2.1　</w:t>
      </w:r>
      <w:r>
        <w:rPr>
          <w:rFonts w:cs="Times New Roman"/>
          <w:color w:val="auto"/>
          <w:highlight w:val="none"/>
        </w:rPr>
        <w:t>阻尼传感器法检测设备应包括灌浆饱满度检测仪、专用阻尼振动传感器、橡胶塞等（图5.2.1）。</w:t>
      </w:r>
    </w:p>
    <w:p>
      <w:pPr>
        <w:ind w:firstLineChars="0" w:firstLine="0"/>
        <w:contextualSpacing/>
        <w:jc w:val="center"/>
        <w:rPr>
          <w:rFonts w:cs="Times New Roman"/>
          <w:color w:val="auto"/>
          <w:szCs w:val="24"/>
          <w:highlight w:val="none"/>
        </w:rPr>
      </w:pPr>
      <w:r>
        <w:rPr>
          <w:rFonts w:cs="Times New Roman"/>
          <w:color w:val="auto"/>
          <w:szCs w:val="24"/>
          <w:highlight w:val="none"/>
        </w:rPr>
        <w:drawing>
          <wp:inline distT="0" distB="0" distL="0" distR="0">
            <wp:extent cx="1867535" cy="1490345"/>
            <wp:effectExtent l="0" t="0" r="0" b="0"/>
            <wp:docPr id="688168606" name="图片 688168606"/>
            <wp:cNvGraphicFramePr>
              <a:graphicFrameLocks noChangeAspect="1"/>
            </wp:cNvGraphicFramePr>
            <a:graphic>
              <a:graphicData uri="http://schemas.openxmlformats.org/drawingml/2006/picture">
                <pic:pic>
                  <pic:nvPicPr>
                    <pic:cNvPr id="68" name="图片 68"/>
                    <pic:cNvPicPr/>
                  </pic:nvPicPr>
                  <pic:blipFill>
                    <a:blip r:embed="rId60"/>
                    <a:stretch>
                      <a:fillRect/>
                    </a:stretch>
                  </pic:blipFill>
                  <pic:spPr>
                    <a:xfrm rot="0">
                      <a:off x="0" y="0"/>
                      <a:ext cx="1867535" cy="1490345"/>
                    </a:xfrm>
                    <a:prstGeom prst="rect"/>
                    <a:noFill/>
                    <a:ln w="9525" cmpd="sng" cap="flat">
                      <a:noFill/>
                      <a:prstDash val="solid"/>
                      <a:miter/>
                    </a:ln>
                  </pic:spPr>
                </pic:pic>
              </a:graphicData>
            </a:graphic>
          </wp:inline>
        </w:drawing>
      </w:r>
    </w:p>
    <w:p>
      <w:pPr>
        <w:ind w:firstLineChars="0" w:firstLine="0"/>
        <w:jc w:val="center"/>
        <w:rPr>
          <w:rFonts w:cs="Times New Roman"/>
          <w:color w:val="auto"/>
          <w:sz w:val="21"/>
          <w:szCs w:val="24"/>
          <w:highlight w:val="none"/>
        </w:rPr>
      </w:pPr>
      <w:r>
        <w:rPr>
          <w:rFonts w:cs="Times New Roman"/>
          <w:color w:val="auto"/>
          <w:sz w:val="21"/>
          <w:szCs w:val="24"/>
          <w:highlight w:val="none"/>
        </w:rPr>
        <w:t>1—端头核心元件；2—钢丝；3—橡胶塞；4—排气孔</w:t>
      </w:r>
    </w:p>
    <w:p>
      <w:pPr>
        <w:snapToGrid w:val="0"/>
        <w:spacing w:beforeLines="50" w:before="156" w:line="300" w:lineRule="auto"/>
        <w:ind w:firstLineChars="0" w:firstLine="0"/>
        <w:jc w:val="center"/>
        <w:rPr>
          <w:rStyle w:val="125"/>
          <w:rFonts w:cs="Times New Roman"/>
          <w:color w:val="auto"/>
          <w:sz w:val="24"/>
          <w:szCs w:val="24"/>
          <w:highlight w:val="none"/>
        </w:rPr>
      </w:pPr>
      <w:r>
        <w:rPr>
          <w:rStyle w:val="125"/>
          <w:rFonts w:cs="Times New Roman"/>
          <w:color w:val="auto"/>
          <w:sz w:val="24"/>
          <w:szCs w:val="24"/>
          <w:highlight w:val="none"/>
        </w:rPr>
        <w:t>图5.2.1　传感器示意图</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5.2.2　</w:t>
      </w:r>
      <w:r>
        <w:rPr>
          <w:rFonts w:cs="Times New Roman"/>
          <w:color w:val="auto"/>
          <w:highlight w:val="none"/>
        </w:rPr>
        <w:t>灌浆饱满度检测仪幅值线性度应满足10dB±1.0dB，频带宽度应为10kHz~100kHz。</w:t>
      </w:r>
    </w:p>
    <w:p>
      <w:pPr>
        <w:pStyle w:val="3"/>
        <w:tabs>
          <w:tab w:val="left" w:pos="0"/>
          <w:tab w:val="left" w:pos="567"/>
          <w:tab w:val="left" w:pos="709"/>
          <w:tab w:val="left" w:pos="1560"/>
        </w:tabs>
        <w:rPr>
          <w:rFonts w:cs="Times New Roman"/>
          <w:color w:val="auto"/>
          <w:highlight w:val="none"/>
        </w:rPr>
      </w:pPr>
      <w:bookmarkStart w:id="147" w:name="_Toc246"/>
      <w:bookmarkStart w:id="148" w:name="_Toc17395"/>
      <w:bookmarkStart w:id="149" w:name="_Toc28484"/>
      <w:r>
        <w:rPr>
          <w:rFonts w:cs="Times New Roman"/>
          <w:b/>
          <w:color w:val="auto"/>
          <w:highlight w:val="none"/>
        </w:rPr>
        <w:t>5.2.3　</w:t>
      </w:r>
      <w:r>
        <w:rPr>
          <w:rFonts w:cs="Times New Roman"/>
          <w:color w:val="auto"/>
          <w:highlight w:val="none"/>
        </w:rPr>
        <w:t>专用阻尼振动传感器应符合下列规定：</w:t>
      </w:r>
    </w:p>
    <w:p>
      <w:pPr>
        <w:rPr>
          <w:rFonts w:cs="Times New Roman"/>
          <w:color w:val="auto"/>
          <w:highlight w:val="none"/>
        </w:rPr>
      </w:pPr>
      <w:r>
        <w:rPr>
          <w:rFonts w:cs="Times New Roman"/>
          <w:b/>
          <w:bCs/>
          <w:color w:val="auto"/>
          <w:szCs w:val="32"/>
          <w:highlight w:val="none"/>
        </w:rPr>
        <w:t>1　</w:t>
      </w:r>
      <w:r>
        <w:rPr>
          <w:rFonts w:cs="Times New Roman"/>
          <w:color w:val="auto"/>
          <w:highlight w:val="none"/>
        </w:rPr>
        <w:t>专用阻尼振动传感器端头核心元件直径不宜大于10.0mm，与端头核心元件相连的钢丝直径宜为2.0mm ~3.0mm；</w:t>
      </w:r>
    </w:p>
    <w:p>
      <w:pPr>
        <w:rPr>
          <w:rFonts w:cs="Times New Roman"/>
          <w:color w:val="auto"/>
          <w:highlight w:val="none"/>
        </w:rPr>
      </w:pPr>
      <w:r>
        <w:rPr>
          <w:rFonts w:cs="Times New Roman"/>
          <w:b/>
          <w:bCs/>
          <w:color w:val="auto"/>
          <w:szCs w:val="32"/>
          <w:highlight w:val="none"/>
        </w:rPr>
        <w:t>2　</w:t>
      </w:r>
      <w:r>
        <w:rPr>
          <w:rFonts w:cs="Times New Roman"/>
          <w:color w:val="auto"/>
          <w:highlight w:val="none"/>
        </w:rPr>
        <w:t>专用阻尼振动传感器在工作状态下的初读数不应小于225。</w:t>
      </w:r>
    </w:p>
    <w:p>
      <w:pPr>
        <w:pStyle w:val="38"/>
        <w:ind w:firstLineChars="0" w:firstLine="0"/>
        <w:rPr>
          <w:rFonts w:eastAsia="仿宋" w:cs="Times New Roman"/>
          <w:color w:val="auto"/>
          <w:szCs w:val="24"/>
          <w:shd w:val="pct10" w:color="auto" w:fill="FFFFFF"/>
          <w:highlight w:val="none"/>
        </w:rPr>
      </w:pPr>
      <w:r>
        <w:rPr>
          <w:rFonts w:eastAsia="仿宋" w:cs="Times New Roman" w:hint="eastAsia"/>
          <w:b/>
          <w:bCs/>
          <w:color w:val="auto"/>
          <w:shd w:val="pct10" w:color="auto" w:fill="FFFFFF"/>
          <w:lang w:val="en-US" w:eastAsia="zh-CN"/>
          <w:highlight w:val="none"/>
        </w:rPr>
        <w:t>条文说明</w:t>
      </w:r>
      <w:r>
        <w:rPr>
          <w:rFonts w:eastAsia="仿宋" w:cs="Times New Roman"/>
          <w:b/>
          <w:bCs/>
          <w:color w:val="auto"/>
          <w:szCs w:val="24"/>
          <w:shd w:val="pct10" w:color="auto" w:fill="FFFFFF"/>
          <w:highlight w:val="none"/>
        </w:rPr>
        <w:t>5.2.3　</w:t>
      </w:r>
      <w:r>
        <w:rPr>
          <w:rFonts w:eastAsia="仿宋" w:cs="Times New Roman"/>
          <w:color w:val="auto"/>
          <w:szCs w:val="24"/>
          <w:shd w:val="pct10" w:color="auto" w:fill="FFFFFF"/>
          <w:highlight w:val="none"/>
        </w:rPr>
        <w:t>传感器在工作状态下的初读数是指传感器按要求在套筒出浆孔就位后的读数。传感器初读数一般不小于225，如果检测人员将传感器端头核心元件紧紧抵到套筒内钢筋上，端头核心元件受到较大压力作用，初读数会有所降低，但不应小于225。如果初读数小于225，需调整传感器相对钢筋的位置并重新检测初读数；如果调整后仍不满足要求，需更换传感器并重新检测初读数。</w:t>
      </w:r>
    </w:p>
    <w:p>
      <w:pPr>
        <w:rPr>
          <w:rFonts w:cs="Times New Roman"/>
          <w:color w:val="auto"/>
          <w:highlight w:val="none"/>
        </w:rPr>
      </w:pP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5.2.4　</w:t>
      </w:r>
      <w:r>
        <w:rPr>
          <w:rFonts w:cs="Times New Roman"/>
          <w:color w:val="auto"/>
          <w:highlight w:val="none"/>
        </w:rPr>
        <w:t>专用阻尼振动传感器应与橡胶塞集成设计，橡胶塞上钢丝穿孔孔径应与钢丝直径相同，排气孔径不应小于3.0mm。</w:t>
      </w:r>
    </w:p>
    <w:p>
      <w:pPr>
        <w:pStyle w:val="2"/>
        <w:tabs>
          <w:tab w:val="left" w:pos="0"/>
        </w:tabs>
        <w:rPr>
          <w:rFonts w:ascii="Times New Roman" w:cs="Times New Roman" w:hAnsi="Times New Roman"/>
          <w:color w:val="auto"/>
          <w:highlight w:val="none"/>
        </w:rPr>
      </w:pPr>
      <w:bookmarkStart w:id="150" w:name="_Toc4780"/>
      <w:bookmarkStart w:id="151" w:name="_Toc31576"/>
      <w:bookmarkStart w:id="152" w:name="_Toc14363"/>
      <w:bookmarkStart w:id="153" w:name="_Toc32327"/>
      <w:r>
        <w:rPr>
          <w:rFonts w:ascii="Times New Roman" w:cs="Times New Roman" w:hAnsi="Times New Roman"/>
          <w:color w:val="auto"/>
          <w:highlight w:val="none"/>
        </w:rPr>
        <w:t>5.3　检测</w:t>
      </w:r>
      <w:bookmarkEnd w:id="147"/>
      <w:bookmarkEnd w:id="148"/>
      <w:bookmarkEnd w:id="149"/>
      <w:bookmarkEnd w:id="150"/>
      <w:bookmarkEnd w:id="151"/>
      <w:bookmarkEnd w:id="152"/>
      <w:bookmarkEnd w:id="153"/>
    </w:p>
    <w:p>
      <w:pPr>
        <w:pStyle w:val="3"/>
        <w:tabs>
          <w:tab w:val="left" w:pos="0"/>
          <w:tab w:val="left" w:pos="567"/>
          <w:tab w:val="left" w:pos="709"/>
          <w:tab w:val="left" w:pos="1560"/>
        </w:tabs>
        <w:rPr>
          <w:rFonts w:cs="Times New Roman"/>
          <w:b/>
          <w:color w:val="auto"/>
          <w:highlight w:val="none"/>
        </w:rPr>
      </w:pPr>
      <w:r>
        <w:rPr>
          <w:rFonts w:cs="Times New Roman"/>
          <w:b/>
          <w:color w:val="auto"/>
          <w:highlight w:val="none"/>
        </w:rPr>
        <w:t>5.3.1</w:t>
      </w:r>
      <w:r>
        <w:rPr>
          <w:rFonts w:cs="Times New Roman"/>
          <w:color w:val="auto"/>
          <w:highlight w:val="none"/>
        </w:rPr>
        <w:t>　采用阻尼传感器法检测套筒灌浆饱满度前应准备下列工作：</w:t>
      </w:r>
    </w:p>
    <w:p>
      <w:pPr>
        <w:rPr>
          <w:rFonts w:cs="Times New Roman"/>
          <w:color w:val="auto"/>
          <w:highlight w:val="none"/>
        </w:rPr>
      </w:pPr>
      <w:r>
        <w:rPr>
          <w:rFonts w:cs="Times New Roman"/>
          <w:b/>
          <w:bCs/>
          <w:color w:val="auto"/>
          <w:szCs w:val="32"/>
          <w:highlight w:val="none"/>
        </w:rPr>
        <w:t>1　</w:t>
      </w:r>
      <w:r>
        <w:rPr>
          <w:rFonts w:cs="Times New Roman"/>
          <w:color w:val="auto"/>
          <w:highlight w:val="none"/>
        </w:rPr>
        <w:t>检查设备的技术状况；</w:t>
      </w:r>
    </w:p>
    <w:p>
      <w:pPr>
        <w:rPr>
          <w:rFonts w:cs="Times New Roman"/>
          <w:color w:val="auto"/>
          <w:highlight w:val="none"/>
        </w:rPr>
      </w:pPr>
      <w:r>
        <w:rPr>
          <w:rFonts w:cs="Times New Roman"/>
          <w:b/>
          <w:bCs/>
          <w:color w:val="auto"/>
          <w:szCs w:val="32"/>
          <w:highlight w:val="none"/>
        </w:rPr>
        <w:t>2　</w:t>
      </w:r>
      <w:r>
        <w:rPr>
          <w:rFonts w:cs="Times New Roman"/>
          <w:color w:val="auto"/>
          <w:highlight w:val="none"/>
        </w:rPr>
        <w:t>记录工程名称、套筒所在构件编号、套筒具体位置、检测人员信息等。</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5.3.2　</w:t>
      </w:r>
      <w:r>
        <w:rPr>
          <w:rFonts w:cs="Times New Roman"/>
          <w:color w:val="auto"/>
          <w:highlight w:val="none"/>
        </w:rPr>
        <w:t>阻尼传感器法检测套筒灌浆饱满度应符合下列规定：</w:t>
      </w:r>
    </w:p>
    <w:p>
      <w:pPr>
        <w:rPr>
          <w:rFonts w:cs="Times New Roman"/>
          <w:color w:val="auto"/>
          <w:highlight w:val="none"/>
        </w:rPr>
      </w:pPr>
      <w:r>
        <w:rPr>
          <w:rFonts w:cs="Times New Roman"/>
          <w:b/>
          <w:bCs/>
          <w:color w:val="auto"/>
          <w:szCs w:val="32"/>
          <w:highlight w:val="none"/>
        </w:rPr>
        <w:t>1　</w:t>
      </w:r>
      <w:r>
        <w:rPr>
          <w:rFonts w:cs="Times New Roman"/>
          <w:color w:val="auto"/>
          <w:highlight w:val="none"/>
        </w:rPr>
        <w:t>传感器应设置于套筒的出浆口，传感器线缆应与钢筋连接方向保持垂直；端头核心元件应伸至套筒内靠近出浆口一侧的钢筋表面位置；</w:t>
      </w:r>
    </w:p>
    <w:p>
      <w:pPr>
        <w:rPr>
          <w:rFonts w:cs="Times New Roman"/>
          <w:color w:val="auto"/>
          <w:highlight w:val="none"/>
        </w:rPr>
      </w:pPr>
      <w:r>
        <w:rPr>
          <w:rFonts w:cs="Times New Roman"/>
          <w:b/>
          <w:bCs/>
          <w:color w:val="auto"/>
          <w:szCs w:val="32"/>
          <w:highlight w:val="none"/>
        </w:rPr>
        <w:t>2　</w:t>
      </w:r>
      <w:r>
        <w:rPr>
          <w:rFonts w:cs="Times New Roman"/>
          <w:color w:val="auto"/>
          <w:highlight w:val="none"/>
        </w:rPr>
        <w:t>传感器就位时，正面应朝向侧边，橡胶塞排气孔应朝向正上方；</w:t>
      </w:r>
    </w:p>
    <w:p>
      <w:pPr>
        <w:rPr>
          <w:rFonts w:cs="Times New Roman"/>
          <w:color w:val="auto"/>
          <w:highlight w:val="none"/>
        </w:rPr>
      </w:pPr>
      <w:r>
        <w:rPr>
          <w:rFonts w:cs="Times New Roman"/>
          <w:b/>
          <w:bCs/>
          <w:color w:val="auto"/>
          <w:szCs w:val="32"/>
          <w:highlight w:val="none"/>
        </w:rPr>
        <w:t>3　</w:t>
      </w:r>
      <w:r>
        <w:rPr>
          <w:rFonts w:cs="Times New Roman"/>
          <w:color w:val="auto"/>
          <w:highlight w:val="none"/>
        </w:rPr>
        <w:t>橡胶塞应紧固到位；</w:t>
      </w:r>
    </w:p>
    <w:p>
      <w:pPr>
        <w:rPr>
          <w:rFonts w:cs="Times New Roman"/>
          <w:color w:val="auto"/>
          <w:highlight w:val="none"/>
        </w:rPr>
      </w:pPr>
      <w:r>
        <w:rPr>
          <w:rFonts w:cs="Times New Roman"/>
          <w:b/>
          <w:bCs/>
          <w:color w:val="auto"/>
          <w:szCs w:val="32"/>
          <w:highlight w:val="none"/>
        </w:rPr>
        <w:t>4　</w:t>
      </w:r>
      <w:r>
        <w:rPr>
          <w:rFonts w:cs="Times New Roman"/>
          <w:color w:val="auto"/>
          <w:highlight w:val="none"/>
        </w:rPr>
        <w:t>橡胶塞排气孔应畅通，灌满时浆体能够从排气孔流出并应用细木棒</w:t>
      </w:r>
      <w:r>
        <w:rPr>
          <w:rFonts w:cs="Times New Roman" w:hint="eastAsia"/>
          <w:color w:val="auto"/>
          <w:highlight w:val="none"/>
        </w:rPr>
        <w:t>或</w:t>
      </w:r>
      <w:r>
        <w:rPr>
          <w:rFonts w:cs="Times New Roman"/>
          <w:color w:val="auto"/>
          <w:highlight w:val="none"/>
        </w:rPr>
        <w:t>橡胶塞封堵。当出浆口采用L型弯管连接时，</w:t>
      </w:r>
      <w:r>
        <w:rPr>
          <w:rFonts w:cs="Times New Roman" w:hint="eastAsia"/>
          <w:color w:val="auto"/>
          <w:highlight w:val="none"/>
        </w:rPr>
        <w:t>可不</w:t>
      </w:r>
      <w:r>
        <w:rPr>
          <w:rFonts w:cs="Times New Roman"/>
          <w:color w:val="auto"/>
          <w:highlight w:val="none"/>
        </w:rPr>
        <w:t>设置橡胶塞，应将阻尼传感器与弯管配套设计；</w:t>
      </w:r>
    </w:p>
    <w:p>
      <w:pPr>
        <w:rPr>
          <w:rFonts w:cs="Times New Roman"/>
          <w:color w:val="auto"/>
          <w:highlight w:val="none"/>
        </w:rPr>
      </w:pPr>
      <w:r>
        <w:rPr>
          <w:rFonts w:cs="Times New Roman"/>
          <w:b/>
          <w:bCs/>
          <w:color w:val="auto"/>
          <w:szCs w:val="32"/>
          <w:highlight w:val="none"/>
        </w:rPr>
        <w:t>5　</w:t>
      </w:r>
      <w:r>
        <w:rPr>
          <w:rFonts w:cs="Times New Roman"/>
          <w:color w:val="auto"/>
          <w:highlight w:val="none"/>
        </w:rPr>
        <w:t>灌浆前，</w:t>
      </w:r>
      <w:r>
        <w:rPr>
          <w:rFonts w:cs="Times New Roman" w:hint="eastAsia"/>
          <w:color w:val="auto"/>
          <w:highlight w:val="none"/>
        </w:rPr>
        <w:t>应</w:t>
      </w:r>
      <w:r>
        <w:rPr>
          <w:rFonts w:cs="Times New Roman"/>
          <w:color w:val="auto"/>
          <w:highlight w:val="none"/>
        </w:rPr>
        <w:t>将灌浆饱满度检测仪与传感器相连，并读取初读数；灌浆过程中，</w:t>
      </w:r>
      <w:r>
        <w:rPr>
          <w:rFonts w:cs="Times New Roman" w:hint="eastAsia"/>
          <w:color w:val="auto"/>
          <w:highlight w:val="none"/>
        </w:rPr>
        <w:t>应</w:t>
      </w:r>
      <w:r>
        <w:rPr>
          <w:rFonts w:cs="Times New Roman"/>
          <w:color w:val="auto"/>
          <w:highlight w:val="none"/>
        </w:rPr>
        <w:t>实时监测传感器的波形和振动能量值；</w:t>
      </w:r>
      <w:r>
        <w:rPr>
          <w:rFonts w:cs="Times New Roman" w:hint="eastAsia"/>
          <w:color w:val="auto"/>
          <w:highlight w:val="none"/>
        </w:rPr>
        <w:t>应待</w:t>
      </w:r>
      <w:r>
        <w:rPr>
          <w:rFonts w:cs="Times New Roman"/>
          <w:color w:val="auto"/>
          <w:highlight w:val="none"/>
        </w:rPr>
        <w:t>灌浆结束5min后，</w:t>
      </w:r>
      <w:r>
        <w:rPr>
          <w:rFonts w:cs="Times New Roman" w:hint="eastAsia"/>
          <w:color w:val="auto"/>
          <w:highlight w:val="none"/>
        </w:rPr>
        <w:t>再</w:t>
      </w:r>
      <w:r>
        <w:rPr>
          <w:rFonts w:cs="Times New Roman"/>
          <w:color w:val="auto"/>
          <w:highlight w:val="none"/>
        </w:rPr>
        <w:t>通过灌浆饱满度检测仪检测传感器的波形和振动能量值，并做记录。</w:t>
      </w:r>
    </w:p>
    <w:p>
      <w:pPr>
        <w:pStyle w:val="38"/>
        <w:ind w:firstLineChars="0" w:firstLine="0"/>
        <w:rPr>
          <w:rFonts w:cs="Times New Roman"/>
          <w:color w:val="auto"/>
          <w:highlight w:val="none"/>
        </w:rPr>
      </w:pPr>
      <w:r>
        <w:rPr>
          <w:rFonts w:eastAsia="仿宋" w:cs="Times New Roman" w:hint="eastAsia"/>
          <w:b/>
          <w:bCs/>
          <w:color w:val="auto"/>
          <w:shd w:val="pct10" w:color="auto" w:fill="FFFFFF"/>
          <w:lang w:val="en-US" w:eastAsia="zh-CN"/>
          <w:highlight w:val="none"/>
        </w:rPr>
        <w:t>条文说明</w:t>
      </w:r>
      <w:r>
        <w:rPr>
          <w:rFonts w:eastAsia="仿宋" w:cs="Times New Roman"/>
          <w:b/>
          <w:bCs/>
          <w:color w:val="auto"/>
          <w:szCs w:val="24"/>
          <w:shd w:val="pct10" w:color="auto" w:fill="FFFFFF"/>
          <w:highlight w:val="none"/>
        </w:rPr>
        <w:t>5.3.2　</w:t>
      </w:r>
      <w:r>
        <w:rPr>
          <w:rFonts w:eastAsia="仿宋" w:cs="Times New Roman"/>
          <w:color w:val="auto"/>
          <w:szCs w:val="24"/>
          <w:shd w:val="pct10" w:color="auto" w:fill="FFFFFF"/>
          <w:highlight w:val="none"/>
        </w:rPr>
        <w:t>为保证灌浆料浆体能够充分填充各类孔隙，从而达到充分稳定，要求必须在灌浆结束后5min进行检测。规定不要延后检测，一方面是为了确保检测不饱满时能及时得到补灌，另一方面则是因为预埋传感器法对于灌浆料凝固后的情形不适用，容易引起误判。另外，在灌浆过程中，也可以对预埋传感器的套筒实施连续监测。橡胶塞紧固到位，主要是为了保证排浆时不因灌浆压力而被冲出。</w:t>
      </w:r>
    </w:p>
    <w:p>
      <w:pPr>
        <w:pStyle w:val="3"/>
        <w:tabs>
          <w:tab w:val="left" w:pos="0"/>
          <w:tab w:val="left" w:pos="567"/>
          <w:tab w:val="left" w:pos="709"/>
          <w:tab w:val="left" w:pos="1560"/>
        </w:tabs>
        <w:rPr>
          <w:rFonts w:cs="Times New Roman"/>
          <w:color w:val="auto"/>
          <w:highlight w:val="none"/>
        </w:rPr>
      </w:pPr>
      <w:bookmarkStart w:id="154" w:name="_Toc29947"/>
      <w:r>
        <w:rPr>
          <w:rFonts w:cs="Times New Roman"/>
          <w:b/>
          <w:color w:val="auto"/>
          <w:highlight w:val="none"/>
        </w:rPr>
        <w:t>5.3.3　</w:t>
      </w:r>
      <w:r>
        <w:rPr>
          <w:rFonts w:cs="Times New Roman"/>
          <w:color w:val="auto"/>
          <w:highlight w:val="none"/>
        </w:rPr>
        <w:t>灌浆套筒抽检数量不宜少于</w:t>
      </w:r>
      <w:r>
        <w:rPr>
          <w:rFonts w:cs="Times New Roman" w:hint="eastAsia"/>
          <w:color w:val="auto"/>
          <w:highlight w:val="none"/>
        </w:rPr>
        <w:t>被测</w:t>
      </w:r>
      <w:r>
        <w:rPr>
          <w:rFonts w:cs="Times New Roman"/>
          <w:color w:val="auto"/>
          <w:highlight w:val="none"/>
        </w:rPr>
        <w:t>连接部位套筒数量的</w:t>
      </w:r>
      <w:r>
        <w:rPr>
          <w:rFonts w:cs="Times New Roman" w:hint="eastAsia"/>
          <w:color w:val="auto"/>
          <w:lang w:val="en-US" w:eastAsia="zh-CN"/>
          <w:highlight w:val="none"/>
        </w:rPr>
        <w:t>20</w:t>
      </w:r>
      <w:r>
        <w:rPr>
          <w:rFonts w:cs="Times New Roman"/>
          <w:color w:val="auto"/>
          <w:highlight w:val="none"/>
        </w:rPr>
        <w:t>%，</w:t>
      </w:r>
      <w:r>
        <w:rPr>
          <w:rFonts w:cs="Times New Roman" w:hint="eastAsia"/>
          <w:color w:val="auto"/>
          <w:highlight w:val="none"/>
        </w:rPr>
        <w:t>不宜少于 6 个，且</w:t>
      </w:r>
      <w:r>
        <w:rPr>
          <w:rFonts w:cs="Times New Roman"/>
          <w:color w:val="auto"/>
          <w:highlight w:val="none"/>
        </w:rPr>
        <w:t>抽样应具有代表性。</w:t>
      </w:r>
    </w:p>
    <w:p>
      <w:pPr>
        <w:pStyle w:val="38"/>
        <w:ind w:firstLineChars="0" w:firstLine="0"/>
        <w:rPr>
          <w:rFonts w:eastAsia="仿宋" w:cs="Times New Roman"/>
          <w:color w:val="auto"/>
          <w:szCs w:val="24"/>
          <w:shd w:val="pct10" w:color="auto" w:fill="FFFFFF"/>
          <w:highlight w:val="none"/>
        </w:rPr>
      </w:pPr>
      <w:r>
        <w:rPr>
          <w:rFonts w:eastAsia="仿宋" w:cs="Times New Roman" w:hint="eastAsia"/>
          <w:b/>
          <w:bCs/>
          <w:color w:val="auto"/>
          <w:shd w:val="pct10" w:color="auto" w:fill="FFFFFF"/>
          <w:lang w:val="en-US" w:eastAsia="zh-CN"/>
          <w:highlight w:val="none"/>
        </w:rPr>
        <w:t>条文说明</w:t>
      </w:r>
      <w:r>
        <w:rPr>
          <w:rFonts w:eastAsia="仿宋" w:cs="Times New Roman"/>
          <w:b/>
          <w:bCs/>
          <w:color w:val="auto"/>
          <w:szCs w:val="24"/>
          <w:shd w:val="pct10" w:color="auto" w:fill="FFFFFF"/>
          <w:highlight w:val="none"/>
        </w:rPr>
        <w:t>5.3.3　</w:t>
      </w:r>
      <w:r>
        <w:rPr>
          <w:rFonts w:eastAsia="仿宋" w:cs="Times New Roman"/>
          <w:color w:val="auto"/>
          <w:szCs w:val="24"/>
          <w:shd w:val="pct10" w:color="auto" w:fill="FFFFFF"/>
          <w:highlight w:val="none"/>
        </w:rPr>
        <w:t>协会标准《装配式混凝土结构套筒灌浆质量检测技术规程》T/CECS 683-2020规定，采用预埋阻尼传感器法的检测总数不宜少于灌浆套筒总数的10%，装配首层检测数量不宜少于该层灌浆套筒总数的20%。装配式桥梁套筒灌浆连接节点为重要传力部位，一旦出现问题将导致严重后果，故本标准将阻尼传感器法的抽检比例定为20%。</w:t>
      </w:r>
    </w:p>
    <w:p>
      <w:pPr>
        <w:rPr>
          <w:color w:val="auto"/>
          <w:highlight w:val="none"/>
        </w:rPr>
      </w:pP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5.3.4　</w:t>
      </w:r>
      <w:r>
        <w:rPr>
          <w:rFonts w:cs="Times New Roman"/>
          <w:color w:val="auto"/>
          <w:highlight w:val="none"/>
        </w:rPr>
        <w:t>阻尼传感器法检测宜按本标准附录B记录。</w:t>
      </w:r>
    </w:p>
    <w:p>
      <w:pPr>
        <w:pStyle w:val="2"/>
        <w:tabs>
          <w:tab w:val="left" w:pos="0"/>
        </w:tabs>
        <w:rPr>
          <w:rFonts w:ascii="Times New Roman" w:cs="Times New Roman" w:hAnsi="Times New Roman"/>
          <w:color w:val="auto"/>
          <w:highlight w:val="none"/>
        </w:rPr>
      </w:pPr>
      <w:bookmarkStart w:id="155" w:name="_Toc10242"/>
      <w:bookmarkStart w:id="156" w:name="_Toc10547"/>
      <w:bookmarkStart w:id="157" w:name="_Toc24496"/>
      <w:bookmarkStart w:id="158" w:name="_Toc437"/>
      <w:bookmarkStart w:id="159" w:name="_Toc14117"/>
      <w:bookmarkStart w:id="160" w:name="_Toc26676"/>
      <w:r>
        <w:rPr>
          <w:rFonts w:ascii="Times New Roman" w:cs="Times New Roman" w:hAnsi="Times New Roman"/>
          <w:color w:val="auto"/>
          <w:highlight w:val="none"/>
        </w:rPr>
        <w:t>5.4　评定</w:t>
      </w:r>
      <w:bookmarkEnd w:id="154"/>
      <w:bookmarkEnd w:id="155"/>
      <w:bookmarkEnd w:id="156"/>
      <w:bookmarkEnd w:id="157"/>
      <w:bookmarkEnd w:id="158"/>
      <w:bookmarkEnd w:id="159"/>
      <w:bookmarkEnd w:id="160"/>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5.4.1　</w:t>
      </w:r>
      <w:r>
        <w:rPr>
          <w:rFonts w:cs="Times New Roman"/>
          <w:color w:val="auto"/>
          <w:highlight w:val="none"/>
        </w:rPr>
        <w:t>套筒灌浆饱满度应根据灌浆饱满度检测仪输出的波形（图5.4.1）和振动能量值进行评定，灌浆饱满判断的阈值宜根据平行试件模拟漏浆后测得的能量值确定。</w:t>
      </w:r>
    </w:p>
    <w:p>
      <w:pPr>
        <w:ind w:firstLineChars="0" w:firstLine="0"/>
        <w:contextualSpacing/>
        <w:jc w:val="center"/>
        <w:rPr>
          <w:rFonts w:eastAsia="宋体" w:cs="Times New Roman"/>
          <w:color w:val="auto"/>
          <w:szCs w:val="24"/>
          <w:highlight w:val="none"/>
        </w:rPr>
      </w:pPr>
      <w:r>
        <w:rPr>
          <w:rFonts w:eastAsia="宋体" w:cs="Times New Roman"/>
          <w:color w:val="auto"/>
          <w:szCs w:val="24"/>
          <w:highlight w:val="none"/>
        </w:rPr>
        <w:drawing>
          <wp:inline distT="0" distB="0" distL="114300" distR="114300">
            <wp:extent cx="2520315" cy="1805304"/>
            <wp:effectExtent l="0" t="0" r="1" b="0"/>
            <wp:docPr id="688168607" name="图片 688168607" descr="图片1(1)"/>
            <wp:cNvGraphicFramePr>
              <a:graphicFrameLocks noChangeAspect="1"/>
            </wp:cNvGraphicFramePr>
            <a:graphic>
              <a:graphicData uri="http://schemas.openxmlformats.org/drawingml/2006/picture">
                <pic:pic>
                  <pic:nvPicPr>
                    <pic:cNvPr id="70" name="图片 70"/>
                    <pic:cNvPicPr/>
                  </pic:nvPicPr>
                  <pic:blipFill>
                    <a:blip r:embed="rId61"/>
                    <a:stretch>
                      <a:fillRect/>
                    </a:stretch>
                  </pic:blipFill>
                  <pic:spPr>
                    <a:xfrm rot="0">
                      <a:off x="0" y="0"/>
                      <a:ext cx="2520315" cy="1805304"/>
                    </a:xfrm>
                    <a:prstGeom prst="rect"/>
                    <a:noFill/>
                    <a:ln w="9525" cmpd="sng" cap="flat">
                      <a:noFill/>
                      <a:prstDash val="solid"/>
                      <a:miter/>
                    </a:ln>
                  </pic:spPr>
                </pic:pic>
              </a:graphicData>
            </a:graphic>
          </wp:inline>
        </w:drawing>
      </w:r>
    </w:p>
    <w:p>
      <w:pPr>
        <w:ind w:firstLineChars="0" w:firstLine="0"/>
        <w:contextualSpacing/>
        <w:jc w:val="center"/>
        <w:rPr>
          <w:rFonts w:eastAsia="宋体" w:cs="Times New Roman"/>
          <w:bCs/>
          <w:color w:val="auto"/>
          <w:sz w:val="21"/>
          <w:szCs w:val="21"/>
          <w:highlight w:val="none"/>
        </w:rPr>
      </w:pPr>
      <w:r>
        <w:rPr>
          <w:rFonts w:eastAsia="宋体" w:cs="Times New Roman"/>
          <w:bCs/>
          <w:color w:val="auto"/>
          <w:sz w:val="21"/>
          <w:szCs w:val="21"/>
          <w:highlight w:val="none"/>
        </w:rPr>
        <w:t>（a）灌浆不饱满情况</w:t>
      </w:r>
    </w:p>
    <w:p>
      <w:pPr>
        <w:ind w:firstLineChars="0" w:firstLine="0"/>
        <w:contextualSpacing/>
        <w:jc w:val="center"/>
        <w:rPr>
          <w:rFonts w:eastAsia="宋体" w:cs="Times New Roman"/>
          <w:color w:val="auto"/>
          <w:szCs w:val="24"/>
          <w:highlight w:val="none"/>
        </w:rPr>
      </w:pPr>
      <w:r>
        <w:rPr>
          <w:color w:val="auto"/>
          <w:highlight w:val="none"/>
        </w:rPr>
        <w:drawing>
          <wp:inline distT="0" distB="0" distL="114300" distR="114300">
            <wp:extent cx="2578100" cy="1800225"/>
            <wp:effectExtent l="0" t="0" r="0" b="0"/>
            <wp:docPr id="688168608" name="图片 45"/>
            <wp:cNvGraphicFramePr>
              <a:graphicFrameLocks noChangeAspect="1"/>
            </wp:cNvGraphicFramePr>
            <a:graphic>
              <a:graphicData uri="http://schemas.openxmlformats.org/drawingml/2006/picture">
                <pic:pic>
                  <pic:nvPicPr>
                    <pic:cNvPr id="72" name="图片 45 72"/>
                    <pic:cNvPicPr/>
                  </pic:nvPicPr>
                  <pic:blipFill>
                    <a:blip r:embed="rId62"/>
                    <a:stretch>
                      <a:fillRect/>
                    </a:stretch>
                  </pic:blipFill>
                  <pic:spPr>
                    <a:xfrm rot="0">
                      <a:off x="0" y="0"/>
                      <a:ext cx="2578100" cy="1800225"/>
                    </a:xfrm>
                    <a:prstGeom prst="rect"/>
                    <a:noFill/>
                    <a:ln cmpd="sng" cap="flat">
                      <a:noFill/>
                      <a:prstDash val="solid"/>
                      <a:round/>
                    </a:ln>
                  </pic:spPr>
                </pic:pic>
              </a:graphicData>
            </a:graphic>
          </wp:inline>
        </w:drawing>
      </w:r>
    </w:p>
    <w:p>
      <w:pPr>
        <w:ind w:firstLineChars="0" w:firstLine="0"/>
        <w:contextualSpacing/>
        <w:jc w:val="center"/>
        <w:rPr>
          <w:rFonts w:eastAsia="宋体" w:cs="Times New Roman"/>
          <w:bCs/>
          <w:color w:val="auto"/>
          <w:sz w:val="21"/>
          <w:szCs w:val="21"/>
          <w:highlight w:val="none"/>
        </w:rPr>
      </w:pPr>
      <w:r>
        <w:rPr>
          <w:rFonts w:eastAsia="宋体" w:cs="Times New Roman"/>
          <w:bCs/>
          <w:color w:val="auto"/>
          <w:sz w:val="21"/>
          <w:szCs w:val="21"/>
          <w:highlight w:val="none"/>
        </w:rPr>
        <w:t>（b）灌浆饱满情况</w:t>
      </w:r>
    </w:p>
    <w:p>
      <w:pPr>
        <w:snapToGrid w:val="0"/>
        <w:spacing w:beforeLines="50" w:before="156" w:line="300" w:lineRule="auto"/>
        <w:ind w:firstLineChars="0" w:firstLine="0"/>
        <w:jc w:val="center"/>
        <w:rPr>
          <w:rStyle w:val="125"/>
          <w:rFonts w:cs="Times New Roman"/>
          <w:color w:val="auto"/>
          <w:sz w:val="24"/>
          <w:szCs w:val="24"/>
          <w:highlight w:val="none"/>
        </w:rPr>
      </w:pPr>
      <w:r>
        <w:rPr>
          <w:rStyle w:val="125"/>
          <w:rFonts w:cs="Times New Roman"/>
          <w:color w:val="auto"/>
          <w:sz w:val="24"/>
          <w:szCs w:val="24"/>
          <w:highlight w:val="none"/>
        </w:rPr>
        <w:t>图5.4.1　灌浆饱满度检测仪输出波形和振动能量</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5.4.2　</w:t>
      </w:r>
      <w:r>
        <w:rPr>
          <w:rFonts w:cs="Times New Roman"/>
          <w:color w:val="auto"/>
          <w:highlight w:val="none"/>
        </w:rPr>
        <w:t>套筒灌浆饱满度等级评定应按表5.4.2</w:t>
      </w:r>
      <w:r>
        <w:rPr>
          <w:rFonts w:cs="Times New Roman" w:hint="eastAsia"/>
          <w:color w:val="auto"/>
          <w:highlight w:val="none"/>
        </w:rPr>
        <w:t>的规定</w:t>
      </w:r>
      <w:r>
        <w:rPr>
          <w:rFonts w:cs="Times New Roman"/>
          <w:color w:val="auto"/>
          <w:highlight w:val="none"/>
        </w:rPr>
        <w:t>进行。</w:t>
      </w:r>
    </w:p>
    <w:p>
      <w:pPr>
        <w:snapToGrid w:val="0"/>
        <w:spacing w:beforeLines="50" w:before="156" w:line="300" w:lineRule="auto"/>
        <w:ind w:firstLineChars="0" w:firstLine="0"/>
        <w:jc w:val="center"/>
        <w:rPr>
          <w:rStyle w:val="125"/>
          <w:rFonts w:cs="Times New Roman"/>
          <w:color w:val="auto"/>
          <w:highlight w:val="none"/>
        </w:rPr>
      </w:pPr>
      <w:r>
        <w:rPr>
          <w:rStyle w:val="125"/>
          <w:rFonts w:cs="Times New Roman"/>
          <w:color w:val="auto"/>
          <w:highlight w:val="none"/>
        </w:rPr>
        <w:t>表5.4.2　套筒灌浆饱满度等级评定标准</w:t>
      </w:r>
    </w:p>
    <w:tbl>
      <w:tblPr>
        <w:jc w:val="center"/>
        <w:tblW w:w="31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600" w:firstRow="0" w:lastRow="0" w:firstColumn="0" w:lastColumn="0" w:noHBand="1" w:noVBand="1"/>
      </w:tblPr>
      <w:tblGrid>
        <w:gridCol w:w="2419"/>
        <w:gridCol w:w="1864"/>
        <w:gridCol w:w="1427"/>
      </w:tblGrid>
      <w:tr>
        <w:tc>
          <w:tcPr>
            <w:tcW w:w="2118" w:type="pct"/>
            <w:tcBorders>
              <w:top w:val="single" w:sz="12" w:space="0" w:color="auto"/>
              <w:left w:val="single" w:sz="12" w:space="0" w:color="auto"/>
              <w:bottom w:val="single" w:sz="4" w:space="0" w:color="auto"/>
              <w:right w:val="single" w:sz="4" w:space="0" w:color="auto"/>
            </w:tcBorders>
          </w:tcPr>
          <w:p>
            <w:pPr>
              <w:pStyle w:val="38"/>
              <w:spacing w:after="0"/>
              <w:ind w:firstLineChars="0" w:firstLine="0"/>
              <w:jc w:val="center"/>
              <w:rPr>
                <w:rFonts w:cs="Times New Roman"/>
                <w:b/>
                <w:bCs/>
                <w:color w:val="auto"/>
                <w:sz w:val="21"/>
                <w:szCs w:val="21"/>
                <w:highlight w:val="none"/>
              </w:rPr>
            </w:pPr>
            <w:r>
              <w:rPr>
                <w:rFonts w:cs="Times New Roman"/>
                <w:b/>
                <w:bCs/>
                <w:color w:val="auto"/>
                <w:sz w:val="21"/>
                <w:szCs w:val="21"/>
                <w:highlight w:val="none"/>
              </w:rPr>
              <w:t>传感器振动能量值</w:t>
            </w:r>
          </w:p>
        </w:tc>
        <w:tc>
          <w:tcPr>
            <w:tcW w:w="1632" w:type="pct"/>
            <w:tcBorders>
              <w:top w:val="single" w:sz="12" w:space="0" w:color="auto"/>
              <w:left w:val="single" w:sz="4" w:space="0" w:color="auto"/>
              <w:bottom w:val="single" w:sz="4" w:space="0" w:color="auto"/>
              <w:right w:val="single" w:sz="4" w:space="0" w:color="auto"/>
            </w:tcBorders>
          </w:tcPr>
          <w:p>
            <w:pPr>
              <w:pStyle w:val="38"/>
              <w:spacing w:after="0"/>
              <w:ind w:firstLineChars="0" w:firstLine="0"/>
              <w:jc w:val="center"/>
              <w:rPr>
                <w:rFonts w:cs="Times New Roman"/>
                <w:b/>
                <w:bCs/>
                <w:color w:val="auto"/>
                <w:sz w:val="21"/>
                <w:szCs w:val="21"/>
                <w:highlight w:val="none"/>
              </w:rPr>
            </w:pPr>
            <w:r>
              <w:rPr>
                <w:rFonts w:cs="Times New Roman"/>
                <w:b/>
                <w:bCs/>
                <w:color w:val="auto"/>
                <w:sz w:val="21"/>
                <w:szCs w:val="21"/>
                <w:highlight w:val="none"/>
              </w:rPr>
              <w:t>饱满度描述</w:t>
            </w:r>
          </w:p>
        </w:tc>
        <w:tc>
          <w:tcPr>
            <w:tcW w:w="1249" w:type="pct"/>
            <w:tcBorders>
              <w:top w:val="single" w:sz="12" w:space="0" w:color="auto"/>
              <w:left w:val="single" w:sz="4" w:space="0" w:color="auto"/>
              <w:bottom w:val="single" w:sz="4" w:space="0" w:color="auto"/>
              <w:right w:val="single" w:sz="12" w:space="0" w:color="auto"/>
            </w:tcBorders>
          </w:tcPr>
          <w:p>
            <w:pPr>
              <w:pStyle w:val="38"/>
              <w:spacing w:after="0"/>
              <w:ind w:firstLineChars="0" w:firstLine="0"/>
              <w:jc w:val="center"/>
              <w:rPr>
                <w:rFonts w:cs="Times New Roman"/>
                <w:b/>
                <w:bCs/>
                <w:color w:val="auto"/>
                <w:sz w:val="21"/>
                <w:szCs w:val="21"/>
                <w:highlight w:val="none"/>
              </w:rPr>
            </w:pPr>
            <w:r>
              <w:rPr>
                <w:rFonts w:cs="Times New Roman"/>
                <w:b/>
                <w:bCs/>
                <w:color w:val="auto"/>
                <w:sz w:val="21"/>
                <w:szCs w:val="21"/>
                <w:highlight w:val="none"/>
              </w:rPr>
              <w:t>评定等级</w:t>
            </w:r>
          </w:p>
        </w:tc>
      </w:tr>
      <w:tr>
        <w:tc>
          <w:tcPr>
            <w:tcW w:w="2118" w:type="pct"/>
            <w:tcBorders>
              <w:top w:val="single" w:sz="4" w:space="0" w:color="auto"/>
              <w:left w:val="single" w:sz="12" w:space="0" w:color="auto"/>
              <w:bottom w:val="single" w:sz="4" w:space="0" w:color="auto"/>
              <w:right w:val="single" w:sz="4" w:space="0" w:color="auto"/>
            </w:tcBorders>
          </w:tcPr>
          <w:p>
            <w:pPr>
              <w:pStyle w:val="38"/>
              <w:spacing w:after="0"/>
              <w:ind w:firstLineChars="0" w:firstLine="0"/>
              <w:jc w:val="center"/>
              <w:rPr>
                <w:rFonts w:cs="Times New Roman"/>
                <w:color w:val="auto"/>
                <w:sz w:val="21"/>
                <w:szCs w:val="21"/>
                <w:highlight w:val="none"/>
              </w:rPr>
            </w:pPr>
            <w:r>
              <w:rPr>
                <w:rFonts w:cs="Times New Roman"/>
                <w:color w:val="auto"/>
                <w:sz w:val="21"/>
                <w:szCs w:val="21"/>
                <w:highlight w:val="none"/>
              </w:rPr>
              <w:t>[0，150]</w:t>
            </w:r>
          </w:p>
        </w:tc>
        <w:tc>
          <w:tcPr>
            <w:tcW w:w="1632" w:type="pct"/>
            <w:tcBorders>
              <w:top w:val="single" w:sz="4" w:space="0" w:color="auto"/>
              <w:left w:val="single" w:sz="4" w:space="0" w:color="auto"/>
              <w:bottom w:val="single" w:sz="4" w:space="0" w:color="auto"/>
              <w:right w:val="single" w:sz="4" w:space="0" w:color="auto"/>
            </w:tcBorders>
          </w:tcPr>
          <w:p>
            <w:pPr>
              <w:pStyle w:val="38"/>
              <w:spacing w:after="0"/>
              <w:ind w:firstLineChars="0" w:firstLine="0"/>
              <w:jc w:val="center"/>
              <w:rPr>
                <w:rFonts w:cs="Times New Roman"/>
                <w:color w:val="auto"/>
                <w:sz w:val="21"/>
                <w:szCs w:val="21"/>
                <w:highlight w:val="none"/>
              </w:rPr>
            </w:pPr>
            <w:r>
              <w:rPr>
                <w:rFonts w:cs="Times New Roman"/>
                <w:color w:val="auto"/>
                <w:sz w:val="21"/>
                <w:szCs w:val="21"/>
                <w:highlight w:val="none"/>
              </w:rPr>
              <w:t>灌浆饱满</w:t>
            </w:r>
          </w:p>
        </w:tc>
        <w:tc>
          <w:tcPr>
            <w:tcW w:w="1249" w:type="pct"/>
            <w:tcBorders>
              <w:top w:val="single" w:sz="4" w:space="0" w:color="auto"/>
              <w:left w:val="single" w:sz="4" w:space="0" w:color="auto"/>
              <w:bottom w:val="single" w:sz="4" w:space="0" w:color="auto"/>
              <w:right w:val="single" w:sz="12" w:space="0" w:color="auto"/>
            </w:tcBorders>
          </w:tcPr>
          <w:p>
            <w:pPr>
              <w:pStyle w:val="38"/>
              <w:spacing w:after="0"/>
              <w:ind w:firstLineChars="0" w:firstLine="0"/>
              <w:jc w:val="center"/>
              <w:rPr>
                <w:rFonts w:cs="Times New Roman"/>
                <w:color w:val="auto"/>
                <w:sz w:val="21"/>
                <w:szCs w:val="21"/>
                <w:highlight w:val="none"/>
              </w:rPr>
            </w:pPr>
            <w:r>
              <w:rPr>
                <w:rFonts w:cs="Times New Roman"/>
                <w:color w:val="auto"/>
                <w:sz w:val="21"/>
                <w:szCs w:val="21"/>
                <w:highlight w:val="none"/>
              </w:rPr>
              <w:t>I类</w:t>
            </w:r>
          </w:p>
        </w:tc>
      </w:tr>
      <w:tr>
        <w:tc>
          <w:tcPr>
            <w:tcW w:w="2118" w:type="pct"/>
            <w:tcBorders>
              <w:top w:val="single" w:sz="4" w:space="0" w:color="auto"/>
              <w:left w:val="single" w:sz="12" w:space="0" w:color="auto"/>
              <w:bottom w:val="single" w:sz="12" w:space="0" w:color="auto"/>
              <w:right w:val="single" w:sz="4" w:space="0" w:color="auto"/>
            </w:tcBorders>
          </w:tcPr>
          <w:p>
            <w:pPr>
              <w:pStyle w:val="38"/>
              <w:spacing w:after="0"/>
              <w:ind w:firstLineChars="0" w:firstLine="0"/>
              <w:jc w:val="center"/>
              <w:rPr>
                <w:rFonts w:cs="Times New Roman"/>
                <w:color w:val="auto"/>
                <w:sz w:val="21"/>
                <w:szCs w:val="21"/>
                <w:highlight w:val="none"/>
              </w:rPr>
            </w:pPr>
            <w:r>
              <w:rPr>
                <w:rFonts w:cs="Times New Roman"/>
                <w:color w:val="auto"/>
                <w:sz w:val="21"/>
                <w:szCs w:val="21"/>
                <w:highlight w:val="none"/>
              </w:rPr>
              <w:t>＞150</w:t>
            </w:r>
          </w:p>
        </w:tc>
        <w:tc>
          <w:tcPr>
            <w:tcW w:w="1632" w:type="pct"/>
            <w:tcBorders>
              <w:top w:val="single" w:sz="4" w:space="0" w:color="auto"/>
              <w:left w:val="single" w:sz="4" w:space="0" w:color="auto"/>
              <w:bottom w:val="single" w:sz="12" w:space="0" w:color="auto"/>
              <w:right w:val="single" w:sz="4" w:space="0" w:color="auto"/>
            </w:tcBorders>
          </w:tcPr>
          <w:p>
            <w:pPr>
              <w:pStyle w:val="38"/>
              <w:spacing w:after="0"/>
              <w:ind w:firstLineChars="0" w:firstLine="0"/>
              <w:jc w:val="center"/>
              <w:rPr>
                <w:rFonts w:cs="Times New Roman"/>
                <w:color w:val="auto"/>
                <w:sz w:val="21"/>
                <w:szCs w:val="21"/>
                <w:highlight w:val="none"/>
              </w:rPr>
            </w:pPr>
            <w:r>
              <w:rPr>
                <w:rFonts w:cs="Times New Roman"/>
                <w:color w:val="auto"/>
                <w:sz w:val="21"/>
                <w:szCs w:val="21"/>
                <w:highlight w:val="none"/>
              </w:rPr>
              <w:t>灌浆不饱满</w:t>
            </w:r>
          </w:p>
        </w:tc>
        <w:tc>
          <w:tcPr>
            <w:tcW w:w="1249" w:type="pct"/>
            <w:tcBorders>
              <w:top w:val="single" w:sz="4" w:space="0" w:color="auto"/>
              <w:left w:val="single" w:sz="4" w:space="0" w:color="auto"/>
              <w:bottom w:val="single" w:sz="12" w:space="0" w:color="auto"/>
              <w:right w:val="single" w:sz="12" w:space="0" w:color="auto"/>
            </w:tcBorders>
          </w:tcPr>
          <w:p>
            <w:pPr>
              <w:pStyle w:val="38"/>
              <w:spacing w:after="0"/>
              <w:ind w:firstLineChars="0" w:firstLine="0"/>
              <w:jc w:val="center"/>
              <w:rPr>
                <w:rFonts w:cs="Times New Roman"/>
                <w:color w:val="auto"/>
                <w:sz w:val="21"/>
                <w:szCs w:val="21"/>
                <w:highlight w:val="none"/>
              </w:rPr>
            </w:pPr>
            <w:r>
              <w:rPr>
                <w:rFonts w:cs="Times New Roman"/>
                <w:color w:val="auto"/>
                <w:sz w:val="21"/>
                <w:szCs w:val="21"/>
                <w:highlight w:val="none"/>
              </w:rPr>
              <w:t>II类</w:t>
            </w:r>
          </w:p>
        </w:tc>
      </w:tr>
    </w:tbl>
    <w:p>
      <w:pPr>
        <w:pStyle w:val="38"/>
        <w:ind w:firstLineChars="0" w:firstLine="0"/>
        <w:rPr>
          <w:rFonts w:eastAsia="仿宋" w:cs="Times New Roman"/>
          <w:color w:val="auto"/>
          <w:szCs w:val="24"/>
          <w:shd w:val="pct10" w:color="auto" w:fill="FFFFFF"/>
          <w:highlight w:val="none"/>
        </w:rPr>
      </w:pPr>
      <w:r>
        <w:rPr>
          <w:rFonts w:eastAsia="仿宋" w:cs="Times New Roman" w:hint="eastAsia"/>
          <w:b/>
          <w:bCs/>
          <w:color w:val="auto"/>
          <w:shd w:val="pct10" w:color="auto" w:fill="FFFFFF"/>
          <w:lang w:val="en-US" w:eastAsia="zh-CN"/>
          <w:highlight w:val="none"/>
        </w:rPr>
        <w:t>条文说明</w:t>
      </w:r>
      <w:r>
        <w:rPr>
          <w:rFonts w:eastAsia="仿宋" w:cs="Times New Roman"/>
          <w:b/>
          <w:bCs/>
          <w:color w:val="auto"/>
          <w:szCs w:val="24"/>
          <w:shd w:val="pct10" w:color="auto" w:fill="FFFFFF"/>
          <w:highlight w:val="none"/>
        </w:rPr>
        <w:t>5.4.2　</w:t>
      </w:r>
      <w:r>
        <w:rPr>
          <w:rFonts w:eastAsia="仿宋" w:cs="Times New Roman"/>
          <w:color w:val="auto"/>
          <w:szCs w:val="24"/>
          <w:shd w:val="pct10" w:color="auto" w:fill="FFFFFF"/>
          <w:highlight w:val="none"/>
        </w:rPr>
        <w:t>预埋传感器法检测结果的判定准则充分考虑了灌浆套筒内部的构造特征、钢筋的锚固要求等因素，此判定阈值的设置是经过大量实验室试验和工程实践验证而得出的</w:t>
      </w:r>
      <w:r>
        <w:rPr>
          <w:rFonts w:eastAsia="仿宋" w:cs="Times New Roman" w:hint="eastAsia"/>
          <w:color w:val="auto"/>
          <w:szCs w:val="24"/>
          <w:shd w:val="pct10" w:color="auto" w:fill="FFFFFF"/>
          <w:highlight w:val="none"/>
        </w:rPr>
        <w:t>，参考行业标准</w:t>
      </w:r>
      <w:r>
        <w:rPr>
          <w:rFonts w:eastAsia="仿宋" w:cs="Times New Roman" w:hint="eastAsia"/>
          <w:color w:val="auto"/>
          <w:szCs w:val="24"/>
          <w:shd w:val="pct10" w:color="auto" w:fill="FFFFFF"/>
          <w:lang w:eastAsia="zh-CN"/>
          <w:highlight w:val="none"/>
        </w:rPr>
        <w:t>《</w:t>
      </w:r>
      <w:r>
        <w:rPr>
          <w:rFonts w:eastAsia="仿宋" w:cs="Times New Roman" w:hint="eastAsia"/>
          <w:color w:val="auto"/>
          <w:szCs w:val="24"/>
          <w:shd w:val="pct10" w:color="auto" w:fill="FFFFFF"/>
          <w:highlight w:val="none"/>
        </w:rPr>
        <w:t>装配式住宅建筑检测技术标准</w:t>
      </w:r>
      <w:r>
        <w:rPr>
          <w:rFonts w:eastAsia="仿宋" w:cs="Times New Roman" w:hint="eastAsia"/>
          <w:color w:val="auto"/>
          <w:szCs w:val="24"/>
          <w:shd w:val="pct10" w:color="auto" w:fill="FFFFFF"/>
          <w:lang w:eastAsia="zh-CN"/>
          <w:highlight w:val="none"/>
        </w:rPr>
        <w:t>》</w:t>
      </w:r>
      <w:r>
        <w:rPr>
          <w:rFonts w:eastAsia="仿宋" w:cs="Times New Roman" w:hint="eastAsia"/>
          <w:color w:val="auto"/>
          <w:szCs w:val="24"/>
          <w:shd w:val="pct10" w:color="auto" w:fill="FFFFFF"/>
          <w:highlight w:val="none"/>
        </w:rPr>
        <w:t>JGJ/T 485的相关要求</w:t>
      </w:r>
      <w:r>
        <w:rPr>
          <w:rFonts w:eastAsia="仿宋" w:cs="Times New Roman"/>
          <w:color w:val="auto"/>
          <w:szCs w:val="24"/>
          <w:shd w:val="pct10" w:color="auto" w:fill="FFFFFF"/>
          <w:highlight w:val="none"/>
        </w:rPr>
        <w:t>。</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5.4.3　</w:t>
      </w:r>
      <w:r>
        <w:rPr>
          <w:rFonts w:cs="Times New Roman"/>
          <w:color w:val="auto"/>
          <w:highlight w:val="none"/>
        </w:rPr>
        <w:t>对于评定为灌浆不饱满的套筒，应进行补灌，并应符合下列规定：</w:t>
      </w:r>
    </w:p>
    <w:p>
      <w:pPr>
        <w:rPr>
          <w:rFonts w:cs="Times New Roman"/>
          <w:color w:val="auto"/>
          <w:highlight w:val="none"/>
        </w:rPr>
      </w:pPr>
      <w:r>
        <w:rPr>
          <w:rFonts w:cs="Times New Roman"/>
          <w:b/>
          <w:bCs/>
          <w:color w:val="auto"/>
          <w:szCs w:val="32"/>
          <w:highlight w:val="none"/>
        </w:rPr>
        <w:t>1　</w:t>
      </w:r>
      <w:r>
        <w:rPr>
          <w:rFonts w:cs="Times New Roman"/>
          <w:color w:val="auto"/>
          <w:highlight w:val="none"/>
        </w:rPr>
        <w:t>补灌时，可从不饱满套筒的灌浆口进行补灌；</w:t>
      </w:r>
    </w:p>
    <w:p>
      <w:pPr>
        <w:rPr>
          <w:rFonts w:cs="Times New Roman"/>
          <w:color w:val="auto"/>
          <w:highlight w:val="none"/>
        </w:rPr>
      </w:pPr>
      <w:r>
        <w:rPr>
          <w:rFonts w:cs="Times New Roman"/>
          <w:b/>
          <w:bCs/>
          <w:color w:val="auto"/>
          <w:szCs w:val="32"/>
          <w:highlight w:val="none"/>
        </w:rPr>
        <w:t>2　</w:t>
      </w:r>
      <w:r>
        <w:rPr>
          <w:rFonts w:cs="Times New Roman"/>
          <w:color w:val="auto"/>
          <w:highlight w:val="none"/>
        </w:rPr>
        <w:t>补灌后应对灌浆饱满度进行复测，直至灌浆饱满</w:t>
      </w:r>
      <w:r>
        <w:rPr>
          <w:rFonts w:cs="Times New Roman" w:hint="eastAsia"/>
          <w:color w:val="auto"/>
          <w:highlight w:val="none"/>
        </w:rPr>
        <w:t>，并应</w:t>
      </w:r>
      <w:r>
        <w:rPr>
          <w:rFonts w:cs="Times New Roman"/>
          <w:color w:val="auto"/>
          <w:highlight w:val="none"/>
        </w:rPr>
        <w:t>在记录表备注栏中做复测记录</w:t>
      </w:r>
      <w:r>
        <w:rPr>
          <w:rFonts w:cs="Times New Roman" w:hint="eastAsia"/>
          <w:color w:val="auto"/>
          <w:highlight w:val="none"/>
        </w:rPr>
        <w:t>；</w:t>
      </w:r>
    </w:p>
    <w:p>
      <w:pPr>
        <w:ind w:firstLineChars="0" w:firstLine="0"/>
        <w:rPr>
          <w:rFonts w:cs="Times New Roman"/>
          <w:b/>
          <w:color w:val="auto"/>
          <w:highlight w:val="none"/>
        </w:rPr>
      </w:pPr>
      <w:r>
        <w:rPr>
          <w:rFonts w:eastAsia="仿宋" w:cs="Times New Roman" w:hint="eastAsia"/>
          <w:b/>
          <w:bCs/>
          <w:color w:val="auto"/>
          <w:shd w:val="pct10" w:color="auto" w:fill="FFFFFF"/>
          <w:lang w:val="en-US" w:eastAsia="zh-CN"/>
          <w:highlight w:val="none"/>
        </w:rPr>
        <w:t>条文说明</w:t>
      </w:r>
      <w:r>
        <w:rPr>
          <w:rFonts w:eastAsia="仿宋" w:cs="Times New Roman"/>
          <w:b/>
          <w:color w:val="auto"/>
          <w:szCs w:val="24"/>
          <w:shd w:val="pct10" w:color="auto" w:fill="FFFFFF"/>
          <w:highlight w:val="none"/>
        </w:rPr>
        <w:t>5.4.3　</w:t>
      </w:r>
      <w:r>
        <w:rPr>
          <w:rFonts w:eastAsia="仿宋" w:cs="Times New Roman"/>
          <w:bCs/>
          <w:color w:val="auto"/>
          <w:szCs w:val="24"/>
          <w:shd w:val="pct10" w:color="auto" w:fill="FFFFFF"/>
          <w:highlight w:val="none"/>
        </w:rPr>
        <w:t>对于评定为灌浆不饱满的套筒，进行补灌，主要是为了实现套筒灌浆施工过程中的质量控制。</w:t>
      </w:r>
    </w:p>
    <w:p>
      <w:pPr>
        <w:rPr>
          <w:rFonts w:cs="Times New Roman"/>
          <w:color w:val="auto"/>
          <w:highlight w:val="none"/>
        </w:rPr>
      </w:pPr>
    </w:p>
    <w:p>
      <w:pPr>
        <w:widowControl/>
        <w:spacing w:line="240" w:lineRule="auto"/>
        <w:ind w:firstLineChars="0" w:firstLine="0"/>
        <w:jc w:val="left"/>
        <w:textAlignment w:val="auto"/>
        <w:rPr>
          <w:rFonts w:eastAsia="仿宋" w:cs="Times New Roman"/>
          <w:b/>
          <w:color w:val="auto"/>
          <w:szCs w:val="24"/>
          <w:shd w:val="clear" w:color="FFFFFF" w:fill="D9D9D9"/>
          <w:highlight w:val="none"/>
        </w:rPr>
      </w:pPr>
      <w:bookmarkStart w:id="161" w:name="_Toc28198"/>
      <w:bookmarkStart w:id="162" w:name="_Toc2655"/>
      <w:bookmarkStart w:id="163" w:name="_Toc10836"/>
      <w:r>
        <w:rPr>
          <w:rFonts w:eastAsia="仿宋" w:cs="Times New Roman"/>
          <w:b/>
          <w:color w:val="auto"/>
          <w:szCs w:val="24"/>
          <w:shd w:val="clear" w:color="FFFFFF" w:fill="D9D9D9"/>
          <w:highlight w:val="none"/>
        </w:rPr>
        <w:br w:type="page"/>
      </w:r>
    </w:p>
    <w:p>
      <w:pPr>
        <w:pStyle w:val="1"/>
        <w:ind w:rightChars="0" w:right="0" w:firstLineChars="0" w:firstLine="0"/>
        <w:rPr>
          <w:rFonts w:cs="Times New Roman"/>
          <w:color w:val="auto"/>
          <w:highlight w:val="none"/>
        </w:rPr>
      </w:pPr>
      <w:bookmarkStart w:id="164" w:name="_Toc12204"/>
      <w:bookmarkStart w:id="165" w:name="_Toc13804"/>
      <w:r>
        <w:rPr>
          <w:rFonts w:cs="Times New Roman"/>
          <w:color w:val="auto"/>
          <w:highlight w:val="none"/>
        </w:rPr>
        <w:t>6　芯片法</w:t>
      </w:r>
      <w:bookmarkEnd w:id="161"/>
      <w:bookmarkEnd w:id="162"/>
      <w:bookmarkEnd w:id="163"/>
      <w:bookmarkEnd w:id="164"/>
      <w:bookmarkEnd w:id="165"/>
    </w:p>
    <w:p>
      <w:pPr>
        <w:pStyle w:val="2"/>
        <w:tabs>
          <w:tab w:val="left" w:pos="0"/>
        </w:tabs>
        <w:rPr>
          <w:rFonts w:ascii="Times New Roman" w:cs="Times New Roman" w:hAnsi="Times New Roman"/>
          <w:color w:val="auto"/>
          <w:highlight w:val="none"/>
        </w:rPr>
      </w:pPr>
      <w:bookmarkStart w:id="166" w:name="_Toc11857"/>
      <w:bookmarkStart w:id="167" w:name="_Toc25574"/>
      <w:bookmarkStart w:id="168" w:name="_Toc27027"/>
      <w:bookmarkStart w:id="169" w:name="_Toc13198"/>
      <w:bookmarkStart w:id="170" w:name="_Toc12793"/>
      <w:bookmarkStart w:id="171" w:name="_Toc7506"/>
      <w:r>
        <w:rPr>
          <w:rFonts w:ascii="Times New Roman" w:cs="Times New Roman" w:hAnsi="Times New Roman"/>
          <w:color w:val="auto"/>
          <w:highlight w:val="none"/>
        </w:rPr>
        <w:t>6.1　一般规定</w:t>
      </w:r>
      <w:bookmarkEnd w:id="166"/>
      <w:bookmarkEnd w:id="167"/>
      <w:bookmarkEnd w:id="168"/>
      <w:bookmarkEnd w:id="169"/>
      <w:bookmarkEnd w:id="170"/>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6.1.1　</w:t>
      </w:r>
      <w:r>
        <w:rPr>
          <w:rFonts w:cs="Times New Roman"/>
          <w:color w:val="auto"/>
          <w:highlight w:val="none"/>
        </w:rPr>
        <w:t>芯片法适用于施工阶段检测套筒灌浆饱满度。</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6.1.2　</w:t>
      </w:r>
      <w:r>
        <w:rPr>
          <w:rFonts w:cs="Times New Roman"/>
          <w:color w:val="auto"/>
          <w:highlight w:val="none"/>
        </w:rPr>
        <w:t>检测结果存在疑义时，可采用钻孔内窥镜法进行验证。</w:t>
      </w:r>
    </w:p>
    <w:p>
      <w:pPr>
        <w:pStyle w:val="2"/>
        <w:tabs>
          <w:tab w:val="left" w:pos="0"/>
        </w:tabs>
        <w:rPr>
          <w:rFonts w:ascii="Times New Roman" w:cs="Times New Roman" w:hAnsi="Times New Roman"/>
          <w:color w:val="auto"/>
          <w:highlight w:val="none"/>
        </w:rPr>
      </w:pPr>
      <w:bookmarkStart w:id="172" w:name="_Toc19728"/>
      <w:bookmarkStart w:id="173" w:name="_Toc12573"/>
      <w:bookmarkStart w:id="174" w:name="_Toc5388"/>
      <w:bookmarkStart w:id="175" w:name="_Toc4475"/>
      <w:bookmarkStart w:id="176" w:name="_Toc14116"/>
      <w:r>
        <w:rPr>
          <w:rFonts w:ascii="Times New Roman" w:cs="Times New Roman" w:hAnsi="Times New Roman"/>
          <w:color w:val="auto"/>
          <w:highlight w:val="none"/>
        </w:rPr>
        <w:t>6.2　检测设备</w:t>
      </w:r>
      <w:bookmarkEnd w:id="172"/>
      <w:bookmarkEnd w:id="173"/>
      <w:bookmarkEnd w:id="174"/>
      <w:bookmarkEnd w:id="175"/>
      <w:bookmarkEnd w:id="176"/>
    </w:p>
    <w:p>
      <w:pPr>
        <w:pStyle w:val="3"/>
        <w:tabs>
          <w:tab w:val="left" w:pos="0"/>
          <w:tab w:val="left" w:pos="567"/>
          <w:tab w:val="left" w:pos="709"/>
          <w:tab w:val="left" w:pos="1560"/>
        </w:tabs>
        <w:rPr>
          <w:rFonts w:cs="Times New Roman"/>
          <w:color w:val="auto"/>
          <w:spacing w:val="-5"/>
          <w:highlight w:val="none"/>
        </w:rPr>
      </w:pPr>
      <w:r>
        <w:rPr>
          <w:rFonts w:cs="Times New Roman"/>
          <w:b/>
          <w:color w:val="auto"/>
          <w:highlight w:val="none"/>
        </w:rPr>
        <w:t>6.2.1　</w:t>
      </w:r>
      <w:r>
        <w:rPr>
          <w:rFonts w:cs="Times New Roman"/>
          <w:color w:val="auto"/>
          <w:highlight w:val="none"/>
        </w:rPr>
        <w:t>芯片法检测设备应包括封装芯片和</w:t>
      </w:r>
      <w:r>
        <w:rPr>
          <w:rFonts w:cs="Times New Roman"/>
          <w:color w:val="auto"/>
          <w:spacing w:val="-2"/>
          <w:highlight w:val="none"/>
        </w:rPr>
        <w:t>芯片检测仪</w:t>
      </w:r>
      <w:r>
        <w:rPr>
          <w:rFonts w:cs="Times New Roman"/>
          <w:color w:val="auto"/>
          <w:spacing w:val="-5"/>
          <w:highlight w:val="none"/>
        </w:rPr>
        <w:t>。</w:t>
      </w:r>
    </w:p>
    <w:p>
      <w:pPr>
        <w:pStyle w:val="19"/>
        <w:ind w:firstLineChars="0" w:firstLine="0"/>
        <w:rPr>
          <w:color w:val="auto"/>
          <w:shd w:val="clear" w:color="FFFFFF" w:fill="D9D9D9"/>
          <w:lang w:val="en-US"/>
          <w:highlight w:val="none"/>
        </w:rPr>
      </w:pPr>
      <w:r>
        <w:rPr>
          <w:rFonts w:eastAsia="仿宋" w:cs="Times New Roman" w:hint="eastAsia"/>
          <w:b/>
          <w:bCs/>
          <w:color w:val="auto"/>
          <w:shd w:val="pct10" w:color="auto" w:fill="FFFFFF"/>
          <w:lang w:val="en-US" w:eastAsia="zh-CN"/>
          <w:highlight w:val="none"/>
        </w:rPr>
        <w:t>条文说明</w:t>
      </w:r>
      <w:r>
        <w:rPr>
          <w:b/>
          <w:bCs/>
          <w:color w:val="auto"/>
          <w:shd w:val="clear" w:color="FFFFFF" w:fill="D9D9D9"/>
          <w:lang w:val="en-US"/>
          <w:highlight w:val="none"/>
        </w:rPr>
        <w:t>6.2.1　</w:t>
      </w:r>
      <w:r>
        <w:rPr>
          <w:color w:val="auto"/>
          <w:shd w:val="clear" w:color="FFFFFF" w:fill="D9D9D9"/>
          <w:lang w:val="en-US"/>
          <w:highlight w:val="none"/>
        </w:rPr>
        <w:t>封装芯片见图</w:t>
      </w:r>
      <w:r>
        <w:rPr>
          <w:rFonts w:hint="eastAsia"/>
          <w:color w:val="auto"/>
          <w:shd w:val="clear" w:color="FFFFFF" w:fill="D9D9D9"/>
          <w:lang w:val="en-US"/>
          <w:highlight w:val="none"/>
        </w:rPr>
        <w:t>6</w:t>
      </w:r>
      <w:r>
        <w:rPr>
          <w:color w:val="auto"/>
          <w:shd w:val="clear" w:color="FFFFFF" w:fill="D9D9D9"/>
          <w:lang w:val="en-US"/>
          <w:highlight w:val="none"/>
        </w:rPr>
        <w:t>，芯片检测仪见图</w:t>
      </w:r>
      <w:r>
        <w:rPr>
          <w:rFonts w:hint="eastAsia"/>
          <w:color w:val="auto"/>
          <w:shd w:val="clear" w:color="FFFFFF" w:fill="D9D9D9"/>
          <w:lang w:val="en-US"/>
          <w:highlight w:val="none"/>
        </w:rPr>
        <w:t>7</w:t>
      </w:r>
      <w:r>
        <w:rPr>
          <w:color w:val="auto"/>
          <w:shd w:val="clear" w:color="FFFFFF" w:fill="D9D9D9"/>
          <w:lang w:val="en-US"/>
          <w:highlight w:val="none"/>
        </w:rPr>
        <w:t>。</w:t>
      </w:r>
    </w:p>
    <w:p>
      <w:pPr>
        <w:pStyle w:val="19"/>
        <w:ind w:firstLineChars="0" w:firstLine="0"/>
        <w:jc w:val="center"/>
        <w:rPr>
          <w:rFonts w:eastAsia="仿宋"/>
          <w:color w:val="auto"/>
          <w:lang w:val="en-US" w:eastAsia="zh-CN"/>
          <w:highlight w:val="none"/>
        </w:rPr>
      </w:pPr>
      <w:r>
        <w:rPr>
          <w:color w:val="auto"/>
          <w:highlight w:val="none"/>
        </w:rPr>
        <w:drawing>
          <wp:inline distT="0" distB="0" distL="0" distR="0">
            <wp:extent cx="2115820" cy="1790700"/>
            <wp:effectExtent l="0" t="0" r="1" b="1"/>
            <wp:docPr id="688168609" name="图片 4"/>
            <wp:cNvGraphicFramePr>
              <a:graphicFrameLocks noChangeAspect="1"/>
            </wp:cNvGraphicFramePr>
            <a:graphic>
              <a:graphicData uri="http://schemas.openxmlformats.org/drawingml/2006/picture">
                <pic:pic>
                  <pic:nvPicPr>
                    <pic:cNvPr id="74" name="图片 4 74"/>
                    <pic:cNvPicPr/>
                  </pic:nvPicPr>
                  <pic:blipFill>
                    <a:blip r:embed="rId63"/>
                    <a:stretch>
                      <a:fillRect/>
                    </a:stretch>
                  </pic:blipFill>
                  <pic:spPr>
                    <a:xfrm rot="0">
                      <a:off x="0" y="0"/>
                      <a:ext cx="2115820" cy="1790700"/>
                    </a:xfrm>
                    <a:prstGeom prst="rect"/>
                    <a:noFill/>
                    <a:ln cmpd="sng" cap="flat">
                      <a:noFill/>
                      <a:prstDash val="solid"/>
                      <a:round/>
                    </a:ln>
                  </pic:spPr>
                </pic:pic>
              </a:graphicData>
            </a:graphic>
          </wp:inline>
        </w:drawing>
      </w:r>
      <w:r>
        <w:rPr>
          <w:color w:val="auto"/>
          <w:highlight w:val="none"/>
        </w:rPr>
        <w:t xml:space="preserve">   </w:t>
      </w:r>
      <w:r>
        <w:rPr>
          <w:rFonts w:hint="eastAsia"/>
          <w:color w:val="auto"/>
          <w:lang w:val="en-US" w:eastAsia="zh-CN"/>
          <w:highlight w:val="none"/>
        </w:rPr>
        <w:t xml:space="preserve">  </w:t>
      </w:r>
      <w:r>
        <w:rPr>
          <w:color w:val="auto"/>
          <w:highlight w:val="none"/>
        </w:rPr>
        <w:drawing>
          <wp:inline distT="0" distB="0" distL="114300" distR="114300">
            <wp:extent cx="2423795" cy="1847850"/>
            <wp:effectExtent l="0" t="0" r="0" b="1"/>
            <wp:docPr id="688168610" name="图片 50"/>
            <wp:cNvGraphicFramePr>
              <a:graphicFrameLocks noChangeAspect="1"/>
            </wp:cNvGraphicFramePr>
            <a:graphic>
              <a:graphicData uri="http://schemas.openxmlformats.org/drawingml/2006/picture">
                <pic:pic>
                  <pic:nvPicPr>
                    <pic:cNvPr id="76" name="图片 50 76"/>
                    <pic:cNvPicPr/>
                  </pic:nvPicPr>
                  <pic:blipFill>
                    <a:blip r:embed="rId64"/>
                    <a:stretch>
                      <a:fillRect/>
                    </a:stretch>
                  </pic:blipFill>
                  <pic:spPr>
                    <a:xfrm rot="0">
                      <a:off x="0" y="0"/>
                      <a:ext cx="2423795" cy="1847850"/>
                    </a:xfrm>
                    <a:prstGeom prst="rect"/>
                    <a:noFill/>
                    <a:ln cmpd="sng" cap="flat">
                      <a:noFill/>
                      <a:prstDash val="solid"/>
                      <a:round/>
                    </a:ln>
                  </pic:spPr>
                </pic:pic>
              </a:graphicData>
            </a:graphic>
          </wp:inline>
        </w:drawing>
      </w:r>
    </w:p>
    <w:p>
      <w:pPr>
        <w:pStyle w:val="19"/>
        <w:ind w:firstLineChars="0" w:firstLine="0"/>
        <w:rPr>
          <w:color w:val="auto"/>
          <w:shd w:val="clear" w:color="FFFFFF" w:fill="D9D9D9"/>
          <w:lang w:val="en-US"/>
          <w:highlight w:val="none"/>
        </w:rPr>
      </w:pPr>
    </w:p>
    <w:p>
      <w:pPr>
        <w:pStyle w:val="19"/>
        <w:ind w:firstLineChars="0" w:firstLine="0"/>
        <w:jc w:val="center"/>
        <w:rPr>
          <w:color w:val="auto"/>
          <w:highlight w:val="none"/>
        </w:rPr>
      </w:pPr>
      <w:r>
        <w:rPr>
          <w:b/>
          <w:bCs/>
          <w:color w:val="auto"/>
          <w:shd w:val="clear" w:color="FFFFFF" w:fill="D9D9D9"/>
          <w:lang w:val="en-US"/>
          <w:highlight w:val="none"/>
        </w:rPr>
        <w:t>图</w:t>
      </w:r>
      <w:r>
        <w:rPr>
          <w:rFonts w:hint="eastAsia"/>
          <w:b/>
          <w:bCs/>
          <w:color w:val="auto"/>
          <w:shd w:val="clear" w:color="FFFFFF" w:fill="D9D9D9"/>
          <w:lang w:val="en-US" w:eastAsia="zh-CN"/>
          <w:highlight w:val="none"/>
        </w:rPr>
        <w:t>6-1</w:t>
      </w:r>
      <w:r>
        <w:rPr>
          <w:b/>
          <w:bCs/>
          <w:color w:val="auto"/>
          <w:shd w:val="clear" w:color="FFFFFF" w:fill="D9D9D9"/>
          <w:lang w:val="en-US"/>
          <w:highlight w:val="none"/>
        </w:rPr>
        <w:t>　</w:t>
      </w:r>
      <w:r>
        <w:rPr>
          <w:b/>
          <w:bCs/>
          <w:color w:val="auto"/>
          <w:shd w:val="clear" w:color="FFFFFF" w:fill="D9D9D9"/>
          <w:highlight w:val="none"/>
        </w:rPr>
        <w:t>封装芯片</w:t>
      </w:r>
      <w:r>
        <w:rPr>
          <w:color w:val="auto"/>
          <w:shd w:val="clear" w:color="FFFFFF" w:fill="D9D9D9"/>
          <w:lang w:val="en-US"/>
          <w:highlight w:val="none"/>
        </w:rPr>
        <w:t xml:space="preserve">        </w:t>
      </w:r>
      <w:r>
        <w:rPr>
          <w:b/>
          <w:bCs/>
          <w:color w:val="auto"/>
          <w:shd w:val="clear" w:color="FFFFFF" w:fill="D9D9D9"/>
          <w:lang w:val="en-US"/>
          <w:highlight w:val="none"/>
        </w:rPr>
        <w:t>图</w:t>
      </w:r>
      <w:r>
        <w:rPr>
          <w:rFonts w:hint="eastAsia"/>
          <w:b/>
          <w:bCs/>
          <w:color w:val="auto"/>
          <w:shd w:val="clear" w:color="FFFFFF" w:fill="D9D9D9"/>
          <w:lang w:val="en-US" w:eastAsia="zh-CN"/>
          <w:highlight w:val="none"/>
        </w:rPr>
        <w:t>6-2</w:t>
      </w:r>
      <w:r>
        <w:rPr>
          <w:b/>
          <w:bCs/>
          <w:color w:val="auto"/>
          <w:shd w:val="clear" w:color="FFFFFF" w:fill="D9D9D9"/>
          <w:lang w:val="en-US"/>
          <w:highlight w:val="none"/>
        </w:rPr>
        <w:t>　</w:t>
      </w:r>
      <w:r>
        <w:rPr>
          <w:b/>
          <w:bCs/>
          <w:color w:val="auto"/>
          <w:shd w:val="clear" w:color="FFFFFF" w:fill="D9D9D9"/>
          <w:highlight w:val="none"/>
        </w:rPr>
        <w:t>芯片检测仪</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6.2.2　</w:t>
      </w:r>
      <w:r>
        <w:rPr>
          <w:rFonts w:cs="Times New Roman"/>
          <w:color w:val="auto"/>
          <w:highlight w:val="none"/>
        </w:rPr>
        <w:t>芯片应符合下列规定：</w:t>
      </w:r>
    </w:p>
    <w:p>
      <w:pPr>
        <w:rPr>
          <w:rFonts w:cs="Times New Roman"/>
          <w:color w:val="auto"/>
          <w:highlight w:val="none"/>
        </w:rPr>
      </w:pPr>
      <w:r>
        <w:rPr>
          <w:rFonts w:cs="Times New Roman"/>
          <w:b/>
          <w:bCs/>
          <w:color w:val="auto"/>
          <w:szCs w:val="32"/>
          <w:highlight w:val="none"/>
        </w:rPr>
        <w:t>1　</w:t>
      </w:r>
      <w:r>
        <w:rPr>
          <w:rFonts w:cs="Times New Roman"/>
          <w:color w:val="auto"/>
          <w:highlight w:val="none"/>
        </w:rPr>
        <w:t>封装芯片应</w:t>
      </w:r>
      <w:r>
        <w:rPr>
          <w:rFonts w:cs="Times New Roman" w:hint="eastAsia"/>
          <w:color w:val="auto"/>
          <w:highlight w:val="none"/>
        </w:rPr>
        <w:t>具有唯一身份识别码</w:t>
      </w:r>
      <w:r>
        <w:rPr>
          <w:rFonts w:cs="Times New Roman"/>
          <w:color w:val="auto"/>
          <w:highlight w:val="none"/>
        </w:rPr>
        <w:t>，并应具有无源的独立接收和发射信号功能；</w:t>
      </w:r>
    </w:p>
    <w:p>
      <w:pPr>
        <w:rPr>
          <w:rFonts w:cs="Times New Roman"/>
          <w:color w:val="auto"/>
          <w:highlight w:val="none"/>
        </w:rPr>
      </w:pPr>
      <w:r>
        <w:rPr>
          <w:rFonts w:cs="Times New Roman"/>
          <w:b/>
          <w:bCs/>
          <w:color w:val="auto"/>
          <w:szCs w:val="32"/>
          <w:highlight w:val="none"/>
        </w:rPr>
        <w:t>2　</w:t>
      </w:r>
      <w:r>
        <w:rPr>
          <w:rFonts w:cs="Times New Roman"/>
          <w:color w:val="auto"/>
          <w:highlight w:val="none"/>
        </w:rPr>
        <w:t>芯片宜根据现场套筒抽检位置，进行统一编号。</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6.2.3　</w:t>
      </w:r>
      <w:r>
        <w:rPr>
          <w:rFonts w:cs="Times New Roman"/>
          <w:color w:val="auto"/>
          <w:highlight w:val="none"/>
        </w:rPr>
        <w:t>芯片检测仪应符合下列规定：</w:t>
      </w:r>
    </w:p>
    <w:p>
      <w:pPr>
        <w:rPr>
          <w:rFonts w:cs="Times New Roman"/>
          <w:color w:val="auto"/>
          <w:highlight w:val="none"/>
        </w:rPr>
      </w:pPr>
      <w:r>
        <w:rPr>
          <w:rFonts w:cs="Times New Roman"/>
          <w:b/>
          <w:bCs/>
          <w:color w:val="auto"/>
          <w:szCs w:val="32"/>
          <w:highlight w:val="none"/>
        </w:rPr>
        <w:t>1　</w:t>
      </w:r>
      <w:r>
        <w:rPr>
          <w:rFonts w:cs="Times New Roman"/>
          <w:color w:val="auto"/>
          <w:highlight w:val="none"/>
        </w:rPr>
        <w:t>芯片检测仪发射功率不应低于30dBm，发射天线不应小于4dBi，使用环境温度应为-5℃~60℃；</w:t>
      </w:r>
    </w:p>
    <w:p>
      <w:pPr>
        <w:rPr>
          <w:rFonts w:cs="Times New Roman"/>
          <w:color w:val="auto"/>
          <w:highlight w:val="none"/>
        </w:rPr>
      </w:pPr>
      <w:r>
        <w:rPr>
          <w:rFonts w:cs="Times New Roman"/>
          <w:b/>
          <w:bCs/>
          <w:color w:val="auto"/>
          <w:szCs w:val="32"/>
          <w:highlight w:val="none"/>
        </w:rPr>
        <w:t>2　</w:t>
      </w:r>
      <w:r>
        <w:rPr>
          <w:rFonts w:cs="Times New Roman"/>
          <w:color w:val="auto"/>
          <w:highlight w:val="none"/>
        </w:rPr>
        <w:t>芯片检测仪应定期进行计量检定或校准，应具有产品合格证书；</w:t>
      </w:r>
    </w:p>
    <w:p>
      <w:pPr>
        <w:rPr>
          <w:rFonts w:cs="Times New Roman"/>
          <w:color w:val="auto"/>
          <w:highlight w:val="none"/>
        </w:rPr>
      </w:pPr>
      <w:r>
        <w:rPr>
          <w:rFonts w:cs="Times New Roman"/>
          <w:b/>
          <w:bCs/>
          <w:color w:val="auto"/>
          <w:szCs w:val="32"/>
          <w:highlight w:val="none"/>
        </w:rPr>
        <w:t>3　</w:t>
      </w:r>
      <w:r>
        <w:rPr>
          <w:rFonts w:cs="Times New Roman"/>
          <w:color w:val="auto"/>
          <w:highlight w:val="none"/>
        </w:rPr>
        <w:t>芯片检测仪应具备发射能量</w:t>
      </w:r>
      <w:r>
        <w:rPr>
          <w:rFonts w:cs="Times New Roman" w:hint="eastAsia"/>
          <w:color w:val="auto"/>
          <w:highlight w:val="none"/>
        </w:rPr>
        <w:t>的功能</w:t>
      </w:r>
      <w:r>
        <w:rPr>
          <w:rFonts w:cs="Times New Roman"/>
          <w:color w:val="auto"/>
          <w:highlight w:val="none"/>
        </w:rPr>
        <w:t>；</w:t>
      </w:r>
    </w:p>
    <w:p>
      <w:pPr>
        <w:rPr>
          <w:rFonts w:cs="Times New Roman"/>
          <w:color w:val="auto"/>
          <w:highlight w:val="none"/>
        </w:rPr>
      </w:pPr>
      <w:r>
        <w:rPr>
          <w:rFonts w:cs="Times New Roman"/>
          <w:b/>
          <w:bCs/>
          <w:color w:val="auto"/>
          <w:szCs w:val="32"/>
          <w:highlight w:val="none"/>
        </w:rPr>
        <w:t>4　</w:t>
      </w:r>
      <w:r>
        <w:rPr>
          <w:rFonts w:cs="Times New Roman"/>
          <w:color w:val="auto"/>
          <w:highlight w:val="none"/>
        </w:rPr>
        <w:t>芯片检测仪的发射与接收宜具有方向性。</w:t>
      </w:r>
    </w:p>
    <w:p>
      <w:pPr>
        <w:pStyle w:val="19"/>
        <w:ind w:firstLineChars="0" w:firstLine="0"/>
        <w:rPr>
          <w:color w:val="auto"/>
          <w:shd w:val="clear" w:color="FFFFFF" w:fill="D9D9D9"/>
          <w:highlight w:val="none"/>
        </w:rPr>
      </w:pPr>
      <w:r>
        <w:rPr>
          <w:rFonts w:eastAsia="仿宋" w:cs="Times New Roman" w:hint="eastAsia"/>
          <w:b/>
          <w:bCs/>
          <w:color w:val="auto"/>
          <w:shd w:val="pct10" w:color="auto" w:fill="FFFFFF"/>
          <w:lang w:val="en-US" w:eastAsia="zh-CN"/>
          <w:highlight w:val="none"/>
        </w:rPr>
        <w:t>条文说明</w:t>
      </w:r>
      <w:r>
        <w:rPr>
          <w:b/>
          <w:bCs/>
          <w:color w:val="auto"/>
          <w:shd w:val="clear" w:color="FFFFFF" w:fill="D9D9D9"/>
          <w:lang w:val="en-US"/>
          <w:highlight w:val="none"/>
        </w:rPr>
        <w:t>6.2.3　</w:t>
      </w:r>
      <w:r>
        <w:rPr>
          <w:color w:val="auto"/>
          <w:shd w:val="clear" w:color="FFFFFF" w:fill="D9D9D9"/>
          <w:highlight w:val="none"/>
        </w:rPr>
        <w:t>芯片检测仪具备足够强的发射能量，</w:t>
      </w:r>
      <w:r>
        <w:rPr>
          <w:color w:val="auto"/>
          <w:shd w:val="clear" w:color="FFFFFF" w:fill="D9D9D9"/>
          <w:lang w:val="en-US"/>
          <w:highlight w:val="none"/>
        </w:rPr>
        <w:t>主要是为了</w:t>
      </w:r>
      <w:r>
        <w:rPr>
          <w:color w:val="auto"/>
          <w:shd w:val="clear" w:color="FFFFFF" w:fill="D9D9D9"/>
          <w:highlight w:val="none"/>
        </w:rPr>
        <w:t>保证芯片能接受信号。</w:t>
      </w:r>
    </w:p>
    <w:p>
      <w:pPr>
        <w:rPr>
          <w:rFonts w:cs="Times New Roman"/>
          <w:color w:val="auto"/>
          <w:highlight w:val="none"/>
        </w:rPr>
      </w:pPr>
    </w:p>
    <w:p>
      <w:pPr>
        <w:pStyle w:val="19"/>
        <w:ind w:firstLineChars="0" w:firstLine="0"/>
        <w:rPr>
          <w:color w:val="auto"/>
          <w:shd w:val="clear" w:color="FFFFFF" w:fill="D9D9D9"/>
          <w:highlight w:val="none"/>
        </w:rPr>
      </w:pPr>
    </w:p>
    <w:p>
      <w:pPr>
        <w:pStyle w:val="2"/>
        <w:tabs>
          <w:tab w:val="left" w:pos="0"/>
        </w:tabs>
        <w:rPr>
          <w:rFonts w:ascii="Times New Roman" w:cs="Times New Roman" w:hAnsi="Times New Roman"/>
          <w:color w:val="auto"/>
          <w:highlight w:val="none"/>
        </w:rPr>
      </w:pPr>
      <w:bookmarkStart w:id="177" w:name="_Toc17765"/>
      <w:bookmarkStart w:id="178" w:name="_Toc24408"/>
      <w:bookmarkStart w:id="179" w:name="_Toc11867"/>
      <w:bookmarkStart w:id="180" w:name="_Toc2430"/>
      <w:bookmarkStart w:id="181" w:name="_Toc227"/>
      <w:r>
        <w:rPr>
          <w:rFonts w:ascii="Times New Roman" w:cs="Times New Roman" w:hAnsi="Times New Roman"/>
          <w:color w:val="auto"/>
          <w:highlight w:val="none"/>
        </w:rPr>
        <w:t>6.3　检测</w:t>
      </w:r>
      <w:bookmarkEnd w:id="177"/>
      <w:bookmarkEnd w:id="178"/>
      <w:bookmarkEnd w:id="179"/>
      <w:bookmarkEnd w:id="180"/>
      <w:bookmarkEnd w:id="181"/>
    </w:p>
    <w:p>
      <w:pPr>
        <w:pStyle w:val="3"/>
        <w:tabs>
          <w:tab w:val="left" w:pos="0"/>
          <w:tab w:val="left" w:pos="567"/>
          <w:tab w:val="left" w:pos="709"/>
          <w:tab w:val="left" w:pos="1560"/>
        </w:tabs>
        <w:rPr>
          <w:rFonts w:cs="Times New Roman"/>
          <w:color w:val="auto"/>
          <w:sz w:val="20"/>
          <w:szCs w:val="20"/>
          <w:highlight w:val="none"/>
        </w:rPr>
      </w:pPr>
      <w:r>
        <w:rPr>
          <w:rFonts w:cs="Times New Roman"/>
          <w:b/>
          <w:color w:val="auto"/>
          <w:highlight w:val="none"/>
        </w:rPr>
        <w:t>6.3.1　</w:t>
      </w:r>
      <w:r>
        <w:rPr>
          <w:rFonts w:cs="Times New Roman"/>
          <w:color w:val="auto"/>
          <w:highlight w:val="none"/>
        </w:rPr>
        <w:t>采用芯片法检测套筒灌浆饱满度前应准备下列工作：</w:t>
      </w:r>
    </w:p>
    <w:p>
      <w:pPr>
        <w:rPr>
          <w:rFonts w:cs="Times New Roman"/>
          <w:color w:val="auto"/>
          <w:highlight w:val="none"/>
        </w:rPr>
      </w:pPr>
      <w:r>
        <w:rPr>
          <w:rFonts w:cs="Times New Roman"/>
          <w:b/>
          <w:bCs/>
          <w:color w:val="auto"/>
          <w:szCs w:val="32"/>
          <w:highlight w:val="none"/>
        </w:rPr>
        <w:t>1　</w:t>
      </w:r>
      <w:r>
        <w:rPr>
          <w:rFonts w:cs="Times New Roman"/>
          <w:color w:val="auto"/>
          <w:highlight w:val="none"/>
        </w:rPr>
        <w:t>检查设备的正常情况；</w:t>
      </w:r>
    </w:p>
    <w:p>
      <w:pPr>
        <w:rPr>
          <w:rFonts w:cs="Times New Roman"/>
          <w:color w:val="auto"/>
          <w:highlight w:val="none"/>
        </w:rPr>
      </w:pPr>
      <w:r>
        <w:rPr>
          <w:rFonts w:cs="Times New Roman"/>
          <w:b/>
          <w:bCs/>
          <w:color w:val="auto"/>
          <w:szCs w:val="32"/>
          <w:highlight w:val="none"/>
        </w:rPr>
        <w:t>2　</w:t>
      </w:r>
      <w:r>
        <w:rPr>
          <w:rFonts w:cs="Times New Roman"/>
          <w:color w:val="auto"/>
          <w:highlight w:val="none"/>
        </w:rPr>
        <w:t>记录工程名称、套筒所在构件编号、套筒具体位置、检测人员信息等，经检测后需补灌浆的结构构件部位应有补浆前后的检测结果。</w:t>
      </w:r>
    </w:p>
    <w:p>
      <w:pPr>
        <w:pStyle w:val="3"/>
        <w:tabs>
          <w:tab w:val="left" w:pos="0"/>
          <w:tab w:val="left" w:pos="567"/>
          <w:tab w:val="left" w:pos="709"/>
          <w:tab w:val="left" w:pos="1560"/>
        </w:tabs>
        <w:rPr>
          <w:rFonts w:cs="Times New Roman"/>
          <w:color w:val="auto"/>
          <w:highlight w:val="none"/>
        </w:rPr>
      </w:pPr>
      <w:r>
        <w:rPr>
          <w:rStyle w:val="141"/>
          <w:rFonts w:cs="Times New Roman"/>
          <w:b/>
          <w:bCs/>
          <w:color w:val="auto"/>
          <w:szCs w:val="24"/>
          <w:highlight w:val="none"/>
        </w:rPr>
        <w:t>6.3.2　</w:t>
      </w:r>
      <w:r>
        <w:rPr>
          <w:rFonts w:cs="Times New Roman"/>
          <w:color w:val="auto"/>
          <w:highlight w:val="none"/>
        </w:rPr>
        <w:t>采用芯片法检测套筒灌浆饱满度时应符合下列规定：</w:t>
      </w:r>
    </w:p>
    <w:p>
      <w:pPr>
        <w:rPr>
          <w:rFonts w:cs="Times New Roman"/>
          <w:color w:val="auto"/>
          <w:highlight w:val="none"/>
        </w:rPr>
      </w:pPr>
      <w:r>
        <w:rPr>
          <w:rFonts w:cs="Times New Roman"/>
          <w:b/>
          <w:bCs/>
          <w:color w:val="auto"/>
          <w:szCs w:val="32"/>
          <w:highlight w:val="none"/>
        </w:rPr>
        <w:t>1　</w:t>
      </w:r>
      <w:r>
        <w:rPr>
          <w:rFonts w:cs="Times New Roman"/>
          <w:color w:val="auto"/>
          <w:highlight w:val="none"/>
        </w:rPr>
        <w:t>芯片的安装装置应预先进行组装，并检查存在的异常情况；</w:t>
      </w:r>
    </w:p>
    <w:p>
      <w:pPr>
        <w:rPr>
          <w:rFonts w:cs="Times New Roman"/>
          <w:color w:val="auto"/>
          <w:highlight w:val="none"/>
        </w:rPr>
      </w:pPr>
      <w:r>
        <w:rPr>
          <w:rFonts w:cs="Times New Roman"/>
          <w:b/>
          <w:bCs/>
          <w:color w:val="auto"/>
          <w:szCs w:val="32"/>
          <w:highlight w:val="none"/>
        </w:rPr>
        <w:t>2　</w:t>
      </w:r>
      <w:r>
        <w:rPr>
          <w:rFonts w:cs="Times New Roman"/>
          <w:color w:val="auto"/>
          <w:highlight w:val="none"/>
        </w:rPr>
        <w:t>应待现场吊装完成，采用镊子等专用工具通过套筒的出浆口位置将芯片装置安装至钢筋上</w:t>
      </w:r>
      <w:r>
        <w:rPr>
          <w:rFonts w:cs="Times New Roman" w:hint="eastAsia"/>
          <w:color w:val="auto"/>
          <w:highlight w:val="none"/>
        </w:rPr>
        <w:t>（</w:t>
      </w:r>
      <w:r>
        <w:rPr>
          <w:rFonts w:cs="Times New Roman"/>
          <w:color w:val="auto"/>
          <w:highlight w:val="none"/>
        </w:rPr>
        <w:t>图6.3.2</w:t>
      </w:r>
      <w:r>
        <w:rPr>
          <w:rFonts w:cs="Times New Roman" w:hint="eastAsia"/>
          <w:color w:val="auto"/>
          <w:highlight w:val="none"/>
        </w:rPr>
        <w:t>）</w:t>
      </w:r>
      <w:r>
        <w:rPr>
          <w:rFonts w:cs="Times New Roman"/>
          <w:color w:val="auto"/>
          <w:highlight w:val="none"/>
        </w:rPr>
        <w:t>，并安装牢固，芯片侧应向外，灌浆时不应被浆液冲出</w:t>
      </w:r>
      <w:r>
        <w:rPr>
          <w:rFonts w:cs="Times New Roman" w:hint="eastAsia"/>
          <w:color w:val="auto"/>
          <w:highlight w:val="none"/>
        </w:rPr>
        <w:t>；</w:t>
      </w:r>
    </w:p>
    <w:p>
      <w:pPr>
        <w:rPr>
          <w:rFonts w:cs="Times New Roman"/>
          <w:color w:val="auto"/>
          <w:highlight w:val="none"/>
        </w:rPr>
      </w:pPr>
      <w:r>
        <w:rPr>
          <w:rFonts w:cs="Times New Roman"/>
          <w:b/>
          <w:bCs/>
          <w:color w:val="auto"/>
          <w:szCs w:val="32"/>
          <w:highlight w:val="none"/>
        </w:rPr>
        <w:t>3　</w:t>
      </w:r>
      <w:r>
        <w:rPr>
          <w:rFonts w:cs="Times New Roman"/>
          <w:color w:val="auto"/>
          <w:highlight w:val="none"/>
        </w:rPr>
        <w:t>芯片装置固定后应扫查芯片，确认信号正常；</w:t>
      </w:r>
    </w:p>
    <w:p>
      <w:pPr>
        <w:rPr>
          <w:rFonts w:cs="Times New Roman"/>
          <w:color w:val="auto"/>
          <w:highlight w:val="none"/>
        </w:rPr>
      </w:pPr>
      <w:r>
        <w:rPr>
          <w:rFonts w:cs="Times New Roman"/>
          <w:b/>
          <w:bCs/>
          <w:color w:val="auto"/>
          <w:szCs w:val="32"/>
          <w:highlight w:val="none"/>
        </w:rPr>
        <w:t>4　</w:t>
      </w:r>
      <w:r>
        <w:rPr>
          <w:rFonts w:cs="Times New Roman"/>
          <w:color w:val="auto"/>
          <w:highlight w:val="none"/>
        </w:rPr>
        <w:t>应待灌浆结束15min后，通过检测设备检测套筒内各芯片的信号能量值是否超出10dbm阈值，并做记录。</w:t>
      </w:r>
    </w:p>
    <w:p>
      <w:pPr>
        <w:pStyle w:val="89"/>
        <w:autoSpaceDE w:val="0"/>
        <w:autoSpaceDN w:val="0"/>
        <w:jc w:val="center"/>
        <w:textAlignment w:val="auto"/>
        <w:rPr>
          <w:color w:val="auto"/>
          <w:highlight w:val="none"/>
        </w:rPr>
      </w:pPr>
      <w:r>
        <w:rPr>
          <w:color w:val="auto"/>
          <w:highlight w:val="none"/>
        </w:rPr>
        <w:drawing>
          <wp:inline distT="0" distB="0" distL="0" distR="0">
            <wp:extent cx="1507489" cy="2143482"/>
            <wp:effectExtent l="0" t="0" r="1" b="1"/>
            <wp:docPr id="688168611" name="图片 1"/>
            <wp:cNvGraphicFramePr>
              <a:graphicFrameLocks noChangeAspect="1"/>
            </wp:cNvGraphicFramePr>
            <a:graphic>
              <a:graphicData uri="http://schemas.openxmlformats.org/drawingml/2006/picture">
                <pic:pic>
                  <pic:nvPicPr>
                    <pic:cNvPr id="78" name="图片 1 78"/>
                    <pic:cNvPicPr/>
                  </pic:nvPicPr>
                  <pic:blipFill>
                    <a:blip r:embed="rId65"/>
                    <a:srcRect t="18184" b="20741" r="32758"/>
                    <a:stretch>
                      <a:fillRect/>
                    </a:stretch>
                  </pic:blipFill>
                  <pic:spPr>
                    <a:xfrm rot="0">
                      <a:off x="0" y="0"/>
                      <a:ext cx="1507489" cy="2143482"/>
                    </a:xfrm>
                    <a:prstGeom prst="rect"/>
                    <a:noFill/>
                    <a:ln cmpd="sng" cap="flat">
                      <a:noFill/>
                      <a:prstDash val="solid"/>
                      <a:round/>
                    </a:ln>
                  </pic:spPr>
                </pic:pic>
              </a:graphicData>
            </a:graphic>
          </wp:inline>
        </w:drawing>
      </w:r>
    </w:p>
    <w:p>
      <w:pPr>
        <w:ind w:firstLineChars="0" w:firstLine="0"/>
        <w:jc w:val="center"/>
        <w:rPr>
          <w:rStyle w:val="125"/>
          <w:rFonts w:eastAsia="宋体" w:cs="Times New Roman"/>
          <w:b w:val="0"/>
          <w:color w:val="auto"/>
          <w:szCs w:val="24"/>
          <w:highlight w:val="none"/>
        </w:rPr>
      </w:pPr>
      <w:r>
        <w:rPr>
          <w:rStyle w:val="125"/>
          <w:rFonts w:eastAsia="宋体" w:cs="Times New Roman"/>
          <w:b w:val="0"/>
          <w:color w:val="auto"/>
          <w:szCs w:val="24"/>
          <w:highlight w:val="none"/>
        </w:rPr>
        <w:t>1</w:t>
      </w:r>
      <w:r>
        <w:rPr>
          <w:rStyle w:val="125"/>
          <w:rFonts w:eastAsia="宋体" w:cs="Times New Roman" w:hint="eastAsia"/>
          <w:b w:val="0"/>
          <w:color w:val="auto"/>
          <w:szCs w:val="24"/>
          <w:highlight w:val="none"/>
        </w:rPr>
        <w:t>—</w:t>
      </w:r>
      <w:r>
        <w:rPr>
          <w:rStyle w:val="125"/>
          <w:rFonts w:eastAsia="宋体" w:cs="Times New Roman"/>
          <w:b w:val="0"/>
          <w:color w:val="auto"/>
          <w:szCs w:val="24"/>
          <w:highlight w:val="none"/>
        </w:rPr>
        <w:t>预制端螺纹钢筋</w:t>
      </w:r>
      <w:r>
        <w:rPr>
          <w:rStyle w:val="125"/>
          <w:rFonts w:eastAsia="宋体" w:cs="Times New Roman" w:hint="eastAsia"/>
          <w:b w:val="0"/>
          <w:color w:val="auto"/>
          <w:szCs w:val="24"/>
          <w:highlight w:val="none"/>
        </w:rPr>
        <w:t>；</w:t>
      </w:r>
      <w:r>
        <w:rPr>
          <w:rStyle w:val="125"/>
          <w:rFonts w:eastAsia="宋体" w:cs="Times New Roman"/>
          <w:b w:val="0"/>
          <w:color w:val="auto"/>
          <w:szCs w:val="24"/>
          <w:highlight w:val="none"/>
        </w:rPr>
        <w:t>2</w:t>
      </w:r>
      <w:r>
        <w:rPr>
          <w:rStyle w:val="125"/>
          <w:rFonts w:eastAsia="宋体" w:cs="Times New Roman" w:hint="eastAsia"/>
          <w:b w:val="0"/>
          <w:color w:val="auto"/>
          <w:szCs w:val="24"/>
          <w:highlight w:val="none"/>
        </w:rPr>
        <w:t>—</w:t>
      </w:r>
      <w:r>
        <w:rPr>
          <w:rStyle w:val="125"/>
          <w:rFonts w:eastAsia="宋体" w:cs="Times New Roman"/>
          <w:b w:val="0"/>
          <w:color w:val="auto"/>
          <w:szCs w:val="24"/>
          <w:highlight w:val="none"/>
        </w:rPr>
        <w:t>橡胶塞</w:t>
      </w:r>
      <w:r>
        <w:rPr>
          <w:rStyle w:val="125"/>
          <w:rFonts w:eastAsia="宋体" w:cs="Times New Roman" w:hint="eastAsia"/>
          <w:b w:val="0"/>
          <w:color w:val="auto"/>
          <w:szCs w:val="24"/>
          <w:highlight w:val="none"/>
        </w:rPr>
        <w:t>；</w:t>
      </w:r>
      <w:r>
        <w:rPr>
          <w:rStyle w:val="125"/>
          <w:rFonts w:eastAsia="宋体" w:cs="Times New Roman"/>
          <w:b w:val="0"/>
          <w:color w:val="auto"/>
          <w:szCs w:val="24"/>
          <w:highlight w:val="none"/>
        </w:rPr>
        <w:t>3</w:t>
      </w:r>
      <w:r>
        <w:rPr>
          <w:rStyle w:val="125"/>
          <w:rFonts w:eastAsia="宋体" w:cs="Times New Roman" w:hint="eastAsia"/>
          <w:b w:val="0"/>
          <w:color w:val="auto"/>
          <w:szCs w:val="24"/>
          <w:highlight w:val="none"/>
        </w:rPr>
        <w:t>—</w:t>
      </w:r>
      <w:r>
        <w:rPr>
          <w:rStyle w:val="125"/>
          <w:rFonts w:eastAsia="宋体" w:cs="Times New Roman"/>
          <w:b w:val="0"/>
          <w:color w:val="auto"/>
          <w:szCs w:val="24"/>
          <w:highlight w:val="none"/>
        </w:rPr>
        <w:t>套筒出浆口</w:t>
      </w:r>
      <w:r>
        <w:rPr>
          <w:rStyle w:val="125"/>
          <w:rFonts w:eastAsia="宋体" w:cs="Times New Roman" w:hint="eastAsia"/>
          <w:b w:val="0"/>
          <w:color w:val="auto"/>
          <w:szCs w:val="24"/>
          <w:highlight w:val="none"/>
        </w:rPr>
        <w:t>；</w:t>
      </w:r>
    </w:p>
    <w:p>
      <w:pPr>
        <w:ind w:firstLineChars="0" w:firstLine="0"/>
        <w:jc w:val="center"/>
        <w:rPr>
          <w:rStyle w:val="125"/>
          <w:rFonts w:eastAsia="宋体" w:cs="Times New Roman"/>
          <w:b w:val="0"/>
          <w:color w:val="auto"/>
          <w:szCs w:val="24"/>
          <w:highlight w:val="none"/>
        </w:rPr>
      </w:pPr>
      <w:r>
        <w:rPr>
          <w:rStyle w:val="125"/>
          <w:rFonts w:eastAsia="宋体" w:cs="Times New Roman"/>
          <w:b w:val="0"/>
          <w:color w:val="auto"/>
          <w:szCs w:val="24"/>
          <w:highlight w:val="none"/>
        </w:rPr>
        <w:t>4</w:t>
      </w:r>
      <w:r>
        <w:rPr>
          <w:rStyle w:val="125"/>
          <w:rFonts w:eastAsia="宋体" w:cs="Times New Roman" w:hint="eastAsia"/>
          <w:b w:val="0"/>
          <w:color w:val="auto"/>
          <w:szCs w:val="24"/>
          <w:highlight w:val="none"/>
        </w:rPr>
        <w:t>—</w:t>
      </w:r>
      <w:r>
        <w:rPr>
          <w:rStyle w:val="125"/>
          <w:rFonts w:eastAsia="宋体" w:cs="Times New Roman"/>
          <w:b w:val="0"/>
          <w:color w:val="auto"/>
          <w:szCs w:val="24"/>
          <w:highlight w:val="none"/>
        </w:rPr>
        <w:t>预埋芯片</w:t>
      </w:r>
      <w:r>
        <w:rPr>
          <w:rStyle w:val="125"/>
          <w:rFonts w:eastAsia="宋体" w:cs="Times New Roman" w:hint="eastAsia"/>
          <w:b w:val="0"/>
          <w:color w:val="auto"/>
          <w:szCs w:val="24"/>
          <w:highlight w:val="none"/>
        </w:rPr>
        <w:t>；</w:t>
      </w:r>
      <w:r>
        <w:rPr>
          <w:rStyle w:val="125"/>
          <w:rFonts w:eastAsia="宋体" w:cs="Times New Roman"/>
          <w:b w:val="0"/>
          <w:color w:val="auto"/>
          <w:szCs w:val="24"/>
          <w:highlight w:val="none"/>
        </w:rPr>
        <w:t>5</w:t>
      </w:r>
      <w:r>
        <w:rPr>
          <w:rStyle w:val="125"/>
          <w:rFonts w:eastAsia="宋体" w:cs="Times New Roman" w:hint="eastAsia"/>
          <w:b w:val="0"/>
          <w:color w:val="auto"/>
          <w:szCs w:val="24"/>
          <w:highlight w:val="none"/>
        </w:rPr>
        <w:t>—</w:t>
      </w:r>
      <w:r>
        <w:rPr>
          <w:rStyle w:val="125"/>
          <w:rFonts w:eastAsia="宋体" w:cs="Times New Roman"/>
          <w:b w:val="0"/>
          <w:color w:val="auto"/>
          <w:szCs w:val="24"/>
          <w:highlight w:val="none"/>
        </w:rPr>
        <w:t>灌浆料</w:t>
      </w:r>
      <w:r>
        <w:rPr>
          <w:rStyle w:val="125"/>
          <w:rFonts w:eastAsia="宋体" w:cs="Times New Roman" w:hint="eastAsia"/>
          <w:b w:val="0"/>
          <w:color w:val="auto"/>
          <w:szCs w:val="24"/>
          <w:highlight w:val="none"/>
        </w:rPr>
        <w:t>；</w:t>
      </w:r>
      <w:r>
        <w:rPr>
          <w:rStyle w:val="125"/>
          <w:rFonts w:eastAsia="宋体" w:cs="Times New Roman"/>
          <w:b w:val="0"/>
          <w:color w:val="auto"/>
          <w:szCs w:val="24"/>
          <w:highlight w:val="none"/>
        </w:rPr>
        <w:t>6</w:t>
      </w:r>
      <w:r>
        <w:rPr>
          <w:rStyle w:val="125"/>
          <w:rFonts w:eastAsia="宋体" w:cs="Times New Roman" w:hint="eastAsia"/>
          <w:b w:val="0"/>
          <w:color w:val="auto"/>
          <w:szCs w:val="24"/>
          <w:highlight w:val="none"/>
        </w:rPr>
        <w:t>—</w:t>
      </w:r>
      <w:r>
        <w:rPr>
          <w:rStyle w:val="125"/>
          <w:rFonts w:eastAsia="宋体" w:cs="Times New Roman"/>
          <w:b w:val="0"/>
          <w:color w:val="auto"/>
          <w:szCs w:val="24"/>
          <w:highlight w:val="none"/>
        </w:rPr>
        <w:t>灌浆套筒</w:t>
      </w:r>
    </w:p>
    <w:p>
      <w:pPr>
        <w:snapToGrid w:val="0"/>
        <w:spacing w:beforeLines="50" w:before="156" w:line="300" w:lineRule="auto"/>
        <w:ind w:firstLineChars="0" w:firstLine="0"/>
        <w:jc w:val="center"/>
        <w:rPr>
          <w:b/>
          <w:bCs/>
          <w:color w:val="auto"/>
          <w:highlight w:val="none"/>
        </w:rPr>
      </w:pPr>
      <w:r>
        <w:rPr>
          <w:rStyle w:val="125"/>
          <w:rFonts w:cs="Times New Roman"/>
          <w:color w:val="auto"/>
          <w:sz w:val="24"/>
          <w:szCs w:val="24"/>
          <w:highlight w:val="none"/>
        </w:rPr>
        <w:t>图6.3.2　芯片装置的安装示意图</w:t>
      </w:r>
    </w:p>
    <w:p>
      <w:pPr>
        <w:pStyle w:val="3"/>
        <w:tabs>
          <w:tab w:val="left" w:pos="0"/>
          <w:tab w:val="left" w:pos="567"/>
          <w:tab w:val="left" w:pos="709"/>
          <w:tab w:val="left" w:pos="1560"/>
        </w:tabs>
        <w:rPr>
          <w:rStyle w:val="141"/>
          <w:rFonts w:cs="Times New Roman"/>
          <w:bCs/>
          <w:color w:val="auto"/>
          <w:szCs w:val="24"/>
          <w:highlight w:val="none"/>
        </w:rPr>
      </w:pPr>
      <w:r>
        <w:rPr>
          <w:rStyle w:val="141"/>
          <w:rFonts w:cs="Times New Roman"/>
          <w:b/>
          <w:bCs/>
          <w:color w:val="auto"/>
          <w:szCs w:val="24"/>
          <w:highlight w:val="none"/>
        </w:rPr>
        <w:t>6.3.3　</w:t>
      </w:r>
      <w:r>
        <w:rPr>
          <w:rStyle w:val="141"/>
          <w:rFonts w:cs="Times New Roman"/>
          <w:bCs/>
          <w:color w:val="auto"/>
          <w:szCs w:val="24"/>
          <w:highlight w:val="none"/>
        </w:rPr>
        <w:t>灌浆套筒</w:t>
      </w:r>
      <w:r>
        <w:rPr>
          <w:rFonts w:cs="Times New Roman"/>
          <w:color w:val="auto"/>
          <w:highlight w:val="none"/>
        </w:rPr>
        <w:t>抽检</w:t>
      </w:r>
      <w:r>
        <w:rPr>
          <w:rStyle w:val="141"/>
          <w:rFonts w:cs="Times New Roman"/>
          <w:bCs/>
          <w:color w:val="auto"/>
          <w:szCs w:val="24"/>
          <w:highlight w:val="none"/>
        </w:rPr>
        <w:t>数量不宜少于</w:t>
      </w:r>
      <w:r>
        <w:rPr>
          <w:rStyle w:val="141"/>
          <w:rFonts w:cs="Times New Roman" w:hint="eastAsia"/>
          <w:bCs/>
          <w:color w:val="auto"/>
          <w:szCs w:val="24"/>
          <w:highlight w:val="none"/>
        </w:rPr>
        <w:t>被测</w:t>
      </w:r>
      <w:r>
        <w:rPr>
          <w:rStyle w:val="141"/>
          <w:rFonts w:cs="Times New Roman"/>
          <w:bCs/>
          <w:color w:val="auto"/>
          <w:szCs w:val="24"/>
          <w:highlight w:val="none"/>
        </w:rPr>
        <w:t>连接部位套筒数量的30%，且不宜少于15个，抽样应具有代表性。</w:t>
      </w:r>
    </w:p>
    <w:p>
      <w:pPr>
        <w:pStyle w:val="3"/>
        <w:tabs>
          <w:tab w:val="left" w:pos="0"/>
          <w:tab w:val="left" w:pos="567"/>
          <w:tab w:val="left" w:pos="709"/>
          <w:tab w:val="left" w:pos="1560"/>
        </w:tabs>
        <w:rPr>
          <w:rFonts w:cs="Times New Roman"/>
          <w:color w:val="auto"/>
          <w:highlight w:val="none"/>
        </w:rPr>
      </w:pPr>
      <w:r>
        <w:rPr>
          <w:rStyle w:val="141"/>
          <w:rFonts w:cs="Times New Roman"/>
          <w:b/>
          <w:bCs/>
          <w:color w:val="auto"/>
          <w:szCs w:val="24"/>
          <w:highlight w:val="none"/>
        </w:rPr>
        <w:t>6.3.4　</w:t>
      </w:r>
      <w:r>
        <w:rPr>
          <w:rStyle w:val="141"/>
          <w:rFonts w:cs="Times New Roman"/>
          <w:bCs w:val="0"/>
          <w:color w:val="auto"/>
          <w:szCs w:val="24"/>
          <w:highlight w:val="none"/>
        </w:rPr>
        <w:t>芯片法的检测应按</w:t>
      </w:r>
      <w:r>
        <w:rPr>
          <w:rFonts w:cs="Times New Roman"/>
          <w:color w:val="auto"/>
          <w:highlight w:val="none"/>
        </w:rPr>
        <w:t>本标准</w:t>
      </w:r>
      <w:r>
        <w:rPr>
          <w:rStyle w:val="141"/>
          <w:rFonts w:cs="Times New Roman"/>
          <w:bCs w:val="0"/>
          <w:color w:val="auto"/>
          <w:szCs w:val="24"/>
          <w:highlight w:val="none"/>
        </w:rPr>
        <w:t>附录C记录。</w:t>
      </w:r>
    </w:p>
    <w:p>
      <w:pPr>
        <w:pStyle w:val="2"/>
        <w:tabs>
          <w:tab w:val="left" w:pos="0"/>
        </w:tabs>
        <w:rPr>
          <w:rFonts w:ascii="Times New Roman" w:cs="Times New Roman" w:hAnsi="Times New Roman"/>
          <w:color w:val="auto"/>
          <w:highlight w:val="none"/>
        </w:rPr>
      </w:pPr>
      <w:bookmarkStart w:id="182" w:name="_Toc6047"/>
      <w:bookmarkStart w:id="183" w:name="_Toc27225"/>
      <w:bookmarkStart w:id="184" w:name="_Toc9953"/>
      <w:bookmarkStart w:id="185" w:name="_Toc4535"/>
      <w:bookmarkStart w:id="186" w:name="_Toc2129"/>
      <w:r>
        <w:rPr>
          <w:rFonts w:ascii="Times New Roman" w:cs="Times New Roman" w:hAnsi="Times New Roman"/>
          <w:color w:val="auto"/>
          <w:highlight w:val="none"/>
        </w:rPr>
        <w:t>6.</w:t>
      </w:r>
      <w:bookmarkEnd w:id="182"/>
      <w:r>
        <w:rPr>
          <w:rFonts w:ascii="Times New Roman" w:cs="Times New Roman" w:hAnsi="Times New Roman"/>
          <w:color w:val="auto"/>
          <w:highlight w:val="none"/>
        </w:rPr>
        <w:t>4　评定</w:t>
      </w:r>
      <w:bookmarkEnd w:id="183"/>
      <w:bookmarkEnd w:id="184"/>
      <w:bookmarkEnd w:id="185"/>
      <w:bookmarkEnd w:id="186"/>
    </w:p>
    <w:p>
      <w:pPr>
        <w:pStyle w:val="3"/>
        <w:tabs>
          <w:tab w:val="left" w:pos="0"/>
          <w:tab w:val="left" w:pos="567"/>
          <w:tab w:val="left" w:pos="709"/>
          <w:tab w:val="left" w:pos="1560"/>
        </w:tabs>
        <w:rPr>
          <w:rFonts w:cs="Times New Roman"/>
          <w:color w:val="auto"/>
          <w:highlight w:val="none"/>
        </w:rPr>
      </w:pPr>
      <w:r>
        <w:rPr>
          <w:rStyle w:val="141"/>
          <w:rFonts w:cs="Times New Roman"/>
          <w:b/>
          <w:bCs/>
          <w:color w:val="auto"/>
          <w:szCs w:val="24"/>
          <w:highlight w:val="none"/>
        </w:rPr>
        <w:t>6.4.1　</w:t>
      </w:r>
      <w:r>
        <w:rPr>
          <w:rStyle w:val="141"/>
          <w:rFonts w:cs="Times New Roman" w:hint="eastAsia"/>
          <w:bCs/>
          <w:color w:val="auto"/>
          <w:szCs w:val="24"/>
          <w:highlight w:val="none"/>
        </w:rPr>
        <w:t>当</w:t>
      </w:r>
      <w:r>
        <w:rPr>
          <w:rFonts w:cs="Times New Roman"/>
          <w:color w:val="auto"/>
          <w:highlight w:val="none"/>
        </w:rPr>
        <w:t>出浆口区域能够扫查到芯片信号</w:t>
      </w:r>
      <w:r>
        <w:rPr>
          <w:rFonts w:cs="Times New Roman" w:hint="eastAsia"/>
          <w:color w:val="auto"/>
          <w:highlight w:val="none"/>
        </w:rPr>
        <w:t>时</w:t>
      </w:r>
      <w:r>
        <w:rPr>
          <w:rFonts w:cs="Times New Roman"/>
          <w:color w:val="auto"/>
          <w:highlight w:val="none"/>
        </w:rPr>
        <w:t>，可评定为测点灌浆饱满度不合格；</w:t>
      </w:r>
      <w:r>
        <w:rPr>
          <w:rFonts w:cs="Times New Roman" w:hint="eastAsia"/>
          <w:color w:val="auto"/>
          <w:highlight w:val="none"/>
        </w:rPr>
        <w:t>若</w:t>
      </w:r>
      <w:r>
        <w:rPr>
          <w:rFonts w:cs="Times New Roman"/>
          <w:color w:val="auto"/>
          <w:highlight w:val="none"/>
        </w:rPr>
        <w:t>出浆口区域扫查不到芯片信号</w:t>
      </w:r>
      <w:r>
        <w:rPr>
          <w:rFonts w:cs="Times New Roman" w:hint="eastAsia"/>
          <w:color w:val="auto"/>
          <w:highlight w:val="none"/>
        </w:rPr>
        <w:t>时</w:t>
      </w:r>
      <w:r>
        <w:rPr>
          <w:rFonts w:cs="Times New Roman"/>
          <w:color w:val="auto"/>
          <w:highlight w:val="none"/>
        </w:rPr>
        <w:t>，可评定为测点</w:t>
      </w:r>
      <w:r>
        <w:rPr>
          <w:rFonts w:cs="Times New Roman" w:hint="eastAsia"/>
          <w:color w:val="auto"/>
          <w:highlight w:val="none"/>
        </w:rPr>
        <w:t>的</w:t>
      </w:r>
      <w:r>
        <w:rPr>
          <w:rFonts w:cs="Times New Roman"/>
          <w:color w:val="auto"/>
          <w:highlight w:val="none"/>
        </w:rPr>
        <w:t>灌浆饱满度合格。</w:t>
      </w:r>
    </w:p>
    <w:p>
      <w:pPr>
        <w:pStyle w:val="3"/>
        <w:tabs>
          <w:tab w:val="left" w:pos="0"/>
          <w:tab w:val="left" w:pos="567"/>
          <w:tab w:val="left" w:pos="709"/>
          <w:tab w:val="left" w:pos="1560"/>
        </w:tabs>
        <w:rPr>
          <w:rFonts w:cs="Times New Roman"/>
          <w:color w:val="auto"/>
          <w:shd w:val="clear" w:color="FFFFFF" w:fill="D9D9D9"/>
          <w:highlight w:val="none"/>
        </w:rPr>
      </w:pPr>
      <w:r>
        <w:rPr>
          <w:rFonts w:cs="Times New Roman"/>
          <w:b/>
          <w:color w:val="auto"/>
          <w:highlight w:val="none"/>
        </w:rPr>
        <w:t>6.4.2　</w:t>
      </w:r>
      <w:r>
        <w:rPr>
          <w:rFonts w:cs="Times New Roman"/>
          <w:color w:val="auto"/>
          <w:highlight w:val="none"/>
        </w:rPr>
        <w:t>灌浆饱满度不合格时，应二次补浆。补灌后应对原灌浆不饱满套筒的灌浆饱满度进行复测，直至灌浆饱满</w:t>
      </w:r>
      <w:r>
        <w:rPr>
          <w:rFonts w:cs="Times New Roman" w:hint="eastAsia"/>
          <w:color w:val="auto"/>
          <w:highlight w:val="none"/>
        </w:rPr>
        <w:t>。应</w:t>
      </w:r>
      <w:r>
        <w:rPr>
          <w:rFonts w:cs="Times New Roman"/>
          <w:color w:val="auto"/>
          <w:highlight w:val="none"/>
        </w:rPr>
        <w:t>在记录表备注栏中做复测记录。</w:t>
      </w:r>
      <w:r>
        <w:rPr>
          <w:rFonts w:cs="Times New Roman"/>
          <w:color w:val="auto"/>
          <w:shd w:val="clear" w:color="FFFFFF" w:fill="D9D9D9"/>
          <w:highlight w:val="none"/>
        </w:rPr>
        <w:br w:type="page"/>
      </w:r>
    </w:p>
    <w:p>
      <w:pPr>
        <w:pStyle w:val="1"/>
        <w:rPr>
          <w:rFonts w:cs="Times New Roman"/>
          <w:color w:val="auto"/>
          <w:lang w:val="el-GR"/>
          <w:highlight w:val="none"/>
        </w:rPr>
      </w:pPr>
      <w:bookmarkStart w:id="187" w:name="_Toc8359"/>
      <w:bookmarkStart w:id="188" w:name="_Toc3404"/>
      <w:bookmarkStart w:id="189" w:name="_Toc26468"/>
      <w:bookmarkStart w:id="190" w:name="_Toc12981"/>
      <w:r>
        <w:rPr>
          <w:rFonts w:cs="Times New Roman"/>
          <w:color w:val="auto"/>
          <w:highlight w:val="none"/>
        </w:rPr>
        <w:t>7</w:t>
      </w:r>
      <w:r>
        <w:rPr>
          <w:rFonts w:cs="Times New Roman"/>
          <w:color w:val="auto"/>
          <w:lang w:val="el-GR"/>
          <w:highlight w:val="none"/>
        </w:rPr>
        <w:t>　电阻率法</w:t>
      </w:r>
      <w:bookmarkEnd w:id="171"/>
      <w:bookmarkEnd w:id="187"/>
      <w:bookmarkEnd w:id="188"/>
      <w:bookmarkEnd w:id="189"/>
      <w:bookmarkEnd w:id="190"/>
    </w:p>
    <w:p>
      <w:pPr>
        <w:pStyle w:val="2"/>
        <w:tabs>
          <w:tab w:val="left" w:pos="0"/>
        </w:tabs>
        <w:rPr>
          <w:rFonts w:ascii="Times New Roman" w:cs="Times New Roman" w:hAnsi="Times New Roman"/>
          <w:color w:val="auto"/>
          <w:highlight w:val="none"/>
        </w:rPr>
      </w:pPr>
      <w:bookmarkStart w:id="191" w:name="_Toc513828299"/>
      <w:bookmarkStart w:id="192" w:name="_Toc495584122"/>
      <w:bookmarkStart w:id="193" w:name="_Toc38546162"/>
      <w:bookmarkStart w:id="194" w:name="_Toc27387"/>
      <w:bookmarkStart w:id="195" w:name="_Toc35004173"/>
      <w:bookmarkStart w:id="196" w:name="_Toc21007"/>
      <w:bookmarkStart w:id="197" w:name="_Toc22107"/>
      <w:bookmarkStart w:id="198" w:name="_Toc9480"/>
      <w:bookmarkStart w:id="199" w:name="_Toc5024"/>
      <w:bookmarkStart w:id="200" w:name="_Toc11066"/>
      <w:bookmarkStart w:id="201" w:name="_Toc513828207"/>
      <w:bookmarkStart w:id="202" w:name="_Toc30177559"/>
      <w:bookmarkStart w:id="203" w:name="_Toc21468"/>
      <w:bookmarkStart w:id="204" w:name="_Toc34312112"/>
      <w:bookmarkStart w:id="205" w:name="_Toc5951"/>
      <w:bookmarkStart w:id="206" w:name="_Toc35004506"/>
      <w:bookmarkStart w:id="207" w:name="_Toc25316"/>
      <w:bookmarkStart w:id="208" w:name="_Toc27081"/>
      <w:bookmarkStart w:id="209" w:name="_Toc25972"/>
      <w:r>
        <w:rPr>
          <w:rFonts w:ascii="Times New Roman" w:cs="Times New Roman" w:hAnsi="Times New Roman"/>
          <w:color w:val="auto"/>
          <w:highlight w:val="none"/>
        </w:rPr>
        <w:t>7.1　一般规定</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pPr>
        <w:pStyle w:val="3"/>
        <w:tabs>
          <w:tab w:val="left" w:pos="0"/>
          <w:tab w:val="left" w:pos="567"/>
          <w:tab w:val="left" w:pos="709"/>
          <w:tab w:val="left" w:pos="1560"/>
        </w:tabs>
        <w:rPr>
          <w:rFonts w:cs="Times New Roman"/>
          <w:color w:val="auto"/>
          <w:highlight w:val="none"/>
        </w:rPr>
      </w:pPr>
      <w:bookmarkStart w:id="210" w:name="_Toc495584123"/>
      <w:bookmarkStart w:id="211" w:name="_Toc2549"/>
      <w:bookmarkStart w:id="212" w:name="_Toc1574"/>
      <w:bookmarkStart w:id="213" w:name="_Toc2602"/>
      <w:bookmarkStart w:id="214" w:name="_Toc513828208"/>
      <w:bookmarkStart w:id="215" w:name="_Toc513828300"/>
      <w:r>
        <w:rPr>
          <w:rFonts w:cs="Times New Roman"/>
          <w:b/>
          <w:color w:val="auto"/>
          <w:highlight w:val="none"/>
        </w:rPr>
        <w:t>7.1.1</w:t>
      </w:r>
      <w:r>
        <w:rPr>
          <w:rFonts w:cs="Times New Roman"/>
          <w:color w:val="auto"/>
          <w:highlight w:val="none"/>
        </w:rPr>
        <w:t>　电阻率法适用于灌浆过程中直至灌浆料初凝前的套筒灌浆饱满度检测。</w:t>
      </w:r>
    </w:p>
    <w:p>
      <w:pPr>
        <w:pStyle w:val="89"/>
        <w:autoSpaceDE w:val="0"/>
        <w:autoSpaceDN w:val="0"/>
        <w:textAlignment w:val="auto"/>
        <w:rPr>
          <w:rFonts w:eastAsia="仿宋" w:cs="Times New Roman"/>
          <w:color w:val="auto"/>
          <w:szCs w:val="24"/>
          <w:shd w:val="pct10" w:color="auto" w:fill="FFFFFF"/>
          <w:highlight w:val="none"/>
        </w:rPr>
      </w:pPr>
      <w:r>
        <w:rPr>
          <w:rFonts w:eastAsia="仿宋" w:cs="Times New Roman" w:hint="eastAsia"/>
          <w:b/>
          <w:bCs/>
          <w:color w:val="auto"/>
          <w:shd w:val="pct10" w:color="auto" w:fill="FFFFFF"/>
          <w:lang w:val="en-US" w:eastAsia="zh-CN"/>
          <w:highlight w:val="none"/>
        </w:rPr>
        <w:t>条文说明</w:t>
      </w:r>
      <w:r>
        <w:rPr>
          <w:rFonts w:eastAsia="仿宋" w:cs="Times New Roman"/>
          <w:b/>
          <w:bCs/>
          <w:color w:val="auto"/>
          <w:szCs w:val="24"/>
          <w:shd w:val="pct10" w:color="auto" w:fill="FFFFFF"/>
          <w:highlight w:val="none"/>
        </w:rPr>
        <w:t>7.1.1　</w:t>
      </w:r>
      <w:r>
        <w:rPr>
          <w:rFonts w:eastAsia="仿宋" w:cs="Times New Roman"/>
          <w:color w:val="auto"/>
          <w:szCs w:val="24"/>
          <w:shd w:val="pct10" w:color="auto" w:fill="FFFFFF"/>
          <w:highlight w:val="none"/>
        </w:rPr>
        <w:t>电阻率法的工作</w:t>
      </w:r>
      <w:r>
        <w:rPr>
          <w:rFonts w:eastAsia="仿宋" w:cs="Times New Roman"/>
          <w:color w:val="auto"/>
          <w:shd w:val="clear" w:color="FFFFFF" w:fill="D9D9D9"/>
          <w:highlight w:val="none"/>
        </w:rPr>
        <w:t>原理</w:t>
      </w:r>
      <w:r>
        <w:rPr>
          <w:rFonts w:eastAsia="仿宋" w:cs="Times New Roman"/>
          <w:color w:val="auto"/>
          <w:szCs w:val="24"/>
          <w:shd w:val="pct10" w:color="auto" w:fill="FFFFFF"/>
          <w:highlight w:val="none"/>
        </w:rPr>
        <w:t>为通过专用设备测量套筒与探头两电极间的灌浆料电阻值，通过电阻值变化是否超过设定阈值判断套筒灌浆饱满度。测试元件采用特殊工艺进行憎水处理，相比其</w:t>
      </w:r>
      <w:r>
        <w:rPr>
          <w:rFonts w:eastAsia="仿宋" w:cs="Times New Roman" w:hint="eastAsia"/>
          <w:color w:val="auto"/>
          <w:szCs w:val="24"/>
          <w:shd w:val="pct10" w:color="auto" w:fill="FFFFFF"/>
          <w:highlight w:val="none"/>
        </w:rPr>
        <w:t>他</w:t>
      </w:r>
      <w:r>
        <w:rPr>
          <w:rFonts w:eastAsia="仿宋" w:cs="Times New Roman"/>
          <w:color w:val="auto"/>
          <w:szCs w:val="24"/>
          <w:shd w:val="pct10" w:color="auto" w:fill="FFFFFF"/>
          <w:highlight w:val="none"/>
        </w:rPr>
        <w:t>预埋传感器检测方法，其表面粘附浆料少，套筒灌浆饱满度误判概率显著降低。</w:t>
      </w:r>
    </w:p>
    <w:p>
      <w:pPr>
        <w:rPr>
          <w:color w:val="auto"/>
          <w:highlight w:val="none"/>
        </w:rPr>
      </w:pPr>
    </w:p>
    <w:p>
      <w:pPr>
        <w:pStyle w:val="3"/>
        <w:tabs>
          <w:tab w:val="left" w:pos="0"/>
          <w:tab w:val="left" w:pos="567"/>
          <w:tab w:val="left" w:pos="709"/>
          <w:tab w:val="left" w:pos="1560"/>
        </w:tabs>
        <w:rPr>
          <w:rFonts w:cs="Times New Roman"/>
          <w:color w:val="auto"/>
          <w:highlight w:val="none"/>
        </w:rPr>
      </w:pPr>
      <w:bookmarkEnd w:id="210"/>
      <w:bookmarkEnd w:id="211"/>
      <w:bookmarkEnd w:id="212"/>
      <w:bookmarkEnd w:id="213"/>
      <w:bookmarkEnd w:id="214"/>
      <w:bookmarkEnd w:id="215"/>
      <w:r>
        <w:rPr>
          <w:rFonts w:cs="Times New Roman"/>
          <w:b/>
          <w:color w:val="auto"/>
          <w:highlight w:val="none"/>
        </w:rPr>
        <w:t>7.1.2　</w:t>
      </w:r>
      <w:r>
        <w:rPr>
          <w:rFonts w:cs="Times New Roman"/>
          <w:color w:val="auto"/>
          <w:highlight w:val="none"/>
        </w:rPr>
        <w:t>检测结果存在疑义时，可采用钻孔内窥镜法进行验证。</w:t>
      </w:r>
    </w:p>
    <w:p>
      <w:pPr>
        <w:pStyle w:val="2"/>
        <w:tabs>
          <w:tab w:val="left" w:pos="0"/>
        </w:tabs>
        <w:rPr>
          <w:rFonts w:ascii="Times New Roman" w:cs="Times New Roman" w:hAnsi="Times New Roman"/>
          <w:color w:val="auto"/>
          <w:highlight w:val="none"/>
        </w:rPr>
      </w:pPr>
      <w:bookmarkStart w:id="216" w:name="_Toc20837"/>
      <w:bookmarkStart w:id="217" w:name="_Toc30771"/>
      <w:bookmarkStart w:id="218" w:name="_Toc25506"/>
      <w:bookmarkStart w:id="219" w:name="_Toc11516"/>
      <w:bookmarkStart w:id="220" w:name="_Toc23459"/>
      <w:bookmarkStart w:id="221" w:name="_Toc5969"/>
      <w:bookmarkStart w:id="222" w:name="_Toc7077"/>
      <w:r>
        <w:rPr>
          <w:rFonts w:ascii="Times New Roman" w:cs="Times New Roman" w:hAnsi="Times New Roman"/>
          <w:color w:val="auto"/>
          <w:highlight w:val="none"/>
        </w:rPr>
        <w:t>7.2　检测设备</w:t>
      </w:r>
      <w:bookmarkEnd w:id="216"/>
      <w:bookmarkEnd w:id="217"/>
      <w:bookmarkEnd w:id="218"/>
      <w:bookmarkEnd w:id="219"/>
      <w:bookmarkEnd w:id="220"/>
      <w:bookmarkEnd w:id="221"/>
      <w:bookmarkEnd w:id="222"/>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7.2.1</w:t>
      </w:r>
      <w:r>
        <w:rPr>
          <w:rFonts w:cs="Times New Roman"/>
          <w:color w:val="auto"/>
          <w:highlight w:val="none"/>
        </w:rPr>
        <w:t>　电阻率法检测设备应包括</w:t>
      </w:r>
      <w:r>
        <w:rPr>
          <w:rFonts w:cs="Times New Roman" w:hint="eastAsia"/>
          <w:color w:val="auto"/>
          <w:highlight w:val="none"/>
        </w:rPr>
        <w:t>灌浆饱满度</w:t>
      </w:r>
      <w:r>
        <w:rPr>
          <w:rFonts w:cs="Times New Roman"/>
          <w:color w:val="auto"/>
          <w:highlight w:val="none"/>
        </w:rPr>
        <w:t>电阻检测仪、电极探头、橡胶塞等（图7.2.1）。</w:t>
      </w:r>
    </w:p>
    <w:p>
      <w:pPr>
        <w:pStyle w:val="38"/>
        <w:ind w:firstLineChars="0" w:firstLine="0"/>
        <w:jc w:val="center"/>
        <w:rPr>
          <w:rFonts w:cs="Times New Roman"/>
          <w:color w:val="auto"/>
          <w:highlight w:val="none"/>
        </w:rPr>
      </w:pPr>
      <w:r>
        <w:rPr>
          <w:rFonts w:cs="Times New Roman"/>
          <w:color w:val="auto"/>
          <w:highlight w:val="none"/>
        </w:rPr>
        <w:drawing>
          <wp:inline distT="0" distB="0" distL="114300" distR="114300">
            <wp:extent cx="3599815" cy="1596390"/>
            <wp:effectExtent l="0" t="0" r="0" b="1"/>
            <wp:docPr id="688168612" name="图片 688168612" descr="4f94e046a668e392ba7ac5af40e984f"/>
            <wp:cNvGraphicFramePr>
              <a:graphicFrameLocks noChangeAspect="1"/>
            </wp:cNvGraphicFramePr>
            <a:graphic>
              <a:graphicData uri="http://schemas.openxmlformats.org/drawingml/2006/picture">
                <pic:pic>
                  <pic:nvPicPr>
                    <pic:cNvPr id="80" name="图片 80"/>
                    <pic:cNvPicPr/>
                  </pic:nvPicPr>
                  <pic:blipFill>
                    <a:blip r:embed="rId66"/>
                    <a:stretch>
                      <a:fillRect/>
                    </a:stretch>
                  </pic:blipFill>
                  <pic:spPr>
                    <a:xfrm rot="0">
                      <a:off x="0" y="0"/>
                      <a:ext cx="3599815" cy="1596390"/>
                    </a:xfrm>
                    <a:prstGeom prst="rect"/>
                    <a:noFill/>
                    <a:ln w="9525" cmpd="sng" cap="flat">
                      <a:noFill/>
                      <a:prstDash val="solid"/>
                      <a:miter/>
                    </a:ln>
                  </pic:spPr>
                </pic:pic>
              </a:graphicData>
            </a:graphic>
          </wp:inline>
        </w:drawing>
      </w:r>
    </w:p>
    <w:p>
      <w:pPr>
        <w:ind w:firstLineChars="0" w:firstLine="0"/>
        <w:jc w:val="center"/>
        <w:rPr>
          <w:rFonts w:cs="Times New Roman"/>
          <w:color w:val="auto"/>
          <w:sz w:val="21"/>
          <w:szCs w:val="24"/>
          <w:highlight w:val="none"/>
        </w:rPr>
      </w:pPr>
      <w:r>
        <w:rPr>
          <w:rStyle w:val="125"/>
          <w:rFonts w:eastAsia="宋体" w:cs="Times New Roman"/>
          <w:b w:val="0"/>
          <w:color w:val="auto"/>
          <w:szCs w:val="24"/>
          <w:highlight w:val="none"/>
        </w:rPr>
        <w:t>1</w:t>
      </w:r>
      <w:r>
        <w:rPr>
          <w:rFonts w:cs="Times New Roman"/>
          <w:color w:val="auto"/>
          <w:sz w:val="21"/>
          <w:szCs w:val="24"/>
          <w:highlight w:val="none"/>
        </w:rPr>
        <w:t>—电极探头；2—线缆；3—橡胶塞；4—排气孔</w:t>
      </w:r>
    </w:p>
    <w:p>
      <w:pPr>
        <w:snapToGrid w:val="0"/>
        <w:spacing w:beforeLines="50" w:before="156" w:line="300" w:lineRule="auto"/>
        <w:ind w:firstLineChars="0" w:firstLine="0"/>
        <w:jc w:val="center"/>
        <w:rPr>
          <w:rStyle w:val="125"/>
          <w:rFonts w:cs="Times New Roman"/>
          <w:color w:val="auto"/>
          <w:sz w:val="24"/>
          <w:szCs w:val="24"/>
          <w:highlight w:val="none"/>
        </w:rPr>
      </w:pPr>
      <w:r>
        <w:rPr>
          <w:rStyle w:val="125"/>
          <w:rFonts w:cs="Times New Roman"/>
          <w:color w:val="auto"/>
          <w:sz w:val="24"/>
          <w:szCs w:val="24"/>
          <w:highlight w:val="none"/>
        </w:rPr>
        <w:t>图7.2.1　传感器示意</w:t>
      </w:r>
      <w:r>
        <w:rPr>
          <w:rStyle w:val="125"/>
          <w:rFonts w:cs="Times New Roman" w:hint="eastAsia"/>
          <w:color w:val="auto"/>
          <w:sz w:val="24"/>
          <w:szCs w:val="24"/>
          <w:highlight w:val="none"/>
        </w:rPr>
        <w:t>图</w:t>
      </w:r>
    </w:p>
    <w:p>
      <w:pPr>
        <w:pStyle w:val="3"/>
        <w:tabs>
          <w:tab w:val="left" w:pos="0"/>
          <w:tab w:val="left" w:pos="567"/>
          <w:tab w:val="left" w:pos="709"/>
          <w:tab w:val="left" w:pos="1560"/>
        </w:tabs>
        <w:rPr>
          <w:rFonts w:cs="Times New Roman"/>
          <w:b/>
          <w:color w:val="auto"/>
          <w:highlight w:val="none"/>
        </w:rPr>
      </w:pPr>
      <w:r>
        <w:rPr>
          <w:rFonts w:cs="Times New Roman"/>
          <w:b/>
          <w:color w:val="auto"/>
          <w:highlight w:val="none"/>
        </w:rPr>
        <w:t>7.2.2</w:t>
      </w:r>
      <w:r>
        <w:rPr>
          <w:rFonts w:cs="Times New Roman"/>
          <w:color w:val="auto"/>
          <w:highlight w:val="none"/>
        </w:rPr>
        <w:t>　灌浆饱满度</w:t>
      </w:r>
      <w:r>
        <w:rPr>
          <w:rFonts w:cs="Times New Roman" w:hint="eastAsia"/>
          <w:color w:val="auto"/>
          <w:lang w:val="en-US" w:eastAsia="zh-CN"/>
          <w:highlight w:val="none"/>
        </w:rPr>
        <w:t>电阻</w:t>
      </w:r>
      <w:r>
        <w:rPr>
          <w:rFonts w:cs="Times New Roman"/>
          <w:color w:val="auto"/>
          <w:highlight w:val="none"/>
        </w:rPr>
        <w:t>测试仪应采用内置电池供电。</w:t>
      </w:r>
    </w:p>
    <w:p>
      <w:pPr>
        <w:pStyle w:val="3"/>
        <w:tabs>
          <w:tab w:val="left" w:pos="0"/>
          <w:tab w:val="left" w:pos="567"/>
          <w:tab w:val="left" w:pos="709"/>
          <w:tab w:val="left" w:pos="1560"/>
        </w:tabs>
        <w:rPr>
          <w:rFonts w:cs="Times New Roman"/>
          <w:b/>
          <w:color w:val="auto"/>
          <w:highlight w:val="none"/>
        </w:rPr>
      </w:pPr>
      <w:r>
        <w:rPr>
          <w:rFonts w:cs="Times New Roman"/>
          <w:b/>
          <w:color w:val="auto"/>
          <w:highlight w:val="none"/>
        </w:rPr>
        <w:t>7.2.3</w:t>
      </w:r>
      <w:r>
        <w:rPr>
          <w:rFonts w:cs="Times New Roman"/>
          <w:color w:val="auto"/>
          <w:highlight w:val="none"/>
        </w:rPr>
        <w:t>　电极探头应具有不粘浆液的特性，电极探头线缆表面应包覆憎水性材料。</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7.2.4</w:t>
      </w:r>
      <w:r>
        <w:rPr>
          <w:rFonts w:cs="Times New Roman"/>
          <w:color w:val="auto"/>
          <w:highlight w:val="none"/>
        </w:rPr>
        <w:t>　电极探头应与橡胶塞集成设计，橡胶塞上线缆穿孔孔径应与线缆直径相同。</w:t>
      </w:r>
    </w:p>
    <w:p>
      <w:pPr>
        <w:pStyle w:val="2"/>
        <w:tabs>
          <w:tab w:val="left" w:pos="0"/>
        </w:tabs>
        <w:rPr>
          <w:rFonts w:ascii="Times New Roman" w:cs="Times New Roman" w:hAnsi="Times New Roman"/>
          <w:color w:val="auto"/>
          <w:highlight w:val="none"/>
        </w:rPr>
      </w:pPr>
      <w:bookmarkStart w:id="223" w:name="_Toc8496"/>
      <w:bookmarkStart w:id="224" w:name="_Toc7119"/>
      <w:bookmarkStart w:id="225" w:name="_Toc9773"/>
      <w:bookmarkStart w:id="226" w:name="_Toc317"/>
      <w:bookmarkStart w:id="227" w:name="_Toc23345"/>
      <w:bookmarkStart w:id="228" w:name="_Toc433"/>
      <w:bookmarkStart w:id="229" w:name="_Toc8504"/>
      <w:r>
        <w:rPr>
          <w:rFonts w:ascii="Times New Roman" w:cs="Times New Roman" w:hAnsi="Times New Roman"/>
          <w:color w:val="auto"/>
          <w:highlight w:val="none"/>
        </w:rPr>
        <w:t>7.3　检测</w:t>
      </w:r>
      <w:bookmarkEnd w:id="223"/>
      <w:bookmarkEnd w:id="224"/>
      <w:bookmarkEnd w:id="225"/>
      <w:bookmarkEnd w:id="226"/>
      <w:bookmarkEnd w:id="227"/>
      <w:bookmarkEnd w:id="228"/>
      <w:bookmarkEnd w:id="229"/>
    </w:p>
    <w:p>
      <w:pPr>
        <w:pStyle w:val="3"/>
        <w:tabs>
          <w:tab w:val="left" w:pos="0"/>
          <w:tab w:val="left" w:pos="567"/>
          <w:tab w:val="left" w:pos="709"/>
          <w:tab w:val="left" w:pos="1560"/>
        </w:tabs>
        <w:rPr>
          <w:rFonts w:cs="Times New Roman"/>
          <w:b/>
          <w:color w:val="auto"/>
          <w:highlight w:val="none"/>
        </w:rPr>
      </w:pPr>
      <w:r>
        <w:rPr>
          <w:rFonts w:cs="Times New Roman"/>
          <w:b/>
          <w:color w:val="auto"/>
          <w:highlight w:val="none"/>
        </w:rPr>
        <w:t>7.3.1</w:t>
      </w:r>
      <w:r>
        <w:rPr>
          <w:rFonts w:cs="Times New Roman"/>
          <w:color w:val="auto"/>
          <w:highlight w:val="none"/>
        </w:rPr>
        <w:t>　采用电阻率法检测套筒灌浆饱满度前应准备下列工作：</w:t>
      </w:r>
    </w:p>
    <w:p>
      <w:pPr>
        <w:rPr>
          <w:rFonts w:cs="Times New Roman"/>
          <w:color w:val="auto"/>
          <w:highlight w:val="none"/>
        </w:rPr>
      </w:pPr>
      <w:r>
        <w:rPr>
          <w:rFonts w:cs="Times New Roman"/>
          <w:b/>
          <w:bCs/>
          <w:color w:val="auto"/>
          <w:szCs w:val="32"/>
          <w:highlight w:val="none"/>
        </w:rPr>
        <w:t>1　</w:t>
      </w:r>
      <w:r>
        <w:rPr>
          <w:rFonts w:cs="Times New Roman"/>
          <w:color w:val="auto"/>
          <w:highlight w:val="none"/>
        </w:rPr>
        <w:t>检查设备的正常情况；</w:t>
      </w:r>
    </w:p>
    <w:p>
      <w:pPr>
        <w:rPr>
          <w:rFonts w:cs="Times New Roman"/>
          <w:color w:val="auto"/>
          <w:highlight w:val="none"/>
        </w:rPr>
      </w:pPr>
      <w:r>
        <w:rPr>
          <w:rFonts w:cs="Times New Roman"/>
          <w:b/>
          <w:bCs/>
          <w:color w:val="auto"/>
          <w:szCs w:val="32"/>
          <w:highlight w:val="none"/>
        </w:rPr>
        <w:t>2　</w:t>
      </w:r>
      <w:r>
        <w:rPr>
          <w:rFonts w:cs="Times New Roman"/>
          <w:color w:val="auto"/>
          <w:highlight w:val="none"/>
        </w:rPr>
        <w:t>记录工程名称、套筒所在构件编号、套筒具体位置、检测人员信息等，经检测后需补灌浆的结构构件部位应有补浆前后的检测结果。</w:t>
      </w:r>
    </w:p>
    <w:p>
      <w:pPr>
        <w:pStyle w:val="3"/>
        <w:tabs>
          <w:tab w:val="left" w:pos="0"/>
          <w:tab w:val="left" w:pos="567"/>
          <w:tab w:val="left" w:pos="709"/>
          <w:tab w:val="left" w:pos="1560"/>
        </w:tabs>
        <w:rPr>
          <w:rFonts w:cs="Times New Roman"/>
          <w:b/>
          <w:color w:val="auto"/>
          <w:highlight w:val="none"/>
        </w:rPr>
      </w:pPr>
      <w:r>
        <w:rPr>
          <w:rFonts w:cs="Times New Roman"/>
          <w:b/>
          <w:color w:val="auto"/>
          <w:highlight w:val="none"/>
        </w:rPr>
        <w:t>7.3.2</w:t>
      </w:r>
      <w:r>
        <w:rPr>
          <w:rFonts w:cs="Times New Roman"/>
          <w:color w:val="auto"/>
          <w:highlight w:val="none"/>
        </w:rPr>
        <w:t>　电阻率法检测套筒灌浆饱满度应符合下列规定：</w:t>
      </w:r>
    </w:p>
    <w:p>
      <w:pPr>
        <w:rPr>
          <w:rFonts w:cs="Times New Roman"/>
          <w:color w:val="auto"/>
          <w:highlight w:val="none"/>
        </w:rPr>
      </w:pPr>
      <w:r>
        <w:rPr>
          <w:rFonts w:cs="Times New Roman"/>
          <w:b/>
          <w:bCs/>
          <w:color w:val="auto"/>
          <w:szCs w:val="32"/>
          <w:highlight w:val="none"/>
        </w:rPr>
        <w:t>1　</w:t>
      </w:r>
      <w:r>
        <w:rPr>
          <w:rFonts w:cs="Times New Roman"/>
          <w:color w:val="auto"/>
          <w:highlight w:val="none"/>
        </w:rPr>
        <w:t>电极探头</w:t>
      </w:r>
      <w:r>
        <w:rPr>
          <w:rFonts w:cs="Times New Roman" w:hint="eastAsia"/>
          <w:color w:val="auto"/>
          <w:highlight w:val="none"/>
        </w:rPr>
        <w:t>应</w:t>
      </w:r>
      <w:r>
        <w:rPr>
          <w:rFonts w:cs="Times New Roman"/>
          <w:color w:val="auto"/>
          <w:highlight w:val="none"/>
        </w:rPr>
        <w:t>设置于套筒的出浆口，调节连接线缆长度，探头端部电极不应接触套筒内部钢筋；</w:t>
      </w:r>
    </w:p>
    <w:p>
      <w:pPr>
        <w:rPr>
          <w:rFonts w:cs="Times New Roman"/>
          <w:color w:val="auto"/>
          <w:highlight w:val="none"/>
        </w:rPr>
      </w:pPr>
      <w:r>
        <w:rPr>
          <w:rFonts w:cs="Times New Roman"/>
          <w:b/>
          <w:bCs/>
          <w:color w:val="auto"/>
          <w:szCs w:val="32"/>
          <w:highlight w:val="none"/>
        </w:rPr>
        <w:t>2　</w:t>
      </w:r>
      <w:r>
        <w:rPr>
          <w:rFonts w:cs="Times New Roman"/>
          <w:color w:val="auto"/>
          <w:highlight w:val="none"/>
        </w:rPr>
        <w:t>电极探头就位时，自带橡胶塞的排气孔应位于正上方；橡胶塞应在出浆口紧固到位，出浆时不应被冲出；橡胶塞上的排气孔应保持畅通；</w:t>
      </w:r>
    </w:p>
    <w:p>
      <w:pPr>
        <w:rPr>
          <w:rFonts w:cs="Times New Roman"/>
          <w:color w:val="auto"/>
          <w:highlight w:val="none"/>
        </w:rPr>
      </w:pPr>
      <w:r>
        <w:rPr>
          <w:rFonts w:cs="Times New Roman"/>
          <w:b/>
          <w:bCs/>
          <w:color w:val="auto"/>
          <w:szCs w:val="32"/>
          <w:highlight w:val="none"/>
        </w:rPr>
        <w:t>3　</w:t>
      </w:r>
      <w:r>
        <w:rPr>
          <w:rFonts w:cs="Times New Roman"/>
          <w:color w:val="auto"/>
          <w:highlight w:val="none"/>
        </w:rPr>
        <w:t>灌浆前，应将灌浆饱满度</w:t>
      </w:r>
      <w:r>
        <w:rPr>
          <w:rFonts w:cs="Times New Roman" w:hint="eastAsia"/>
          <w:color w:val="auto"/>
          <w:highlight w:val="none"/>
        </w:rPr>
        <w:t>电阻检测</w:t>
      </w:r>
      <w:r>
        <w:rPr>
          <w:rFonts w:cs="Times New Roman"/>
          <w:color w:val="auto"/>
          <w:highlight w:val="none"/>
        </w:rPr>
        <w:t>仪与电极探头相连，</w:t>
      </w:r>
      <w:r>
        <w:rPr>
          <w:rFonts w:cs="Times New Roman" w:hint="eastAsia"/>
          <w:color w:val="auto"/>
          <w:lang w:val="en-US" w:eastAsia="zh-CN"/>
          <w:highlight w:val="none"/>
        </w:rPr>
        <w:t>检测</w:t>
      </w:r>
      <w:r>
        <w:rPr>
          <w:rFonts w:cs="Times New Roman"/>
          <w:color w:val="auto"/>
          <w:highlight w:val="none"/>
        </w:rPr>
        <w:t>仪启动自检；灌浆过程中，</w:t>
      </w:r>
      <w:r>
        <w:rPr>
          <w:rFonts w:cs="Times New Roman" w:hint="eastAsia"/>
          <w:color w:val="auto"/>
          <w:highlight w:val="none"/>
        </w:rPr>
        <w:t>应</w:t>
      </w:r>
      <w:r>
        <w:rPr>
          <w:rFonts w:cs="Times New Roman"/>
          <w:color w:val="auto"/>
          <w:highlight w:val="none"/>
        </w:rPr>
        <w:t>实时监测探头的电阻值并做记录。</w:t>
      </w:r>
    </w:p>
    <w:p>
      <w:pPr>
        <w:pStyle w:val="3"/>
        <w:tabs>
          <w:tab w:val="left" w:pos="0"/>
          <w:tab w:val="left" w:pos="567"/>
          <w:tab w:val="left" w:pos="709"/>
          <w:tab w:val="left" w:pos="1560"/>
        </w:tabs>
        <w:rPr>
          <w:rFonts w:cs="Times New Roman"/>
          <w:color w:val="auto"/>
          <w:highlight w:val="none"/>
        </w:rPr>
      </w:pPr>
      <w:bookmarkStart w:id="230" w:name="_Toc13920"/>
      <w:r>
        <w:rPr>
          <w:rFonts w:cs="Times New Roman"/>
          <w:b/>
          <w:color w:val="auto"/>
          <w:highlight w:val="none"/>
        </w:rPr>
        <w:t>7.3.3</w:t>
      </w:r>
      <w:r>
        <w:rPr>
          <w:rFonts w:cs="Times New Roman"/>
          <w:color w:val="auto"/>
          <w:highlight w:val="none"/>
        </w:rPr>
        <w:t>　灌浆套筒抽检数量不宜少于</w:t>
      </w:r>
      <w:r>
        <w:rPr>
          <w:rFonts w:cs="Times New Roman" w:hint="eastAsia"/>
          <w:color w:val="auto"/>
          <w:highlight w:val="none"/>
        </w:rPr>
        <w:t>被测</w:t>
      </w:r>
      <w:r>
        <w:rPr>
          <w:rFonts w:cs="Times New Roman"/>
          <w:color w:val="auto"/>
          <w:highlight w:val="none"/>
        </w:rPr>
        <w:t>连接部位套筒数量的50%，</w:t>
      </w:r>
      <w:r>
        <w:rPr>
          <w:rFonts w:cs="Times New Roman" w:hint="eastAsia"/>
          <w:b w:val="0"/>
          <w:bCs/>
          <w:color w:val="auto"/>
          <w:lang w:val="en-US" w:eastAsia="zh-CN"/>
          <w:highlight w:val="none"/>
        </w:rPr>
        <w:t>且</w:t>
      </w:r>
      <w:r>
        <w:rPr>
          <w:rFonts w:cs="Times New Roman"/>
          <w:color w:val="auto"/>
          <w:highlight w:val="none"/>
        </w:rPr>
        <w:t>抽样应具有代表性。当委托方有要求时，可选择全数检测方式。</w:t>
      </w:r>
    </w:p>
    <w:p>
      <w:pPr>
        <w:pStyle w:val="89"/>
        <w:autoSpaceDE w:val="0"/>
        <w:autoSpaceDN w:val="0"/>
        <w:textAlignment w:val="auto"/>
        <w:rPr>
          <w:color w:val="auto"/>
          <w:highlight w:val="none"/>
        </w:rPr>
      </w:pPr>
      <w:r>
        <w:rPr>
          <w:rFonts w:eastAsia="仿宋" w:cs="Times New Roman" w:hint="eastAsia"/>
          <w:b/>
          <w:bCs/>
          <w:color w:val="auto"/>
          <w:shd w:val="pct10" w:color="auto" w:fill="FFFFFF"/>
          <w:lang w:val="en-US" w:eastAsia="zh-CN"/>
          <w:highlight w:val="none"/>
        </w:rPr>
        <w:t>条文说明</w:t>
      </w:r>
      <w:r>
        <w:rPr>
          <w:rFonts w:eastAsia="仿宋" w:cs="Times New Roman"/>
          <w:b/>
          <w:bCs/>
          <w:color w:val="auto"/>
          <w:szCs w:val="24"/>
          <w:shd w:val="pct10" w:color="auto" w:fill="FFFFFF"/>
          <w:highlight w:val="none"/>
        </w:rPr>
        <w:t>7.3.3　</w:t>
      </w:r>
      <w:r>
        <w:rPr>
          <w:rFonts w:eastAsia="仿宋" w:cs="Times New Roman"/>
          <w:color w:val="auto"/>
          <w:szCs w:val="24"/>
          <w:shd w:val="pct10" w:color="auto" w:fill="FFFFFF"/>
          <w:highlight w:val="none"/>
        </w:rPr>
        <w:t>套筒灌浆饱满度电阻率法现场操作方便，满足套筒灌浆施工过程实时、快速检测要求。为更好地保证装配式桥梁套筒灌浆连接节点的施工质量，本</w:t>
      </w:r>
      <w:r>
        <w:rPr>
          <w:rFonts w:eastAsia="仿宋" w:cs="Times New Roman" w:hint="eastAsia"/>
          <w:color w:val="auto"/>
          <w:szCs w:val="24"/>
          <w:shd w:val="pct10" w:color="auto" w:fill="FFFFFF"/>
          <w:highlight w:val="none"/>
        </w:rPr>
        <w:t>标准</w:t>
      </w:r>
      <w:r>
        <w:rPr>
          <w:rFonts w:eastAsia="仿宋" w:cs="Times New Roman"/>
          <w:color w:val="auto"/>
          <w:szCs w:val="24"/>
          <w:shd w:val="pct10" w:color="auto" w:fill="FFFFFF"/>
          <w:highlight w:val="none"/>
        </w:rPr>
        <w:t>将电阻率法的抽检比例选为50%，抽检比例虽然比阻尼传感器法显著增加，但检测费用仅为阻尼传感器法的1/5。对于装配式桥梁节点工程质量有严格要求的工程项目，本</w:t>
      </w:r>
      <w:r>
        <w:rPr>
          <w:rFonts w:eastAsia="仿宋" w:cs="Times New Roman" w:hint="eastAsia"/>
          <w:color w:val="auto"/>
          <w:szCs w:val="24"/>
          <w:shd w:val="pct10" w:color="auto" w:fill="FFFFFF"/>
          <w:highlight w:val="none"/>
        </w:rPr>
        <w:t>标准</w:t>
      </w:r>
      <w:r>
        <w:rPr>
          <w:rFonts w:eastAsia="仿宋" w:cs="Times New Roman"/>
          <w:color w:val="auto"/>
          <w:szCs w:val="24"/>
          <w:shd w:val="pct10" w:color="auto" w:fill="FFFFFF"/>
          <w:highlight w:val="none"/>
        </w:rPr>
        <w:t>建议采用电阻率法对装配式桥梁节点的所有套筒灌浆质量进行全数检测，该方法实施全数检测的费用与阻尼传感器法抽检20%相当。</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7.3.4　</w:t>
      </w:r>
      <w:r>
        <w:rPr>
          <w:rFonts w:cs="Times New Roman"/>
          <w:color w:val="auto"/>
          <w:highlight w:val="none"/>
        </w:rPr>
        <w:t>电阻率法的检测</w:t>
      </w:r>
      <w:r>
        <w:rPr>
          <w:rFonts w:cs="Times New Roman" w:hint="eastAsia"/>
          <w:color w:val="auto"/>
          <w:lang w:val="en-US" w:eastAsia="zh-CN"/>
          <w:highlight w:val="none"/>
        </w:rPr>
        <w:t>记录</w:t>
      </w:r>
      <w:r>
        <w:rPr>
          <w:rFonts w:cs="Times New Roman"/>
          <w:color w:val="auto"/>
          <w:highlight w:val="none"/>
        </w:rPr>
        <w:t>应按本标准附录D记录。</w:t>
      </w:r>
    </w:p>
    <w:p>
      <w:pPr>
        <w:rPr>
          <w:color w:val="auto"/>
          <w:highlight w:val="none"/>
        </w:rPr>
      </w:pPr>
    </w:p>
    <w:p>
      <w:pPr>
        <w:pStyle w:val="2"/>
        <w:tabs>
          <w:tab w:val="left" w:pos="0"/>
        </w:tabs>
        <w:rPr>
          <w:rFonts w:ascii="Times New Roman" w:cs="Times New Roman" w:hAnsi="Times New Roman"/>
          <w:color w:val="auto"/>
          <w:highlight w:val="none"/>
        </w:rPr>
      </w:pPr>
      <w:bookmarkStart w:id="231" w:name="_Toc5668"/>
      <w:bookmarkStart w:id="232" w:name="_Toc28759"/>
      <w:bookmarkStart w:id="233" w:name="_Toc12033"/>
      <w:bookmarkStart w:id="234" w:name="_Toc20919"/>
      <w:bookmarkStart w:id="235" w:name="_Toc10879"/>
      <w:bookmarkStart w:id="236" w:name="_Toc7612"/>
      <w:r>
        <w:rPr>
          <w:rFonts w:ascii="Times New Roman" w:cs="Times New Roman" w:hAnsi="Times New Roman"/>
          <w:color w:val="auto"/>
          <w:highlight w:val="none"/>
        </w:rPr>
        <w:t>7.4　评定</w:t>
      </w:r>
      <w:bookmarkEnd w:id="230"/>
      <w:bookmarkEnd w:id="231"/>
      <w:bookmarkEnd w:id="232"/>
      <w:bookmarkEnd w:id="233"/>
      <w:bookmarkEnd w:id="234"/>
      <w:bookmarkEnd w:id="235"/>
      <w:bookmarkEnd w:id="236"/>
    </w:p>
    <w:p>
      <w:pPr>
        <w:pStyle w:val="3"/>
        <w:tabs>
          <w:tab w:val="left" w:pos="0"/>
          <w:tab w:val="left" w:pos="567"/>
          <w:tab w:val="left" w:pos="709"/>
          <w:tab w:val="left" w:pos="1560"/>
        </w:tabs>
        <w:rPr>
          <w:rFonts w:cs="Times New Roman"/>
          <w:b/>
          <w:color w:val="auto"/>
          <w:highlight w:val="none"/>
        </w:rPr>
      </w:pPr>
      <w:r>
        <w:rPr>
          <w:rFonts w:cs="Times New Roman"/>
          <w:b/>
          <w:color w:val="auto"/>
          <w:highlight w:val="none"/>
        </w:rPr>
        <w:t>7.4.1</w:t>
      </w:r>
      <w:r>
        <w:rPr>
          <w:rFonts w:cs="Times New Roman"/>
          <w:color w:val="auto"/>
          <w:highlight w:val="none"/>
        </w:rPr>
        <w:t>　套筒灌浆饱满度应根据灌浆饱满度</w:t>
      </w:r>
      <w:r>
        <w:rPr>
          <w:rFonts w:cs="Times New Roman" w:hint="eastAsia"/>
          <w:color w:val="auto"/>
          <w:lang w:val="en-US" w:eastAsia="zh-CN"/>
          <w:highlight w:val="none"/>
        </w:rPr>
        <w:t>电阻检测</w:t>
      </w:r>
      <w:r>
        <w:rPr>
          <w:rFonts w:cs="Times New Roman"/>
          <w:color w:val="auto"/>
          <w:highlight w:val="none"/>
        </w:rPr>
        <w:t>仪输出的电阻值和监测时程曲线判断。</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7.4.2　</w:t>
      </w:r>
      <w:r>
        <w:rPr>
          <w:rFonts w:cs="Times New Roman"/>
          <w:color w:val="auto"/>
          <w:highlight w:val="none"/>
        </w:rPr>
        <w:t>套筒灌浆饱满度等级评定应符合表7.4.2的规定。</w:t>
      </w:r>
    </w:p>
    <w:p>
      <w:pPr>
        <w:snapToGrid w:val="0"/>
        <w:spacing w:beforeLines="50" w:before="156" w:line="300" w:lineRule="auto"/>
        <w:ind w:firstLineChars="0" w:firstLine="0"/>
        <w:jc w:val="center"/>
        <w:rPr>
          <w:rStyle w:val="125"/>
          <w:rFonts w:cs="Times New Roman"/>
          <w:color w:val="auto"/>
          <w:highlight w:val="none"/>
        </w:rPr>
      </w:pPr>
      <w:r>
        <w:rPr>
          <w:rStyle w:val="125"/>
          <w:rFonts w:cs="Times New Roman"/>
          <w:color w:val="auto"/>
          <w:highlight w:val="none"/>
        </w:rPr>
        <w:t>表7.4.2　套筒灌浆饱满度等级评定标准</w:t>
      </w:r>
    </w:p>
    <w:tbl>
      <w:tblPr>
        <w:jc w:val="center"/>
        <w:tblW w:w="38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600" w:firstRow="0" w:lastRow="0" w:firstColumn="0" w:lastColumn="0" w:noHBand="1" w:noVBand="1"/>
      </w:tblPr>
      <w:tblGrid>
        <w:gridCol w:w="2448"/>
        <w:gridCol w:w="2417"/>
        <w:gridCol w:w="2078"/>
      </w:tblGrid>
      <w:tr>
        <w:tc>
          <w:tcPr>
            <w:tcW w:w="1762" w:type="pct"/>
            <w:tcBorders>
              <w:top w:val="single" w:sz="12" w:space="0" w:color="auto"/>
              <w:left w:val="single" w:sz="12" w:space="0" w:color="auto"/>
              <w:bottom w:val="single" w:sz="4" w:space="0" w:color="auto"/>
              <w:right w:val="single" w:sz="4" w:space="0" w:color="auto"/>
            </w:tcBorders>
          </w:tcPr>
          <w:p>
            <w:pPr>
              <w:pStyle w:val="38"/>
              <w:spacing w:after="0"/>
              <w:ind w:firstLineChars="0" w:firstLine="0"/>
              <w:jc w:val="center"/>
              <w:rPr>
                <w:rFonts w:cs="Times New Roman"/>
                <w:b/>
                <w:bCs/>
                <w:color w:val="auto"/>
                <w:sz w:val="21"/>
                <w:szCs w:val="21"/>
                <w:highlight w:val="none"/>
              </w:rPr>
            </w:pPr>
            <w:r>
              <w:rPr>
                <w:rFonts w:cs="Times New Roman"/>
                <w:b/>
                <w:bCs/>
                <w:color w:val="auto"/>
                <w:sz w:val="21"/>
                <w:szCs w:val="21"/>
                <w:highlight w:val="none"/>
              </w:rPr>
              <w:t>测量电阻值/MΩ</w:t>
            </w:r>
          </w:p>
        </w:tc>
        <w:tc>
          <w:tcPr>
            <w:tcW w:w="1740" w:type="pct"/>
            <w:tcBorders>
              <w:top w:val="single" w:sz="12" w:space="0" w:color="auto"/>
              <w:left w:val="single" w:sz="4" w:space="0" w:color="auto"/>
              <w:bottom w:val="single" w:sz="4" w:space="0" w:color="auto"/>
              <w:right w:val="single" w:sz="4" w:space="0" w:color="auto"/>
            </w:tcBorders>
          </w:tcPr>
          <w:p>
            <w:pPr>
              <w:pStyle w:val="38"/>
              <w:spacing w:after="0"/>
              <w:ind w:firstLineChars="0" w:firstLine="0"/>
              <w:jc w:val="center"/>
              <w:rPr>
                <w:rFonts w:cs="Times New Roman"/>
                <w:b/>
                <w:bCs/>
                <w:color w:val="auto"/>
                <w:sz w:val="21"/>
                <w:szCs w:val="21"/>
                <w:highlight w:val="none"/>
              </w:rPr>
            </w:pPr>
            <w:r>
              <w:rPr>
                <w:rFonts w:cs="Times New Roman"/>
                <w:b/>
                <w:bCs/>
                <w:color w:val="auto"/>
                <w:sz w:val="21"/>
                <w:szCs w:val="21"/>
                <w:highlight w:val="none"/>
              </w:rPr>
              <w:t>饱满度描述</w:t>
            </w:r>
          </w:p>
        </w:tc>
        <w:tc>
          <w:tcPr>
            <w:tcW w:w="1496" w:type="pct"/>
            <w:tcBorders>
              <w:top w:val="single" w:sz="12" w:space="0" w:color="auto"/>
              <w:left w:val="single" w:sz="4" w:space="0" w:color="auto"/>
              <w:bottom w:val="single" w:sz="4" w:space="0" w:color="auto"/>
              <w:right w:val="single" w:sz="12" w:space="0" w:color="auto"/>
            </w:tcBorders>
          </w:tcPr>
          <w:p>
            <w:pPr>
              <w:pStyle w:val="38"/>
              <w:spacing w:after="0"/>
              <w:ind w:firstLineChars="0" w:firstLine="0"/>
              <w:jc w:val="center"/>
              <w:rPr>
                <w:rFonts w:cs="Times New Roman"/>
                <w:b/>
                <w:bCs/>
                <w:color w:val="auto"/>
                <w:sz w:val="21"/>
                <w:szCs w:val="21"/>
                <w:highlight w:val="none"/>
              </w:rPr>
            </w:pPr>
            <w:r>
              <w:rPr>
                <w:rFonts w:cs="Times New Roman"/>
                <w:b/>
                <w:bCs/>
                <w:color w:val="auto"/>
                <w:sz w:val="21"/>
                <w:szCs w:val="21"/>
                <w:highlight w:val="none"/>
              </w:rPr>
              <w:t>评定等级</w:t>
            </w:r>
          </w:p>
        </w:tc>
      </w:tr>
      <w:tr>
        <w:tc>
          <w:tcPr>
            <w:tcW w:w="1762" w:type="pct"/>
            <w:tcBorders>
              <w:top w:val="single" w:sz="4" w:space="0" w:color="auto"/>
              <w:left w:val="single" w:sz="12" w:space="0" w:color="auto"/>
              <w:bottom w:val="single" w:sz="4" w:space="0" w:color="auto"/>
              <w:right w:val="single" w:sz="4" w:space="0" w:color="auto"/>
            </w:tcBorders>
          </w:tcPr>
          <w:p>
            <w:pPr>
              <w:pStyle w:val="38"/>
              <w:spacing w:after="0"/>
              <w:ind w:firstLineChars="0" w:firstLine="0"/>
              <w:jc w:val="center"/>
              <w:rPr>
                <w:rFonts w:cs="Times New Roman"/>
                <w:color w:val="auto"/>
                <w:sz w:val="21"/>
                <w:szCs w:val="21"/>
                <w:highlight w:val="none"/>
              </w:rPr>
            </w:pPr>
            <w:r>
              <w:rPr>
                <w:rFonts w:cs="Times New Roman"/>
                <w:color w:val="auto"/>
                <w:sz w:val="21"/>
                <w:szCs w:val="21"/>
                <w:highlight w:val="none"/>
              </w:rPr>
              <w:t>≤100</w:t>
            </w:r>
          </w:p>
        </w:tc>
        <w:tc>
          <w:tcPr>
            <w:tcW w:w="1740" w:type="pct"/>
            <w:tcBorders>
              <w:top w:val="single" w:sz="4" w:space="0" w:color="auto"/>
              <w:left w:val="single" w:sz="4" w:space="0" w:color="auto"/>
              <w:bottom w:val="single" w:sz="4" w:space="0" w:color="auto"/>
              <w:right w:val="single" w:sz="4" w:space="0" w:color="auto"/>
            </w:tcBorders>
          </w:tcPr>
          <w:p>
            <w:pPr>
              <w:pStyle w:val="38"/>
              <w:spacing w:after="0"/>
              <w:ind w:firstLineChars="0" w:firstLine="0"/>
              <w:jc w:val="center"/>
              <w:rPr>
                <w:rFonts w:cs="Times New Roman"/>
                <w:color w:val="auto"/>
                <w:sz w:val="21"/>
                <w:szCs w:val="21"/>
                <w:highlight w:val="none"/>
              </w:rPr>
            </w:pPr>
            <w:r>
              <w:rPr>
                <w:rFonts w:cs="Times New Roman"/>
                <w:color w:val="auto"/>
                <w:sz w:val="21"/>
                <w:szCs w:val="21"/>
                <w:highlight w:val="none"/>
              </w:rPr>
              <w:t>灌浆饱满</w:t>
            </w:r>
          </w:p>
        </w:tc>
        <w:tc>
          <w:tcPr>
            <w:tcW w:w="1496" w:type="pct"/>
            <w:tcBorders>
              <w:top w:val="single" w:sz="4" w:space="0" w:color="auto"/>
              <w:left w:val="single" w:sz="4" w:space="0" w:color="auto"/>
              <w:bottom w:val="single" w:sz="4" w:space="0" w:color="auto"/>
              <w:right w:val="single" w:sz="12" w:space="0" w:color="auto"/>
            </w:tcBorders>
          </w:tcPr>
          <w:p>
            <w:pPr>
              <w:pStyle w:val="38"/>
              <w:spacing w:after="0"/>
              <w:ind w:firstLineChars="0" w:firstLine="0"/>
              <w:jc w:val="center"/>
              <w:rPr>
                <w:rFonts w:cs="Times New Roman"/>
                <w:color w:val="auto"/>
                <w:sz w:val="21"/>
                <w:szCs w:val="21"/>
                <w:highlight w:val="none"/>
              </w:rPr>
            </w:pPr>
            <w:r>
              <w:rPr>
                <w:rFonts w:cs="Times New Roman"/>
                <w:color w:val="auto"/>
                <w:sz w:val="21"/>
                <w:szCs w:val="21"/>
                <w:highlight w:val="none"/>
              </w:rPr>
              <w:t>I类</w:t>
            </w:r>
          </w:p>
        </w:tc>
      </w:tr>
      <w:tr>
        <w:tc>
          <w:tcPr>
            <w:tcW w:w="1762" w:type="pct"/>
            <w:tcBorders>
              <w:top w:val="single" w:sz="4" w:space="0" w:color="auto"/>
              <w:left w:val="single" w:sz="12" w:space="0" w:color="auto"/>
              <w:bottom w:val="single" w:sz="12" w:space="0" w:color="auto"/>
              <w:right w:val="single" w:sz="4" w:space="0" w:color="auto"/>
            </w:tcBorders>
          </w:tcPr>
          <w:p>
            <w:pPr>
              <w:pStyle w:val="38"/>
              <w:spacing w:after="0"/>
              <w:ind w:firstLineChars="0" w:firstLine="0"/>
              <w:jc w:val="center"/>
              <w:rPr>
                <w:rFonts w:cs="Times New Roman"/>
                <w:color w:val="auto"/>
                <w:sz w:val="21"/>
                <w:szCs w:val="21"/>
                <w:highlight w:val="none"/>
              </w:rPr>
            </w:pPr>
            <w:r>
              <w:rPr>
                <w:rFonts w:cs="Times New Roman"/>
                <w:color w:val="auto"/>
                <w:sz w:val="21"/>
                <w:szCs w:val="21"/>
                <w:highlight w:val="none"/>
              </w:rPr>
              <w:t>＞100</w:t>
            </w:r>
          </w:p>
        </w:tc>
        <w:tc>
          <w:tcPr>
            <w:tcW w:w="1740" w:type="pct"/>
            <w:tcBorders>
              <w:top w:val="single" w:sz="4" w:space="0" w:color="auto"/>
              <w:left w:val="single" w:sz="4" w:space="0" w:color="auto"/>
              <w:bottom w:val="single" w:sz="12" w:space="0" w:color="auto"/>
              <w:right w:val="single" w:sz="4" w:space="0" w:color="auto"/>
            </w:tcBorders>
          </w:tcPr>
          <w:p>
            <w:pPr>
              <w:pStyle w:val="38"/>
              <w:spacing w:after="0"/>
              <w:ind w:firstLineChars="0" w:firstLine="0"/>
              <w:jc w:val="center"/>
              <w:rPr>
                <w:rFonts w:cs="Times New Roman"/>
                <w:color w:val="auto"/>
                <w:sz w:val="21"/>
                <w:szCs w:val="21"/>
                <w:highlight w:val="none"/>
              </w:rPr>
            </w:pPr>
            <w:r>
              <w:rPr>
                <w:rFonts w:cs="Times New Roman"/>
                <w:color w:val="auto"/>
                <w:sz w:val="21"/>
                <w:szCs w:val="21"/>
                <w:highlight w:val="none"/>
              </w:rPr>
              <w:t>灌浆不饱满</w:t>
            </w:r>
          </w:p>
        </w:tc>
        <w:tc>
          <w:tcPr>
            <w:tcW w:w="1496" w:type="pct"/>
            <w:tcBorders>
              <w:top w:val="single" w:sz="4" w:space="0" w:color="auto"/>
              <w:left w:val="single" w:sz="4" w:space="0" w:color="auto"/>
              <w:bottom w:val="single" w:sz="12" w:space="0" w:color="auto"/>
              <w:right w:val="single" w:sz="12" w:space="0" w:color="auto"/>
            </w:tcBorders>
          </w:tcPr>
          <w:p>
            <w:pPr>
              <w:pStyle w:val="38"/>
              <w:spacing w:after="0"/>
              <w:ind w:firstLineChars="0" w:firstLine="0"/>
              <w:jc w:val="center"/>
              <w:rPr>
                <w:rFonts w:cs="Times New Roman"/>
                <w:color w:val="auto"/>
                <w:sz w:val="21"/>
                <w:szCs w:val="21"/>
                <w:highlight w:val="none"/>
              </w:rPr>
            </w:pPr>
            <w:r>
              <w:rPr>
                <w:rFonts w:cs="Times New Roman"/>
                <w:color w:val="auto"/>
                <w:sz w:val="21"/>
                <w:szCs w:val="21"/>
                <w:highlight w:val="none"/>
              </w:rPr>
              <w:t>II类</w:t>
            </w:r>
          </w:p>
        </w:tc>
      </w:tr>
    </w:tbl>
    <w:p>
      <w:pPr>
        <w:pStyle w:val="89"/>
        <w:autoSpaceDE w:val="0"/>
        <w:autoSpaceDN w:val="0"/>
        <w:textAlignment w:val="auto"/>
        <w:rPr>
          <w:rFonts w:cs="Times New Roman"/>
          <w:color w:val="auto"/>
          <w:highlight w:val="none"/>
        </w:rPr>
      </w:pPr>
      <w:r>
        <w:rPr>
          <w:rFonts w:eastAsia="仿宋" w:cs="Times New Roman" w:hint="eastAsia"/>
          <w:b/>
          <w:bCs/>
          <w:color w:val="auto"/>
          <w:shd w:val="pct10" w:color="auto" w:fill="FFFFFF"/>
          <w:lang w:val="en-US" w:eastAsia="zh-CN"/>
          <w:highlight w:val="none"/>
        </w:rPr>
        <w:t>条文说明</w:t>
      </w:r>
      <w:r>
        <w:rPr>
          <w:rFonts w:eastAsia="仿宋" w:cs="Times New Roman"/>
          <w:b/>
          <w:bCs/>
          <w:color w:val="auto"/>
          <w:szCs w:val="24"/>
          <w:shd w:val="pct10" w:color="auto" w:fill="FFFFFF"/>
          <w:highlight w:val="none"/>
        </w:rPr>
        <w:t>7.4.2　</w:t>
      </w:r>
      <w:r>
        <w:rPr>
          <w:rFonts w:eastAsia="仿宋" w:cs="Times New Roman"/>
          <w:color w:val="auto"/>
          <w:szCs w:val="24"/>
          <w:shd w:val="pct10" w:color="auto" w:fill="FFFFFF"/>
          <w:highlight w:val="none"/>
        </w:rPr>
        <w:t>大量套筒灌浆模拟试验和现场测试结果表明，灌浆前两电极探头处于断路状态，灌浆过程中随着灌浆料液面上升并与内埋探头接触，电极探头连通产生电阻，测试仪测量电阻值逐渐上升，但通常小于100MΩ。若出现灌浆料液面回落的情况，电阻值上升速率明显增大且电阻值迅速超出100MΩ。因此，电阻率法测试时可将100MΩ作为判断套筒灌浆是否饱满的阈值。</w:t>
      </w:r>
    </w:p>
    <w:p>
      <w:pPr>
        <w:pStyle w:val="3"/>
        <w:tabs>
          <w:tab w:val="left" w:pos="0"/>
          <w:tab w:val="left" w:pos="567"/>
          <w:tab w:val="left" w:pos="709"/>
          <w:tab w:val="left" w:pos="1560"/>
        </w:tabs>
        <w:rPr>
          <w:rFonts w:cs="Times New Roman"/>
          <w:color w:val="auto"/>
          <w:highlight w:val="none"/>
        </w:rPr>
      </w:pPr>
      <w:r>
        <w:rPr>
          <w:rFonts w:cs="Times New Roman" w:hint="eastAsia"/>
          <w:b/>
          <w:color w:val="auto"/>
          <w:highlight w:val="none"/>
        </w:rPr>
        <w:t>7</w:t>
      </w:r>
      <w:r>
        <w:rPr>
          <w:rFonts w:cs="Times New Roman"/>
          <w:b/>
          <w:color w:val="auto"/>
          <w:highlight w:val="none"/>
        </w:rPr>
        <w:t>.4.</w:t>
      </w:r>
      <w:r>
        <w:rPr>
          <w:rFonts w:cs="Times New Roman" w:hint="eastAsia"/>
          <w:b/>
          <w:color w:val="auto"/>
          <w:highlight w:val="none"/>
        </w:rPr>
        <w:t>3</w:t>
      </w:r>
      <w:r>
        <w:rPr>
          <w:rFonts w:cs="Times New Roman"/>
          <w:b/>
          <w:color w:val="auto"/>
          <w:highlight w:val="none"/>
        </w:rPr>
        <w:t>　</w:t>
      </w:r>
      <w:r>
        <w:rPr>
          <w:rFonts w:cs="Times New Roman"/>
          <w:color w:val="auto"/>
          <w:highlight w:val="none"/>
        </w:rPr>
        <w:t>灌浆饱满度不合格时，应二次补浆。补灌后应对原灌浆不饱满套筒的灌浆饱满度进行复测，直至灌浆饱满</w:t>
      </w:r>
      <w:r>
        <w:rPr>
          <w:rFonts w:cs="Times New Roman" w:hint="eastAsia"/>
          <w:color w:val="auto"/>
          <w:highlight w:val="none"/>
        </w:rPr>
        <w:t>。应</w:t>
      </w:r>
      <w:r>
        <w:rPr>
          <w:rFonts w:cs="Times New Roman"/>
          <w:color w:val="auto"/>
          <w:highlight w:val="none"/>
        </w:rPr>
        <w:t>在记录表备注栏中做复测记录。</w:t>
      </w:r>
    </w:p>
    <w:p>
      <w:pPr>
        <w:contextualSpacing/>
        <w:rPr>
          <w:rFonts w:eastAsia="仿宋" w:cs="Times New Roman"/>
          <w:color w:val="auto"/>
          <w:szCs w:val="24"/>
          <w:shd w:val="pct10" w:color="auto" w:fill="FFFFFF"/>
          <w:highlight w:val="none"/>
        </w:rPr>
      </w:pPr>
      <w:r>
        <w:rPr>
          <w:rFonts w:eastAsia="仿宋" w:cs="Times New Roman" w:hint="eastAsia"/>
          <w:b/>
          <w:bCs/>
          <w:color w:val="auto"/>
          <w:shd w:val="pct10" w:color="auto" w:fill="FFFFFF"/>
          <w:lang w:val="en-US" w:eastAsia="zh-CN"/>
          <w:highlight w:val="none"/>
        </w:rPr>
        <w:t>条文说明</w:t>
      </w:r>
      <w:r>
        <w:rPr>
          <w:rFonts w:eastAsia="仿宋" w:cs="Times New Roman" w:hint="eastAsia"/>
          <w:b/>
          <w:bCs/>
          <w:color w:val="auto"/>
          <w:szCs w:val="22"/>
          <w:shd w:val="pct10" w:color="auto" w:fill="FFFFFF"/>
          <w:highlight w:val="none"/>
        </w:rPr>
        <w:t>7.4.</w:t>
      </w:r>
      <w:r>
        <w:rPr>
          <w:rFonts w:eastAsia="仿宋" w:cs="Times New Roman" w:hint="eastAsia"/>
          <w:b/>
          <w:bCs/>
          <w:color w:val="auto"/>
          <w:szCs w:val="22"/>
          <w:shd w:val="pct10" w:color="auto" w:fill="FFFFFF"/>
          <w:lang w:val="en-US" w:eastAsia="zh-CN"/>
          <w:highlight w:val="none"/>
        </w:rPr>
        <w:t>3</w:t>
      </w:r>
      <w:r>
        <w:rPr>
          <w:rFonts w:eastAsia="仿宋" w:cs="Times New Roman" w:hint="eastAsia"/>
          <w:b/>
          <w:bCs/>
          <w:color w:val="auto"/>
          <w:szCs w:val="22"/>
          <w:shd w:val="pct10" w:color="auto" w:fill="FFFFFF"/>
          <w:highlight w:val="none"/>
        </w:rPr>
        <w:t>　</w:t>
      </w:r>
      <w:r>
        <w:rPr>
          <w:rFonts w:eastAsia="仿宋" w:cs="Times New Roman"/>
          <w:color w:val="auto"/>
          <w:szCs w:val="24"/>
          <w:shd w:val="pct10" w:color="auto" w:fill="FFFFFF"/>
          <w:highlight w:val="none"/>
        </w:rPr>
        <w:t>对于评定为灌浆不饱满的套筒，</w:t>
      </w:r>
      <w:r>
        <w:rPr>
          <w:rFonts w:eastAsia="仿宋" w:cs="Times New Roman" w:hint="eastAsia"/>
          <w:color w:val="auto"/>
          <w:szCs w:val="24"/>
          <w:shd w:val="pct10" w:color="auto" w:fill="FFFFFF"/>
          <w:highlight w:val="none"/>
        </w:rPr>
        <w:t>需要</w:t>
      </w:r>
      <w:r>
        <w:rPr>
          <w:rFonts w:eastAsia="仿宋" w:cs="Times New Roman"/>
          <w:color w:val="auto"/>
          <w:szCs w:val="24"/>
          <w:shd w:val="pct10" w:color="auto" w:fill="FFFFFF"/>
          <w:highlight w:val="none"/>
        </w:rPr>
        <w:t>及时进行补灌以实现套筒灌浆施工过程中的质量控制。补灌时，</w:t>
      </w:r>
      <w:r>
        <w:rPr>
          <w:rFonts w:eastAsia="仿宋" w:cs="Times New Roman" w:hint="eastAsia"/>
          <w:color w:val="auto"/>
          <w:szCs w:val="24"/>
          <w:shd w:val="pct10" w:color="auto" w:fill="FFFFFF"/>
          <w:highlight w:val="none"/>
        </w:rPr>
        <w:t>补灌可通过原灌浆不饱满套筒灌浆口进行</w:t>
      </w:r>
      <w:r>
        <w:rPr>
          <w:rFonts w:eastAsia="仿宋" w:cs="Times New Roman"/>
          <w:color w:val="auto"/>
          <w:szCs w:val="24"/>
          <w:shd w:val="pct10" w:color="auto" w:fill="FFFFFF"/>
          <w:highlight w:val="none"/>
        </w:rPr>
        <w:t>。补灌后</w:t>
      </w:r>
      <w:r>
        <w:rPr>
          <w:rFonts w:eastAsia="仿宋" w:cs="Times New Roman" w:hint="eastAsia"/>
          <w:color w:val="auto"/>
          <w:szCs w:val="24"/>
          <w:shd w:val="pct10" w:color="auto" w:fill="FFFFFF"/>
          <w:highlight w:val="none"/>
        </w:rPr>
        <w:t>需要</w:t>
      </w:r>
      <w:r>
        <w:rPr>
          <w:rFonts w:eastAsia="仿宋" w:cs="Times New Roman"/>
          <w:color w:val="auto"/>
          <w:szCs w:val="24"/>
          <w:shd w:val="pct10" w:color="auto" w:fill="FFFFFF"/>
          <w:highlight w:val="none"/>
        </w:rPr>
        <w:t>对灌浆饱满度进行复测，直至灌浆饱满。若检测时灌浆料已凝固，现场记录灌浆不饱满的套筒位置及相应预制墩柱构件编号，为后期其</w:t>
      </w:r>
      <w:r>
        <w:rPr>
          <w:rFonts w:eastAsia="仿宋" w:cs="Times New Roman" w:hint="eastAsia"/>
          <w:color w:val="auto"/>
          <w:szCs w:val="24"/>
          <w:shd w:val="pct10" w:color="auto" w:fill="FFFFFF"/>
          <w:highlight w:val="none"/>
        </w:rPr>
        <w:t>他</w:t>
      </w:r>
      <w:r>
        <w:rPr>
          <w:rFonts w:eastAsia="仿宋" w:cs="Times New Roman"/>
          <w:color w:val="auto"/>
          <w:szCs w:val="24"/>
          <w:shd w:val="pct10" w:color="auto" w:fill="FFFFFF"/>
          <w:highlight w:val="none"/>
        </w:rPr>
        <w:t>方法检测验证及补强提供位置信息。</w:t>
      </w:r>
    </w:p>
    <w:p>
      <w:pPr>
        <w:contextualSpacing/>
        <w:rPr>
          <w:rFonts w:eastAsia="仿宋" w:cs="Times New Roman"/>
          <w:color w:val="auto"/>
          <w:szCs w:val="24"/>
          <w:shd w:val="pct10" w:color="auto" w:fill="FFFFFF"/>
          <w:highlight w:val="none"/>
        </w:rPr>
      </w:pPr>
    </w:p>
    <w:p>
      <w:pPr>
        <w:contextualSpacing/>
        <w:rPr>
          <w:rFonts w:eastAsia="仿宋" w:cs="Times New Roman"/>
          <w:color w:val="auto"/>
          <w:szCs w:val="24"/>
          <w:shd w:val="pct10" w:color="auto" w:fill="FFFFFF"/>
          <w:highlight w:val="none"/>
        </w:rPr>
      </w:pPr>
    </w:p>
    <w:p>
      <w:pPr>
        <w:rPr>
          <w:color w:val="auto"/>
          <w:highlight w:val="none"/>
        </w:rPr>
      </w:pPr>
    </w:p>
    <w:p>
      <w:pPr>
        <w:contextualSpacing/>
        <w:rPr>
          <w:rFonts w:eastAsia="仿宋" w:cs="Times New Roman"/>
          <w:color w:val="auto"/>
          <w:szCs w:val="24"/>
          <w:shd w:val="pct10" w:color="auto" w:fill="FFFFFF"/>
          <w:highlight w:val="none"/>
        </w:rPr>
      </w:pPr>
    </w:p>
    <w:p>
      <w:pPr>
        <w:widowControl/>
        <w:spacing w:line="240" w:lineRule="auto"/>
        <w:ind w:firstLineChars="0" w:firstLine="0"/>
        <w:jc w:val="left"/>
        <w:textAlignment w:val="auto"/>
        <w:rPr>
          <w:rFonts w:cs="Times New Roman"/>
          <w:color w:val="auto"/>
          <w:szCs w:val="24"/>
          <w:highlight w:val="none"/>
        </w:rPr>
      </w:pPr>
      <w:r>
        <w:rPr>
          <w:rFonts w:cs="Times New Roman"/>
          <w:color w:val="auto"/>
          <w:szCs w:val="24"/>
          <w:highlight w:val="none"/>
        </w:rPr>
        <w:br w:type="page"/>
      </w:r>
    </w:p>
    <w:p>
      <w:pPr>
        <w:pStyle w:val="1"/>
        <w:rPr>
          <w:rFonts w:cs="Times New Roman"/>
          <w:color w:val="auto"/>
          <w:lang w:val="el-GR"/>
          <w:highlight w:val="none"/>
        </w:rPr>
      </w:pPr>
      <w:bookmarkStart w:id="237" w:name="_Toc4978"/>
      <w:bookmarkStart w:id="238" w:name="_Toc18180"/>
      <w:bookmarkStart w:id="239" w:name="_Toc3677"/>
      <w:bookmarkStart w:id="240" w:name="_Toc5603"/>
      <w:bookmarkStart w:id="241" w:name="_Toc12133"/>
      <w:bookmarkStart w:id="242" w:name="_Toc1511"/>
      <w:bookmarkStart w:id="243" w:name="_Toc12863"/>
      <w:bookmarkStart w:id="244" w:name="_Toc22927"/>
      <w:r>
        <w:rPr>
          <w:rFonts w:cs="Times New Roman"/>
          <w:color w:val="auto"/>
          <w:highlight w:val="none"/>
        </w:rPr>
        <w:t>8</w:t>
      </w:r>
      <w:r>
        <w:rPr>
          <w:rFonts w:cs="Times New Roman"/>
          <w:color w:val="auto"/>
          <w:lang w:val="el-GR"/>
          <w:highlight w:val="none"/>
        </w:rPr>
        <w:t>　电</w:t>
      </w:r>
      <w:r>
        <w:rPr>
          <w:rFonts w:cs="Times New Roman"/>
          <w:color w:val="auto"/>
          <w:highlight w:val="none"/>
        </w:rPr>
        <w:t>容</w:t>
      </w:r>
      <w:r>
        <w:rPr>
          <w:rFonts w:cs="Times New Roman"/>
          <w:color w:val="auto"/>
          <w:lang w:val="el-GR"/>
          <w:highlight w:val="none"/>
        </w:rPr>
        <w:t>法</w:t>
      </w:r>
      <w:bookmarkEnd w:id="237"/>
      <w:bookmarkEnd w:id="238"/>
      <w:bookmarkEnd w:id="239"/>
      <w:bookmarkEnd w:id="240"/>
      <w:bookmarkEnd w:id="241"/>
    </w:p>
    <w:p>
      <w:pPr>
        <w:pStyle w:val="2"/>
        <w:tabs>
          <w:tab w:val="left" w:pos="0"/>
        </w:tabs>
        <w:rPr>
          <w:rFonts w:ascii="Times New Roman" w:cs="Times New Roman" w:hAnsi="Times New Roman"/>
          <w:color w:val="auto"/>
          <w:highlight w:val="none"/>
        </w:rPr>
      </w:pPr>
      <w:bookmarkStart w:id="245" w:name="_Toc17220"/>
      <w:bookmarkStart w:id="246" w:name="_Toc31391"/>
      <w:bookmarkStart w:id="247" w:name="_Toc24654"/>
      <w:bookmarkStart w:id="248" w:name="_Toc21538"/>
      <w:bookmarkStart w:id="249" w:name="_Toc6144"/>
      <w:r>
        <w:rPr>
          <w:rFonts w:ascii="Times New Roman" w:cs="Times New Roman" w:hAnsi="Times New Roman"/>
          <w:color w:val="auto"/>
          <w:highlight w:val="none"/>
        </w:rPr>
        <w:t>8.1　一般规定</w:t>
      </w:r>
      <w:bookmarkEnd w:id="245"/>
      <w:bookmarkEnd w:id="246"/>
      <w:bookmarkEnd w:id="247"/>
      <w:bookmarkEnd w:id="248"/>
      <w:bookmarkEnd w:id="249"/>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8.1.1</w:t>
      </w:r>
      <w:r>
        <w:rPr>
          <w:rFonts w:cs="Times New Roman"/>
          <w:color w:val="auto"/>
          <w:highlight w:val="none"/>
        </w:rPr>
        <w:t>　电容法适用于灌浆过程中直至灌浆料初凝前的套筒灌浆饱满度检测。</w:t>
      </w:r>
    </w:p>
    <w:p>
      <w:pPr>
        <w:pStyle w:val="89"/>
        <w:autoSpaceDE w:val="0"/>
        <w:autoSpaceDN w:val="0"/>
        <w:textAlignment w:val="auto"/>
        <w:rPr>
          <w:rFonts w:eastAsia="仿宋" w:cs="Times New Roman"/>
          <w:color w:val="auto"/>
          <w:szCs w:val="24"/>
          <w:shd w:val="pct10" w:color="auto" w:fill="FFFFFF"/>
          <w:highlight w:val="none"/>
        </w:rPr>
      </w:pPr>
      <w:r>
        <w:rPr>
          <w:rFonts w:eastAsia="仿宋" w:cs="Times New Roman" w:hint="eastAsia"/>
          <w:b/>
          <w:bCs/>
          <w:color w:val="auto"/>
          <w:shd w:val="pct10" w:color="auto" w:fill="FFFFFF"/>
          <w:lang w:val="en-US" w:eastAsia="zh-CN"/>
          <w:highlight w:val="none"/>
        </w:rPr>
        <w:t>条文说明</w:t>
      </w:r>
      <w:r>
        <w:rPr>
          <w:rFonts w:eastAsia="仿宋" w:cs="Times New Roman"/>
          <w:b/>
          <w:bCs/>
          <w:color w:val="auto"/>
          <w:szCs w:val="24"/>
          <w:shd w:val="pct10" w:color="auto" w:fill="FFFFFF"/>
          <w:highlight w:val="none"/>
        </w:rPr>
        <w:t>8.1.1　</w:t>
      </w:r>
      <w:r>
        <w:rPr>
          <w:rFonts w:eastAsia="仿宋" w:cs="Times New Roman"/>
          <w:color w:val="auto"/>
          <w:szCs w:val="24"/>
          <w:shd w:val="pct10" w:color="auto" w:fill="FFFFFF"/>
          <w:highlight w:val="none"/>
        </w:rPr>
        <w:t>电容法的工作原理是通过专用检测设备测量套筒内部灌浆材料的电容信号，根据电容值在灌浆施工过程中的变化情况判断套筒灌浆饱满度。</w:t>
      </w:r>
    </w:p>
    <w:p>
      <w:pPr>
        <w:rPr>
          <w:color w:val="auto"/>
          <w:highlight w:val="none"/>
        </w:rPr>
      </w:pP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8.1.2　</w:t>
      </w:r>
      <w:r>
        <w:rPr>
          <w:rFonts w:cs="Times New Roman"/>
          <w:color w:val="auto"/>
          <w:highlight w:val="none"/>
        </w:rPr>
        <w:t>检测结果存在疑义时，可采用钻孔内窥镜法进行验证。</w:t>
      </w:r>
    </w:p>
    <w:p>
      <w:pPr>
        <w:pStyle w:val="2"/>
        <w:tabs>
          <w:tab w:val="left" w:pos="0"/>
        </w:tabs>
        <w:rPr>
          <w:rFonts w:ascii="Times New Roman" w:cs="Times New Roman" w:hAnsi="Times New Roman"/>
          <w:color w:val="auto"/>
          <w:highlight w:val="none"/>
        </w:rPr>
      </w:pPr>
      <w:bookmarkStart w:id="250" w:name="_Toc973"/>
      <w:bookmarkStart w:id="251" w:name="_Toc26125"/>
      <w:bookmarkStart w:id="252" w:name="_Toc31361"/>
      <w:bookmarkStart w:id="253" w:name="_Toc27884"/>
      <w:bookmarkStart w:id="254" w:name="_Toc11227"/>
      <w:r>
        <w:rPr>
          <w:rFonts w:ascii="Times New Roman" w:cs="Times New Roman" w:hAnsi="Times New Roman"/>
          <w:color w:val="auto"/>
          <w:highlight w:val="none"/>
        </w:rPr>
        <w:t>8.2　检测设备</w:t>
      </w:r>
      <w:bookmarkEnd w:id="250"/>
      <w:bookmarkEnd w:id="251"/>
      <w:bookmarkEnd w:id="252"/>
      <w:bookmarkEnd w:id="253"/>
      <w:bookmarkEnd w:id="254"/>
    </w:p>
    <w:p>
      <w:pPr>
        <w:pStyle w:val="3"/>
        <w:tabs>
          <w:tab w:val="left" w:pos="0"/>
          <w:tab w:val="left" w:pos="567"/>
          <w:tab w:val="left" w:pos="709"/>
          <w:tab w:val="left" w:pos="1560"/>
        </w:tabs>
        <w:rPr>
          <w:rFonts w:eastAsia="宋体" w:cs="Times New Roman"/>
          <w:color w:val="auto"/>
          <w:highlight w:val="none"/>
        </w:rPr>
      </w:pPr>
      <w:r>
        <w:rPr>
          <w:rFonts w:cs="Times New Roman"/>
          <w:b/>
          <w:color w:val="auto"/>
          <w:highlight w:val="none"/>
        </w:rPr>
        <w:t>8.2.1</w:t>
      </w:r>
      <w:r>
        <w:rPr>
          <w:rFonts w:cs="Times New Roman"/>
          <w:color w:val="auto"/>
          <w:highlight w:val="none"/>
        </w:rPr>
        <w:t>　电容法检测设备应包括</w:t>
      </w:r>
      <w:r>
        <w:rPr>
          <w:rFonts w:cs="Times New Roman" w:hint="eastAsia"/>
          <w:color w:val="auto"/>
          <w:lang w:val="en-US" w:eastAsia="zh-CN"/>
          <w:highlight w:val="none"/>
        </w:rPr>
        <w:t>灌浆饱满度</w:t>
      </w:r>
      <w:r>
        <w:rPr>
          <w:rFonts w:cs="Times New Roman"/>
          <w:color w:val="auto"/>
          <w:highlight w:val="none"/>
        </w:rPr>
        <w:t>电容检测仪、电容极性探头、电容外壳电极、橡胶塞等（图8.2.1）。</w:t>
      </w:r>
    </w:p>
    <w:p>
      <w:pPr>
        <w:snapToGrid w:val="0"/>
        <w:spacing w:beforeLines="50" w:before="156" w:line="300" w:lineRule="auto"/>
        <w:ind w:firstLineChars="0" w:firstLine="0"/>
        <w:jc w:val="center"/>
        <w:rPr>
          <w:rStyle w:val="125"/>
          <w:rFonts w:cs="Times New Roman"/>
          <w:color w:val="auto"/>
          <w:sz w:val="24"/>
          <w:szCs w:val="24"/>
          <w:highlight w:val="none"/>
        </w:rPr>
      </w:pPr>
      <w:r>
        <w:rPr>
          <w:rStyle w:val="125"/>
          <w:rFonts w:cs="Times New Roman"/>
          <w:color w:val="auto"/>
          <w:sz w:val="24"/>
          <w:szCs w:val="24"/>
          <w:highlight w:val="none"/>
        </w:rPr>
        <w:drawing>
          <wp:inline distT="0" distB="0" distL="114300" distR="114300">
            <wp:extent cx="3599815" cy="1741170"/>
            <wp:effectExtent l="0" t="0" r="0" b="0"/>
            <wp:docPr id="688168613" name="图片 688168613" descr="7ff6e1dc17d0a266db9a2358bf40f63"/>
            <wp:cNvGraphicFramePr>
              <a:graphicFrameLocks noChangeAspect="1"/>
            </wp:cNvGraphicFramePr>
            <a:graphic>
              <a:graphicData uri="http://schemas.openxmlformats.org/drawingml/2006/picture">
                <pic:pic>
                  <pic:nvPicPr>
                    <pic:cNvPr id="82" name="图片 82"/>
                    <pic:cNvPicPr/>
                  </pic:nvPicPr>
                  <pic:blipFill>
                    <a:blip r:embed="rId67"/>
                    <a:stretch>
                      <a:fillRect/>
                    </a:stretch>
                  </pic:blipFill>
                  <pic:spPr>
                    <a:xfrm rot="0">
                      <a:off x="0" y="0"/>
                      <a:ext cx="3599815" cy="1741170"/>
                    </a:xfrm>
                    <a:prstGeom prst="rect"/>
                    <a:noFill/>
                    <a:ln w="9525" cmpd="sng" cap="flat">
                      <a:noFill/>
                      <a:prstDash val="solid"/>
                      <a:miter/>
                    </a:ln>
                  </pic:spPr>
                </pic:pic>
              </a:graphicData>
            </a:graphic>
          </wp:inline>
        </w:drawing>
      </w:r>
    </w:p>
    <w:p>
      <w:pPr>
        <w:spacing w:line="240" w:lineRule="auto"/>
        <w:ind w:firstLineChars="0" w:firstLine="0"/>
        <w:jc w:val="center"/>
        <w:rPr>
          <w:rStyle w:val="125"/>
          <w:rFonts w:eastAsia="宋体" w:cs="Times New Roman"/>
          <w:b w:val="0"/>
          <w:color w:val="auto"/>
          <w:szCs w:val="24"/>
          <w:highlight w:val="none"/>
        </w:rPr>
      </w:pPr>
      <w:r>
        <w:rPr>
          <w:rStyle w:val="125"/>
          <w:rFonts w:eastAsia="宋体" w:cs="Times New Roman"/>
          <w:b w:val="0"/>
          <w:color w:val="auto"/>
          <w:szCs w:val="24"/>
          <w:highlight w:val="none"/>
        </w:rPr>
        <w:t>1</w:t>
      </w:r>
      <w:r>
        <w:rPr>
          <w:rFonts w:cs="Times New Roman"/>
          <w:color w:val="auto"/>
          <w:sz w:val="21"/>
          <w:szCs w:val="24"/>
          <w:highlight w:val="none"/>
        </w:rPr>
        <w:t>—</w:t>
      </w:r>
      <w:r>
        <w:rPr>
          <w:rStyle w:val="125"/>
          <w:rFonts w:eastAsia="宋体" w:cs="Times New Roman"/>
          <w:b w:val="0"/>
          <w:color w:val="auto"/>
          <w:szCs w:val="24"/>
          <w:highlight w:val="none"/>
        </w:rPr>
        <w:t>电容极性探头；2</w:t>
      </w:r>
      <w:r>
        <w:rPr>
          <w:rFonts w:cs="Times New Roman"/>
          <w:color w:val="auto"/>
          <w:sz w:val="21"/>
          <w:szCs w:val="24"/>
          <w:highlight w:val="none"/>
        </w:rPr>
        <w:t>—</w:t>
      </w:r>
      <w:r>
        <w:rPr>
          <w:rStyle w:val="125"/>
          <w:rFonts w:eastAsia="宋体" w:cs="Times New Roman"/>
          <w:b w:val="0"/>
          <w:color w:val="auto"/>
          <w:szCs w:val="24"/>
          <w:highlight w:val="none"/>
        </w:rPr>
        <w:t>线缆；</w:t>
      </w:r>
    </w:p>
    <w:p>
      <w:pPr>
        <w:spacing w:line="240" w:lineRule="auto"/>
        <w:ind w:firstLineChars="0" w:firstLine="0"/>
        <w:jc w:val="center"/>
        <w:rPr>
          <w:rStyle w:val="125"/>
          <w:rFonts w:eastAsia="宋体" w:cs="Times New Roman"/>
          <w:b w:val="0"/>
          <w:color w:val="auto"/>
          <w:szCs w:val="24"/>
          <w:highlight w:val="none"/>
        </w:rPr>
      </w:pPr>
      <w:r>
        <w:rPr>
          <w:rStyle w:val="125"/>
          <w:rFonts w:eastAsia="宋体" w:cs="Times New Roman"/>
          <w:b w:val="0"/>
          <w:color w:val="auto"/>
          <w:szCs w:val="24"/>
          <w:highlight w:val="none"/>
        </w:rPr>
        <w:t>3</w:t>
      </w:r>
      <w:r>
        <w:rPr>
          <w:rFonts w:cs="Times New Roman"/>
          <w:color w:val="auto"/>
          <w:sz w:val="21"/>
          <w:szCs w:val="24"/>
          <w:highlight w:val="none"/>
        </w:rPr>
        <w:t>—</w:t>
      </w:r>
      <w:r>
        <w:rPr>
          <w:rStyle w:val="125"/>
          <w:rFonts w:eastAsia="宋体" w:cs="Times New Roman"/>
          <w:b w:val="0"/>
          <w:color w:val="auto"/>
          <w:szCs w:val="24"/>
          <w:highlight w:val="none"/>
        </w:rPr>
        <w:t>电容外壳电极；4</w:t>
      </w:r>
      <w:r>
        <w:rPr>
          <w:rFonts w:cs="Times New Roman"/>
          <w:color w:val="auto"/>
          <w:sz w:val="21"/>
          <w:szCs w:val="24"/>
          <w:highlight w:val="none"/>
        </w:rPr>
        <w:t>—</w:t>
      </w:r>
      <w:r>
        <w:rPr>
          <w:rStyle w:val="125"/>
          <w:rFonts w:eastAsia="宋体" w:cs="Times New Roman"/>
          <w:b w:val="0"/>
          <w:color w:val="auto"/>
          <w:szCs w:val="24"/>
          <w:highlight w:val="none"/>
        </w:rPr>
        <w:t>橡胶塞；5</w:t>
      </w:r>
      <w:r>
        <w:rPr>
          <w:rFonts w:cs="Times New Roman"/>
          <w:color w:val="auto"/>
          <w:sz w:val="21"/>
          <w:szCs w:val="24"/>
          <w:highlight w:val="none"/>
        </w:rPr>
        <w:t>—</w:t>
      </w:r>
      <w:r>
        <w:rPr>
          <w:rStyle w:val="125"/>
          <w:rFonts w:eastAsia="宋体" w:cs="Times New Roman"/>
          <w:b w:val="0"/>
          <w:color w:val="auto"/>
          <w:szCs w:val="24"/>
          <w:highlight w:val="none"/>
        </w:rPr>
        <w:t>排气孔</w:t>
      </w:r>
    </w:p>
    <w:p>
      <w:pPr>
        <w:snapToGrid w:val="0"/>
        <w:spacing w:beforeLines="50" w:before="156" w:line="300" w:lineRule="auto"/>
        <w:ind w:firstLineChars="0" w:firstLine="0"/>
        <w:jc w:val="center"/>
        <w:rPr>
          <w:rStyle w:val="125"/>
          <w:rFonts w:cs="Times New Roman"/>
          <w:color w:val="auto"/>
          <w:sz w:val="24"/>
          <w:szCs w:val="24"/>
          <w:highlight w:val="none"/>
        </w:rPr>
      </w:pPr>
      <w:r>
        <w:rPr>
          <w:rStyle w:val="125"/>
          <w:rFonts w:cs="Times New Roman"/>
          <w:color w:val="auto"/>
          <w:sz w:val="24"/>
          <w:szCs w:val="24"/>
          <w:highlight w:val="none"/>
        </w:rPr>
        <w:t>图8.2.1　传感器示意图</w:t>
      </w:r>
    </w:p>
    <w:p>
      <w:pPr>
        <w:pStyle w:val="3"/>
        <w:tabs>
          <w:tab w:val="left" w:pos="0"/>
          <w:tab w:val="left" w:pos="567"/>
          <w:tab w:val="left" w:pos="709"/>
          <w:tab w:val="left" w:pos="1560"/>
        </w:tabs>
        <w:jc w:val="both"/>
        <w:rPr>
          <w:rStyle w:val="125"/>
          <w:rFonts w:cs="Times New Roman"/>
          <w:color w:val="auto"/>
          <w:sz w:val="24"/>
          <w:szCs w:val="24"/>
          <w:highlight w:val="none"/>
        </w:rPr>
      </w:pPr>
      <w:r>
        <w:rPr>
          <w:rFonts w:cs="Times New Roman" w:hint="eastAsia"/>
          <w:b/>
          <w:color w:val="auto"/>
          <w:lang w:val="en-US" w:eastAsia="zh-CN"/>
          <w:highlight w:val="none"/>
        </w:rPr>
        <w:t>8</w:t>
      </w:r>
      <w:r>
        <w:rPr>
          <w:rFonts w:cs="Times New Roman"/>
          <w:b/>
          <w:color w:val="auto"/>
          <w:highlight w:val="none"/>
        </w:rPr>
        <w:t>.2.2</w:t>
      </w:r>
      <w:r>
        <w:rPr>
          <w:rFonts w:cs="Times New Roman"/>
          <w:color w:val="auto"/>
          <w:highlight w:val="none"/>
        </w:rPr>
        <w:t>　灌浆饱满度</w:t>
      </w:r>
      <w:r>
        <w:rPr>
          <w:rFonts w:cs="Times New Roman" w:hint="eastAsia"/>
          <w:color w:val="auto"/>
          <w:lang w:val="en-US" w:eastAsia="zh-CN"/>
          <w:highlight w:val="none"/>
        </w:rPr>
        <w:t>电容检测仪</w:t>
      </w:r>
      <w:r>
        <w:rPr>
          <w:rFonts w:cs="Times New Roman"/>
          <w:color w:val="auto"/>
          <w:highlight w:val="none"/>
        </w:rPr>
        <w:t>应采用内置电池供电。</w:t>
      </w:r>
    </w:p>
    <w:p>
      <w:pPr>
        <w:pStyle w:val="3"/>
        <w:tabs>
          <w:tab w:val="left" w:pos="0"/>
          <w:tab w:val="left" w:pos="567"/>
          <w:tab w:val="left" w:pos="709"/>
          <w:tab w:val="left" w:pos="1560"/>
        </w:tabs>
        <w:rPr>
          <w:rFonts w:cs="Times New Roman"/>
          <w:b/>
          <w:color w:val="auto"/>
          <w:highlight w:val="none"/>
        </w:rPr>
      </w:pPr>
      <w:r>
        <w:rPr>
          <w:rFonts w:cs="Times New Roman"/>
          <w:b/>
          <w:color w:val="auto"/>
          <w:highlight w:val="none"/>
        </w:rPr>
        <w:t>8.2.</w:t>
      </w:r>
      <w:r>
        <w:rPr>
          <w:rFonts w:cs="Times New Roman" w:hint="eastAsia"/>
          <w:b/>
          <w:color w:val="auto"/>
          <w:lang w:val="en-US" w:eastAsia="zh-CN"/>
          <w:highlight w:val="none"/>
        </w:rPr>
        <w:t>3</w:t>
      </w:r>
      <w:r>
        <w:rPr>
          <w:rFonts w:cs="Times New Roman"/>
          <w:color w:val="auto"/>
          <w:highlight w:val="none"/>
        </w:rPr>
        <w:t>　电容极性探头应具有不粘浆液的特性。电容极性探头线缆表面应包覆憎水性材料。</w:t>
      </w:r>
    </w:p>
    <w:p>
      <w:pPr>
        <w:pStyle w:val="3"/>
        <w:tabs>
          <w:tab w:val="left" w:pos="0"/>
          <w:tab w:val="left" w:pos="567"/>
          <w:tab w:val="left" w:pos="709"/>
          <w:tab w:val="left" w:pos="1560"/>
        </w:tabs>
        <w:rPr>
          <w:rFonts w:cs="Times New Roman"/>
          <w:b/>
          <w:color w:val="auto"/>
          <w:highlight w:val="none"/>
        </w:rPr>
      </w:pPr>
      <w:r>
        <w:rPr>
          <w:rFonts w:cs="Times New Roman"/>
          <w:b/>
          <w:color w:val="auto"/>
          <w:highlight w:val="none"/>
        </w:rPr>
        <w:t>8.2.</w:t>
      </w:r>
      <w:r>
        <w:rPr>
          <w:rFonts w:cs="Times New Roman" w:hint="eastAsia"/>
          <w:b/>
          <w:color w:val="auto"/>
          <w:lang w:val="en-US" w:eastAsia="zh-CN"/>
          <w:highlight w:val="none"/>
        </w:rPr>
        <w:t>4</w:t>
      </w:r>
      <w:r>
        <w:rPr>
          <w:rFonts w:cs="Times New Roman"/>
          <w:color w:val="auto"/>
          <w:highlight w:val="none"/>
        </w:rPr>
        <w:t>　电容极性探头和电容外壳电极应与橡胶塞集成设计，橡胶塞上线缆穿孔孔径应与线缆直径相同。</w:t>
      </w:r>
    </w:p>
    <w:p>
      <w:pPr>
        <w:pStyle w:val="2"/>
        <w:tabs>
          <w:tab w:val="left" w:pos="0"/>
        </w:tabs>
        <w:rPr>
          <w:rFonts w:ascii="Times New Roman" w:cs="Times New Roman" w:hAnsi="Times New Roman"/>
          <w:color w:val="auto"/>
          <w:highlight w:val="none"/>
        </w:rPr>
      </w:pPr>
      <w:bookmarkStart w:id="255" w:name="_Toc21893"/>
      <w:bookmarkStart w:id="256" w:name="_Toc10921"/>
      <w:bookmarkStart w:id="257" w:name="_Toc27728"/>
      <w:bookmarkStart w:id="258" w:name="_Toc20632"/>
      <w:bookmarkStart w:id="259" w:name="_Toc21495"/>
      <w:r>
        <w:rPr>
          <w:rFonts w:ascii="Times New Roman" w:cs="Times New Roman" w:hAnsi="Times New Roman"/>
          <w:color w:val="auto"/>
          <w:highlight w:val="none"/>
        </w:rPr>
        <w:t>8.3　检测</w:t>
      </w:r>
      <w:bookmarkEnd w:id="255"/>
      <w:bookmarkEnd w:id="256"/>
      <w:bookmarkEnd w:id="257"/>
      <w:bookmarkEnd w:id="258"/>
      <w:bookmarkEnd w:id="259"/>
    </w:p>
    <w:p>
      <w:pPr>
        <w:pStyle w:val="3"/>
        <w:tabs>
          <w:tab w:val="left" w:pos="0"/>
          <w:tab w:val="left" w:pos="567"/>
          <w:tab w:val="left" w:pos="709"/>
          <w:tab w:val="left" w:pos="1560"/>
        </w:tabs>
        <w:rPr>
          <w:rFonts w:cs="Times New Roman"/>
          <w:b/>
          <w:color w:val="auto"/>
          <w:highlight w:val="none"/>
        </w:rPr>
      </w:pPr>
      <w:r>
        <w:rPr>
          <w:rFonts w:cs="Times New Roman"/>
          <w:b/>
          <w:color w:val="auto"/>
          <w:highlight w:val="none"/>
        </w:rPr>
        <w:t>8.3.1</w:t>
      </w:r>
      <w:r>
        <w:rPr>
          <w:rFonts w:cs="Times New Roman"/>
          <w:color w:val="auto"/>
          <w:highlight w:val="none"/>
        </w:rPr>
        <w:t>　采用电容法检测套筒灌浆饱满度前应准备下列工作：</w:t>
      </w:r>
    </w:p>
    <w:p>
      <w:pPr>
        <w:rPr>
          <w:rFonts w:cs="Times New Roman"/>
          <w:color w:val="auto"/>
          <w:highlight w:val="none"/>
        </w:rPr>
      </w:pPr>
      <w:r>
        <w:rPr>
          <w:rFonts w:cs="Times New Roman"/>
          <w:b/>
          <w:bCs/>
          <w:color w:val="auto"/>
          <w:szCs w:val="32"/>
          <w:highlight w:val="none"/>
        </w:rPr>
        <w:t>1　</w:t>
      </w:r>
      <w:r>
        <w:rPr>
          <w:rFonts w:cs="Times New Roman"/>
          <w:color w:val="auto"/>
          <w:highlight w:val="none"/>
        </w:rPr>
        <w:t>检查设备的正常情况；</w:t>
      </w:r>
    </w:p>
    <w:p>
      <w:pPr>
        <w:rPr>
          <w:rFonts w:cs="Times New Roman"/>
          <w:color w:val="auto"/>
          <w:highlight w:val="none"/>
        </w:rPr>
      </w:pPr>
      <w:r>
        <w:rPr>
          <w:rFonts w:cs="Times New Roman"/>
          <w:b/>
          <w:bCs/>
          <w:color w:val="auto"/>
          <w:szCs w:val="32"/>
          <w:highlight w:val="none"/>
        </w:rPr>
        <w:t>2　</w:t>
      </w:r>
      <w:r>
        <w:rPr>
          <w:rFonts w:cs="Times New Roman"/>
          <w:color w:val="auto"/>
          <w:highlight w:val="none"/>
        </w:rPr>
        <w:t>记录工程名称、套筒所在构件编号、套筒具体位置、检测人员信息等，经检测后需补灌浆的结构构件部位应有补浆前后的检测结果。</w:t>
      </w:r>
    </w:p>
    <w:p>
      <w:pPr>
        <w:pStyle w:val="3"/>
        <w:tabs>
          <w:tab w:val="left" w:pos="0"/>
          <w:tab w:val="left" w:pos="567"/>
          <w:tab w:val="left" w:pos="709"/>
          <w:tab w:val="left" w:pos="1560"/>
        </w:tabs>
        <w:rPr>
          <w:rFonts w:cs="Times New Roman"/>
          <w:b/>
          <w:color w:val="auto"/>
          <w:highlight w:val="none"/>
        </w:rPr>
      </w:pPr>
      <w:r>
        <w:rPr>
          <w:rFonts w:cs="Times New Roman"/>
          <w:b/>
          <w:color w:val="auto"/>
          <w:highlight w:val="none"/>
        </w:rPr>
        <w:t>8.3.2</w:t>
      </w:r>
      <w:r>
        <w:rPr>
          <w:rFonts w:cs="Times New Roman"/>
          <w:color w:val="auto"/>
          <w:highlight w:val="none"/>
        </w:rPr>
        <w:t>　电容法检测套筒灌浆饱满度应符合下列规定：</w:t>
      </w:r>
    </w:p>
    <w:p>
      <w:pPr>
        <w:rPr>
          <w:rFonts w:cs="Times New Roman"/>
          <w:color w:val="auto"/>
          <w:highlight w:val="none"/>
        </w:rPr>
      </w:pPr>
      <w:r>
        <w:rPr>
          <w:rFonts w:cs="Times New Roman"/>
          <w:b/>
          <w:bCs/>
          <w:color w:val="auto"/>
          <w:szCs w:val="32"/>
          <w:highlight w:val="none"/>
        </w:rPr>
        <w:t>1　</w:t>
      </w:r>
      <w:r>
        <w:rPr>
          <w:rFonts w:cs="Times New Roman"/>
          <w:color w:val="auto"/>
          <w:highlight w:val="none"/>
        </w:rPr>
        <w:t>电容极性探头应设置于套筒的出浆口，调节连接线缆长度，探头端部电极不应接触套筒内部钢筋；</w:t>
      </w:r>
    </w:p>
    <w:p>
      <w:pPr>
        <w:rPr>
          <w:rFonts w:cs="Times New Roman"/>
          <w:color w:val="auto"/>
          <w:highlight w:val="none"/>
        </w:rPr>
      </w:pPr>
      <w:r>
        <w:rPr>
          <w:rFonts w:cs="Times New Roman"/>
          <w:b/>
          <w:bCs/>
          <w:color w:val="auto"/>
          <w:szCs w:val="32"/>
          <w:highlight w:val="none"/>
        </w:rPr>
        <w:t>2　</w:t>
      </w:r>
      <w:r>
        <w:rPr>
          <w:rFonts w:cs="Times New Roman"/>
          <w:color w:val="auto"/>
          <w:highlight w:val="none"/>
        </w:rPr>
        <w:t>电容外壳电极应安装在套筒出浆口橡胶塞侧面，应与金属套筒壁接触；</w:t>
      </w:r>
    </w:p>
    <w:p>
      <w:pPr>
        <w:rPr>
          <w:rFonts w:cs="Times New Roman"/>
          <w:color w:val="auto"/>
          <w:highlight w:val="none"/>
        </w:rPr>
      </w:pPr>
      <w:r>
        <w:rPr>
          <w:rFonts w:cs="Times New Roman"/>
          <w:b/>
          <w:bCs/>
          <w:color w:val="auto"/>
          <w:szCs w:val="32"/>
          <w:highlight w:val="none"/>
        </w:rPr>
        <w:t>3　</w:t>
      </w:r>
      <w:r>
        <w:rPr>
          <w:rFonts w:cs="Times New Roman"/>
          <w:color w:val="auto"/>
          <w:highlight w:val="none"/>
        </w:rPr>
        <w:t>电容极性探头和电容外壳电极就位时，自带橡胶塞的排气孔应位于正上方；橡胶塞应在出浆口紧固到位，出浆时不应被冲出；橡胶塞上的排气孔应保持畅通；</w:t>
      </w:r>
    </w:p>
    <w:p>
      <w:pPr>
        <w:rPr>
          <w:rFonts w:cs="Times New Roman"/>
          <w:color w:val="auto"/>
          <w:highlight w:val="none"/>
        </w:rPr>
      </w:pPr>
      <w:r>
        <w:rPr>
          <w:rFonts w:cs="Times New Roman"/>
          <w:b/>
          <w:bCs/>
          <w:color w:val="auto"/>
          <w:szCs w:val="32"/>
          <w:highlight w:val="none"/>
        </w:rPr>
        <w:t>4　</w:t>
      </w:r>
      <w:r>
        <w:rPr>
          <w:rFonts w:cs="Times New Roman"/>
          <w:color w:val="auto"/>
          <w:highlight w:val="none"/>
        </w:rPr>
        <w:t>灌浆前，应将灌浆饱满度</w:t>
      </w:r>
      <w:r>
        <w:rPr>
          <w:rFonts w:cs="Times New Roman" w:hint="eastAsia"/>
          <w:color w:val="auto"/>
          <w:lang w:val="en-US" w:eastAsia="zh-CN"/>
          <w:highlight w:val="none"/>
        </w:rPr>
        <w:t>电容检测</w:t>
      </w:r>
      <w:r>
        <w:rPr>
          <w:rFonts w:cs="Times New Roman"/>
          <w:color w:val="auto"/>
          <w:highlight w:val="none"/>
        </w:rPr>
        <w:t>仪与电容极性探头、电容外壳电极相连，</w:t>
      </w:r>
      <w:r>
        <w:rPr>
          <w:rFonts w:cs="Times New Roman" w:hint="eastAsia"/>
          <w:color w:val="auto"/>
          <w:lang w:val="en-US" w:eastAsia="zh-CN"/>
          <w:highlight w:val="none"/>
        </w:rPr>
        <w:t>检测</w:t>
      </w:r>
      <w:r>
        <w:rPr>
          <w:rFonts w:cs="Times New Roman"/>
          <w:color w:val="auto"/>
          <w:highlight w:val="none"/>
        </w:rPr>
        <w:t>仪启动自检；灌浆过程中，</w:t>
      </w:r>
      <w:r>
        <w:rPr>
          <w:rFonts w:cs="Times New Roman" w:hint="eastAsia"/>
          <w:color w:val="auto"/>
          <w:highlight w:val="none"/>
        </w:rPr>
        <w:t>应</w:t>
      </w:r>
      <w:r>
        <w:rPr>
          <w:rFonts w:cs="Times New Roman"/>
          <w:color w:val="auto"/>
          <w:highlight w:val="none"/>
        </w:rPr>
        <w:t>实时监测探头的电容值并做记录。</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8.3.3</w:t>
      </w:r>
      <w:r>
        <w:rPr>
          <w:rFonts w:cs="Times New Roman"/>
          <w:color w:val="auto"/>
          <w:highlight w:val="none"/>
        </w:rPr>
        <w:t>　灌浆套筒抽检数量不宜少于</w:t>
      </w:r>
      <w:r>
        <w:rPr>
          <w:rFonts w:cs="Times New Roman" w:hint="eastAsia"/>
          <w:color w:val="auto"/>
          <w:highlight w:val="none"/>
        </w:rPr>
        <w:t>被测</w:t>
      </w:r>
      <w:r>
        <w:rPr>
          <w:rFonts w:cs="Times New Roman"/>
          <w:color w:val="auto"/>
          <w:highlight w:val="none"/>
        </w:rPr>
        <w:t>连接部位套筒数量的40%，</w:t>
      </w:r>
      <w:r>
        <w:rPr>
          <w:rFonts w:cs="Times New Roman" w:hint="eastAsia"/>
          <w:color w:val="auto"/>
          <w:lang w:val="en-US" w:eastAsia="zh-CN"/>
          <w:highlight w:val="none"/>
        </w:rPr>
        <w:t>且</w:t>
      </w:r>
      <w:r>
        <w:rPr>
          <w:rFonts w:cs="Times New Roman"/>
          <w:color w:val="auto"/>
          <w:highlight w:val="none"/>
        </w:rPr>
        <w:t>抽样应具有代表性。</w:t>
      </w:r>
    </w:p>
    <w:p>
      <w:pPr>
        <w:pStyle w:val="89"/>
        <w:autoSpaceDE w:val="0"/>
        <w:autoSpaceDN w:val="0"/>
        <w:textAlignment w:val="auto"/>
        <w:rPr>
          <w:rFonts w:eastAsia="仿宋" w:cs="Times New Roman"/>
          <w:color w:val="auto"/>
          <w:szCs w:val="24"/>
          <w:shd w:val="pct10" w:color="auto" w:fill="FFFFFF"/>
          <w:highlight w:val="none"/>
        </w:rPr>
      </w:pPr>
      <w:r>
        <w:rPr>
          <w:rFonts w:eastAsia="仿宋" w:cs="Times New Roman" w:hint="eastAsia"/>
          <w:b/>
          <w:bCs/>
          <w:color w:val="auto"/>
          <w:shd w:val="pct10" w:color="auto" w:fill="FFFFFF"/>
          <w:lang w:val="en-US" w:eastAsia="zh-CN"/>
          <w:highlight w:val="none"/>
        </w:rPr>
        <w:t>条文说明</w:t>
      </w:r>
      <w:r>
        <w:rPr>
          <w:rFonts w:eastAsia="仿宋" w:cs="Times New Roman"/>
          <w:b/>
          <w:bCs/>
          <w:color w:val="auto"/>
          <w:szCs w:val="24"/>
          <w:shd w:val="pct10" w:color="auto" w:fill="FFFFFF"/>
          <w:highlight w:val="none"/>
        </w:rPr>
        <w:t>8.3.3　</w:t>
      </w:r>
      <w:r>
        <w:rPr>
          <w:rFonts w:eastAsia="仿宋" w:cs="Times New Roman"/>
          <w:color w:val="auto"/>
          <w:szCs w:val="24"/>
          <w:shd w:val="pct10" w:color="auto" w:fill="FFFFFF"/>
          <w:highlight w:val="none"/>
        </w:rPr>
        <w:t>电容法传感器对套筒内部灌浆料液面变化情况反应灵敏，满足套筒灌浆施工过程实时、快速检测要求。该方法检测费用为阻尼传感器法的1/2，在保证检测总费用不变的情况下，电容法抽检比例</w:t>
      </w:r>
      <w:r>
        <w:rPr>
          <w:rFonts w:eastAsia="仿宋" w:cs="Times New Roman" w:hint="eastAsia"/>
          <w:color w:val="auto"/>
          <w:szCs w:val="24"/>
          <w:shd w:val="pct10" w:color="auto" w:fill="FFFFFF"/>
          <w:highlight w:val="none"/>
        </w:rPr>
        <w:t>可以</w:t>
      </w:r>
      <w:r>
        <w:rPr>
          <w:rFonts w:eastAsia="仿宋" w:cs="Times New Roman"/>
          <w:color w:val="auto"/>
          <w:szCs w:val="24"/>
          <w:shd w:val="pct10" w:color="auto" w:fill="FFFFFF"/>
          <w:highlight w:val="none"/>
        </w:rPr>
        <w:t>提高到40%，从而能够进一步加强装配式桥梁套筒灌浆饱满度的施工质量控制。</w:t>
      </w:r>
    </w:p>
    <w:p>
      <w:pPr>
        <w:rPr>
          <w:color w:val="auto"/>
          <w:highlight w:val="none"/>
        </w:rPr>
      </w:pPr>
    </w:p>
    <w:p>
      <w:pPr>
        <w:pStyle w:val="3"/>
        <w:tabs>
          <w:tab w:val="left" w:pos="0"/>
          <w:tab w:val="left" w:pos="567"/>
          <w:tab w:val="left" w:pos="709"/>
          <w:tab w:val="left" w:pos="1560"/>
        </w:tabs>
        <w:rPr>
          <w:rFonts w:eastAsia="仿宋" w:cs="Times New Roman"/>
          <w:color w:val="auto"/>
          <w:shd w:val="pct10" w:color="auto" w:fill="FFFFFF"/>
          <w:highlight w:val="none"/>
        </w:rPr>
      </w:pPr>
      <w:r>
        <w:rPr>
          <w:rFonts w:cs="Times New Roman"/>
          <w:b/>
          <w:color w:val="auto"/>
          <w:highlight w:val="none"/>
        </w:rPr>
        <w:t>8.3.4　</w:t>
      </w:r>
      <w:r>
        <w:rPr>
          <w:rFonts w:cs="Times New Roman"/>
          <w:color w:val="auto"/>
          <w:highlight w:val="none"/>
        </w:rPr>
        <w:t>电容法的检测</w:t>
      </w:r>
      <w:r>
        <w:rPr>
          <w:rFonts w:cs="Times New Roman" w:hint="eastAsia"/>
          <w:color w:val="auto"/>
          <w:lang w:val="en-US" w:eastAsia="zh-CN"/>
          <w:highlight w:val="none"/>
        </w:rPr>
        <w:t>记录</w:t>
      </w:r>
      <w:r>
        <w:rPr>
          <w:rFonts w:cs="Times New Roman"/>
          <w:color w:val="auto"/>
          <w:highlight w:val="none"/>
        </w:rPr>
        <w:t>应按本标准附录E记录。</w:t>
      </w:r>
    </w:p>
    <w:p>
      <w:pPr>
        <w:pStyle w:val="2"/>
        <w:tabs>
          <w:tab w:val="left" w:pos="0"/>
        </w:tabs>
        <w:rPr>
          <w:rFonts w:ascii="Times New Roman" w:cs="Times New Roman" w:hAnsi="Times New Roman"/>
          <w:color w:val="auto"/>
          <w:highlight w:val="none"/>
        </w:rPr>
      </w:pPr>
      <w:bookmarkStart w:id="260" w:name="_Toc19164"/>
      <w:bookmarkStart w:id="261" w:name="_Toc12894"/>
      <w:bookmarkStart w:id="262" w:name="_Toc30353"/>
      <w:bookmarkStart w:id="263" w:name="_Toc7775"/>
      <w:bookmarkStart w:id="264" w:name="_Toc2698"/>
      <w:r>
        <w:rPr>
          <w:rFonts w:ascii="Times New Roman" w:cs="Times New Roman" w:hAnsi="Times New Roman"/>
          <w:color w:val="auto"/>
          <w:highlight w:val="none"/>
        </w:rPr>
        <w:t>8.4　评定</w:t>
      </w:r>
      <w:bookmarkEnd w:id="260"/>
      <w:bookmarkEnd w:id="261"/>
      <w:bookmarkEnd w:id="262"/>
      <w:bookmarkEnd w:id="263"/>
      <w:bookmarkEnd w:id="264"/>
    </w:p>
    <w:p>
      <w:pPr>
        <w:pStyle w:val="3"/>
        <w:tabs>
          <w:tab w:val="left" w:pos="0"/>
          <w:tab w:val="left" w:pos="567"/>
          <w:tab w:val="left" w:pos="709"/>
          <w:tab w:val="left" w:pos="1560"/>
        </w:tabs>
        <w:rPr>
          <w:rFonts w:cs="Times New Roman"/>
          <w:b/>
          <w:color w:val="auto"/>
          <w:highlight w:val="none"/>
        </w:rPr>
      </w:pPr>
      <w:r>
        <w:rPr>
          <w:rFonts w:cs="Times New Roman"/>
          <w:b/>
          <w:color w:val="auto"/>
          <w:highlight w:val="none"/>
        </w:rPr>
        <w:t>8.4.1</w:t>
      </w:r>
      <w:r>
        <w:rPr>
          <w:rFonts w:cs="Times New Roman"/>
          <w:color w:val="auto"/>
          <w:highlight w:val="none"/>
        </w:rPr>
        <w:t>　套筒灌浆饱满度应根据灌浆饱满度</w:t>
      </w:r>
      <w:r>
        <w:rPr>
          <w:rFonts w:cs="Times New Roman" w:hint="eastAsia"/>
          <w:color w:val="auto"/>
          <w:lang w:val="en-US" w:eastAsia="zh-CN"/>
          <w:highlight w:val="none"/>
        </w:rPr>
        <w:t>电容检测</w:t>
      </w:r>
      <w:r>
        <w:rPr>
          <w:rFonts w:cs="Times New Roman"/>
          <w:color w:val="auto"/>
          <w:highlight w:val="none"/>
        </w:rPr>
        <w:t>仪输出的电容值和监测时程曲线判断。</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8.4.2　</w:t>
      </w:r>
      <w:r>
        <w:rPr>
          <w:rFonts w:cs="Times New Roman"/>
          <w:color w:val="auto"/>
          <w:highlight w:val="none"/>
        </w:rPr>
        <w:t>套筒灌浆饱满度等级评定应</w:t>
      </w:r>
      <w:r>
        <w:rPr>
          <w:rFonts w:cs="Times New Roman" w:hint="eastAsia"/>
          <w:color w:val="auto"/>
          <w:highlight w:val="none"/>
        </w:rPr>
        <w:t>符合</w:t>
      </w:r>
      <w:r>
        <w:rPr>
          <w:rFonts w:cs="Times New Roman"/>
          <w:color w:val="auto"/>
          <w:highlight w:val="none"/>
        </w:rPr>
        <w:t>表8.4.2</w:t>
      </w:r>
      <w:r>
        <w:rPr>
          <w:rFonts w:cs="Times New Roman" w:hint="eastAsia"/>
          <w:color w:val="auto"/>
          <w:highlight w:val="none"/>
        </w:rPr>
        <w:t>的规定</w:t>
      </w:r>
      <w:r>
        <w:rPr>
          <w:rFonts w:cs="Times New Roman"/>
          <w:color w:val="auto"/>
          <w:highlight w:val="none"/>
        </w:rPr>
        <w:t>。</w:t>
      </w:r>
    </w:p>
    <w:p>
      <w:pPr>
        <w:snapToGrid w:val="0"/>
        <w:spacing w:beforeLines="50" w:before="156" w:line="300" w:lineRule="auto"/>
        <w:ind w:firstLineChars="0" w:firstLine="0"/>
        <w:jc w:val="center"/>
        <w:rPr>
          <w:rStyle w:val="125"/>
          <w:rFonts w:cs="Times New Roman"/>
          <w:color w:val="auto"/>
          <w:highlight w:val="none"/>
        </w:rPr>
      </w:pPr>
      <w:r>
        <w:rPr>
          <w:rStyle w:val="125"/>
          <w:rFonts w:cs="Times New Roman"/>
          <w:color w:val="auto"/>
          <w:highlight w:val="none"/>
        </w:rPr>
        <w:t>表8.4.2　套筒灌浆饱满度等级评定标准</w:t>
      </w:r>
    </w:p>
    <w:tbl>
      <w:tblPr>
        <w:jc w:val="left"/>
        <w:tblInd w:w="0" w:type="dxa"/>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600" w:firstRow="0" w:lastRow="0" w:firstColumn="0" w:lastColumn="0" w:noHBand="1" w:noVBand="1"/>
      </w:tblPr>
      <w:tblGrid>
        <w:gridCol w:w="3012"/>
        <w:gridCol w:w="3012"/>
        <w:gridCol w:w="3012"/>
      </w:tblGrid>
      <w:tr>
        <w:tc>
          <w:tcPr>
            <w:tcW w:w="1666" w:type="pct"/>
            <w:tcBorders>
              <w:top w:val="single" w:sz="12" w:space="0" w:color="auto"/>
              <w:left w:val="single" w:sz="12" w:space="0" w:color="auto"/>
              <w:bottom w:val="single" w:sz="4" w:space="0" w:color="auto"/>
              <w:right w:val="single" w:sz="4" w:space="0" w:color="auto"/>
            </w:tcBorders>
          </w:tcPr>
          <w:p>
            <w:pPr>
              <w:pStyle w:val="38"/>
              <w:spacing w:after="0"/>
              <w:ind w:firstLineChars="0" w:firstLine="0"/>
              <w:jc w:val="center"/>
              <w:rPr>
                <w:rFonts w:cs="Times New Roman"/>
                <w:b/>
                <w:bCs/>
                <w:color w:val="auto"/>
                <w:sz w:val="21"/>
                <w:szCs w:val="21"/>
                <w:highlight w:val="none"/>
              </w:rPr>
            </w:pPr>
            <w:r>
              <w:rPr>
                <w:rFonts w:cs="Times New Roman"/>
                <w:b/>
                <w:bCs/>
                <w:color w:val="auto"/>
                <w:sz w:val="21"/>
                <w:szCs w:val="21"/>
                <w:highlight w:val="none"/>
              </w:rPr>
              <w:t>测量电容值/μf</w:t>
            </w:r>
          </w:p>
        </w:tc>
        <w:tc>
          <w:tcPr>
            <w:tcW w:w="1666" w:type="pct"/>
            <w:tcBorders>
              <w:top w:val="single" w:sz="12" w:space="0" w:color="auto"/>
              <w:left w:val="single" w:sz="4" w:space="0" w:color="auto"/>
              <w:bottom w:val="single" w:sz="4" w:space="0" w:color="auto"/>
              <w:right w:val="single" w:sz="4" w:space="0" w:color="auto"/>
            </w:tcBorders>
          </w:tcPr>
          <w:p>
            <w:pPr>
              <w:pStyle w:val="38"/>
              <w:spacing w:after="0"/>
              <w:ind w:firstLineChars="0" w:firstLine="0"/>
              <w:jc w:val="center"/>
              <w:rPr>
                <w:rFonts w:cs="Times New Roman"/>
                <w:b/>
                <w:bCs/>
                <w:color w:val="auto"/>
                <w:sz w:val="21"/>
                <w:szCs w:val="21"/>
                <w:highlight w:val="none"/>
              </w:rPr>
            </w:pPr>
            <w:r>
              <w:rPr>
                <w:rFonts w:cs="Times New Roman"/>
                <w:b/>
                <w:bCs/>
                <w:color w:val="auto"/>
                <w:sz w:val="21"/>
                <w:szCs w:val="21"/>
                <w:highlight w:val="none"/>
              </w:rPr>
              <w:t>饱满度描述</w:t>
            </w:r>
          </w:p>
        </w:tc>
        <w:tc>
          <w:tcPr>
            <w:tcW w:w="1666" w:type="pct"/>
            <w:tcBorders>
              <w:top w:val="single" w:sz="12" w:space="0" w:color="auto"/>
              <w:left w:val="single" w:sz="4" w:space="0" w:color="auto"/>
              <w:bottom w:val="single" w:sz="4" w:space="0" w:color="auto"/>
              <w:right w:val="single" w:sz="12" w:space="0" w:color="auto"/>
            </w:tcBorders>
          </w:tcPr>
          <w:p>
            <w:pPr>
              <w:pStyle w:val="38"/>
              <w:spacing w:after="0"/>
              <w:ind w:firstLineChars="0" w:firstLine="0"/>
              <w:jc w:val="center"/>
              <w:rPr>
                <w:rFonts w:cs="Times New Roman"/>
                <w:b/>
                <w:bCs/>
                <w:color w:val="auto"/>
                <w:sz w:val="21"/>
                <w:szCs w:val="21"/>
                <w:highlight w:val="none"/>
              </w:rPr>
            </w:pPr>
            <w:r>
              <w:rPr>
                <w:rFonts w:cs="Times New Roman"/>
                <w:b/>
                <w:bCs/>
                <w:color w:val="auto"/>
                <w:sz w:val="21"/>
                <w:szCs w:val="21"/>
                <w:highlight w:val="none"/>
              </w:rPr>
              <w:t>评定等级</w:t>
            </w:r>
          </w:p>
        </w:tc>
      </w:tr>
      <w:tr>
        <w:tc>
          <w:tcPr>
            <w:tcW w:w="1666" w:type="pct"/>
            <w:tcBorders>
              <w:top w:val="single" w:sz="4" w:space="0" w:color="auto"/>
              <w:left w:val="single" w:sz="12" w:space="0" w:color="auto"/>
              <w:bottom w:val="single" w:sz="4" w:space="0" w:color="auto"/>
              <w:right w:val="single" w:sz="4" w:space="0" w:color="auto"/>
            </w:tcBorders>
          </w:tcPr>
          <w:p>
            <w:pPr>
              <w:pStyle w:val="38"/>
              <w:spacing w:after="0"/>
              <w:ind w:firstLineChars="0" w:firstLine="0"/>
              <w:jc w:val="center"/>
              <w:rPr>
                <w:rFonts w:cs="Times New Roman"/>
                <w:color w:val="auto"/>
                <w:sz w:val="21"/>
                <w:szCs w:val="21"/>
                <w:highlight w:val="none"/>
              </w:rPr>
            </w:pPr>
            <w:r>
              <w:rPr>
                <w:rFonts w:cs="Times New Roman"/>
                <w:color w:val="auto"/>
                <w:sz w:val="21"/>
                <w:szCs w:val="21"/>
                <w:highlight w:val="none"/>
              </w:rPr>
              <w:t>≤0.5</w:t>
            </w:r>
          </w:p>
        </w:tc>
        <w:tc>
          <w:tcPr>
            <w:tcW w:w="1666" w:type="pct"/>
            <w:tcBorders>
              <w:top w:val="single" w:sz="4" w:space="0" w:color="auto"/>
              <w:left w:val="single" w:sz="4" w:space="0" w:color="auto"/>
              <w:bottom w:val="single" w:sz="4" w:space="0" w:color="auto"/>
              <w:right w:val="single" w:sz="4" w:space="0" w:color="auto"/>
            </w:tcBorders>
          </w:tcPr>
          <w:p>
            <w:pPr>
              <w:pStyle w:val="38"/>
              <w:spacing w:after="0"/>
              <w:ind w:firstLineChars="0" w:firstLine="0"/>
              <w:jc w:val="center"/>
              <w:rPr>
                <w:rFonts w:cs="Times New Roman"/>
                <w:color w:val="auto"/>
                <w:sz w:val="21"/>
                <w:szCs w:val="21"/>
                <w:highlight w:val="none"/>
              </w:rPr>
            </w:pPr>
            <w:r>
              <w:rPr>
                <w:rFonts w:cs="Times New Roman"/>
                <w:color w:val="auto"/>
                <w:sz w:val="21"/>
                <w:szCs w:val="21"/>
                <w:highlight w:val="none"/>
              </w:rPr>
              <w:t>灌浆饱满</w:t>
            </w:r>
          </w:p>
        </w:tc>
        <w:tc>
          <w:tcPr>
            <w:tcW w:w="1666" w:type="pct"/>
            <w:tcBorders>
              <w:top w:val="single" w:sz="4" w:space="0" w:color="auto"/>
              <w:left w:val="single" w:sz="4" w:space="0" w:color="auto"/>
              <w:bottom w:val="single" w:sz="4" w:space="0" w:color="auto"/>
              <w:right w:val="single" w:sz="12" w:space="0" w:color="auto"/>
            </w:tcBorders>
          </w:tcPr>
          <w:p>
            <w:pPr>
              <w:pStyle w:val="38"/>
              <w:spacing w:after="0"/>
              <w:ind w:firstLineChars="0" w:firstLine="0"/>
              <w:jc w:val="center"/>
              <w:rPr>
                <w:rFonts w:cs="Times New Roman"/>
                <w:color w:val="auto"/>
                <w:sz w:val="21"/>
                <w:szCs w:val="21"/>
                <w:highlight w:val="none"/>
              </w:rPr>
            </w:pPr>
            <w:r>
              <w:rPr>
                <w:rFonts w:cs="Times New Roman"/>
                <w:color w:val="auto"/>
                <w:sz w:val="21"/>
                <w:szCs w:val="21"/>
                <w:highlight w:val="none"/>
              </w:rPr>
              <w:t>I类</w:t>
            </w:r>
          </w:p>
        </w:tc>
      </w:tr>
      <w:tr>
        <w:tc>
          <w:tcPr>
            <w:tcW w:w="1666" w:type="pct"/>
            <w:tcBorders>
              <w:top w:val="single" w:sz="4" w:space="0" w:color="auto"/>
              <w:left w:val="single" w:sz="12" w:space="0" w:color="auto"/>
              <w:bottom w:val="single" w:sz="12" w:space="0" w:color="auto"/>
              <w:right w:val="single" w:sz="4" w:space="0" w:color="auto"/>
            </w:tcBorders>
          </w:tcPr>
          <w:p>
            <w:pPr>
              <w:pStyle w:val="38"/>
              <w:spacing w:after="0"/>
              <w:ind w:firstLineChars="0" w:firstLine="0"/>
              <w:jc w:val="center"/>
              <w:rPr>
                <w:rFonts w:cs="Times New Roman"/>
                <w:color w:val="auto"/>
                <w:sz w:val="21"/>
                <w:szCs w:val="21"/>
                <w:highlight w:val="none"/>
              </w:rPr>
            </w:pPr>
            <w:r>
              <w:rPr>
                <w:rFonts w:cs="Times New Roman"/>
                <w:color w:val="auto"/>
                <w:sz w:val="21"/>
                <w:szCs w:val="21"/>
                <w:highlight w:val="none"/>
              </w:rPr>
              <w:t>＞0.5</w:t>
            </w:r>
          </w:p>
        </w:tc>
        <w:tc>
          <w:tcPr>
            <w:tcW w:w="1666" w:type="pct"/>
            <w:tcBorders>
              <w:top w:val="single" w:sz="4" w:space="0" w:color="auto"/>
              <w:left w:val="single" w:sz="4" w:space="0" w:color="auto"/>
              <w:bottom w:val="single" w:sz="12" w:space="0" w:color="auto"/>
              <w:right w:val="single" w:sz="4" w:space="0" w:color="auto"/>
            </w:tcBorders>
          </w:tcPr>
          <w:p>
            <w:pPr>
              <w:pStyle w:val="38"/>
              <w:spacing w:after="0"/>
              <w:ind w:firstLineChars="0" w:firstLine="0"/>
              <w:jc w:val="center"/>
              <w:rPr>
                <w:rFonts w:cs="Times New Roman"/>
                <w:color w:val="auto"/>
                <w:sz w:val="21"/>
                <w:szCs w:val="21"/>
                <w:highlight w:val="none"/>
              </w:rPr>
            </w:pPr>
            <w:r>
              <w:rPr>
                <w:rFonts w:cs="Times New Roman"/>
                <w:color w:val="auto"/>
                <w:sz w:val="21"/>
                <w:szCs w:val="21"/>
                <w:highlight w:val="none"/>
              </w:rPr>
              <w:t>灌浆不饱满</w:t>
            </w:r>
          </w:p>
        </w:tc>
        <w:tc>
          <w:tcPr>
            <w:tcW w:w="1666" w:type="pct"/>
            <w:tcBorders>
              <w:top w:val="single" w:sz="4" w:space="0" w:color="auto"/>
              <w:left w:val="single" w:sz="4" w:space="0" w:color="auto"/>
              <w:bottom w:val="single" w:sz="12" w:space="0" w:color="auto"/>
              <w:right w:val="single" w:sz="12" w:space="0" w:color="auto"/>
            </w:tcBorders>
          </w:tcPr>
          <w:p>
            <w:pPr>
              <w:pStyle w:val="38"/>
              <w:spacing w:after="0"/>
              <w:ind w:firstLineChars="0" w:firstLine="0"/>
              <w:jc w:val="center"/>
              <w:rPr>
                <w:rFonts w:cs="Times New Roman"/>
                <w:color w:val="auto"/>
                <w:sz w:val="21"/>
                <w:szCs w:val="21"/>
                <w:highlight w:val="none"/>
              </w:rPr>
            </w:pPr>
            <w:r>
              <w:rPr>
                <w:rFonts w:cs="Times New Roman"/>
                <w:color w:val="auto"/>
                <w:sz w:val="21"/>
                <w:szCs w:val="21"/>
                <w:highlight w:val="none"/>
              </w:rPr>
              <w:t>II类</w:t>
            </w:r>
          </w:p>
        </w:tc>
      </w:tr>
    </w:tbl>
    <w:p>
      <w:pPr>
        <w:pStyle w:val="89"/>
        <w:autoSpaceDE w:val="0"/>
        <w:autoSpaceDN w:val="0"/>
        <w:textAlignment w:val="auto"/>
        <w:rPr>
          <w:rFonts w:cs="Times New Roman"/>
          <w:color w:val="auto"/>
          <w:szCs w:val="24"/>
          <w:highlight w:val="none"/>
        </w:rPr>
      </w:pPr>
      <w:r>
        <w:rPr>
          <w:rFonts w:eastAsia="仿宋" w:cs="Times New Roman" w:hint="eastAsia"/>
          <w:b/>
          <w:bCs/>
          <w:color w:val="auto"/>
          <w:shd w:val="pct10" w:color="auto" w:fill="FFFFFF"/>
          <w:lang w:val="en-US" w:eastAsia="zh-CN"/>
          <w:highlight w:val="none"/>
        </w:rPr>
        <w:t>条文说明</w:t>
      </w:r>
      <w:r>
        <w:rPr>
          <w:rFonts w:eastAsia="仿宋" w:cs="Times New Roman"/>
          <w:b/>
          <w:bCs/>
          <w:color w:val="auto"/>
          <w:szCs w:val="24"/>
          <w:shd w:val="pct10" w:color="auto" w:fill="FFFFFF"/>
          <w:highlight w:val="none"/>
        </w:rPr>
        <w:t>8.4.2　</w:t>
      </w:r>
      <w:r>
        <w:rPr>
          <w:rFonts w:eastAsia="仿宋" w:cs="Times New Roman"/>
          <w:color w:val="auto"/>
          <w:szCs w:val="24"/>
          <w:shd w:val="pct10" w:color="auto" w:fill="FFFFFF"/>
          <w:highlight w:val="none"/>
        </w:rPr>
        <w:t>套筒灌浆模拟试验和现场测试结果表明，灌浆前两电容探头间初始测试电容值通常大于10</w:t>
      </w:r>
      <w:r>
        <w:rPr>
          <w:rFonts w:eastAsia="仿宋" w:cs="Times New Roman"/>
          <w:i/>
          <w:iCs/>
          <w:color w:val="auto"/>
          <w:szCs w:val="24"/>
          <w:shd w:val="pct10" w:color="auto" w:fill="FFFFFF"/>
          <w:highlight w:val="none"/>
        </w:rPr>
        <w:t>μ</w:t>
      </w:r>
      <w:r>
        <w:rPr>
          <w:rFonts w:eastAsia="仿宋" w:cs="Times New Roman" w:hint="eastAsia"/>
          <w:color w:val="auto"/>
          <w:szCs w:val="24"/>
          <w:shd w:val="pct10" w:color="auto" w:fill="FFFFFF"/>
          <w:lang w:val="en-US" w:eastAsia="zh-CN"/>
          <w:highlight w:val="none"/>
        </w:rPr>
        <w:t>F</w:t>
      </w:r>
      <w:r>
        <w:rPr>
          <w:rFonts w:eastAsia="仿宋" w:cs="Times New Roman"/>
          <w:color w:val="auto"/>
          <w:szCs w:val="24"/>
          <w:shd w:val="pct10" w:color="auto" w:fill="FFFFFF"/>
          <w:highlight w:val="none"/>
        </w:rPr>
        <w:t>，当灌浆料液面增加并连通电容极性探头和电容外壳电极后，电容值将下降到0.5</w:t>
      </w:r>
      <w:r>
        <w:rPr>
          <w:rFonts w:eastAsia="仿宋" w:cs="Times New Roman"/>
          <w:i/>
          <w:iCs/>
          <w:color w:val="auto"/>
          <w:szCs w:val="24"/>
          <w:shd w:val="pct10" w:color="auto" w:fill="FFFFFF"/>
          <w:highlight w:val="none"/>
        </w:rPr>
        <w:t>μ</w:t>
      </w:r>
      <w:r>
        <w:rPr>
          <w:rFonts w:eastAsia="仿宋" w:cs="Times New Roman" w:hint="eastAsia"/>
          <w:color w:val="auto"/>
          <w:szCs w:val="24"/>
          <w:shd w:val="pct10" w:color="auto" w:fill="FFFFFF"/>
          <w:lang w:val="en-US" w:eastAsia="zh-CN"/>
          <w:highlight w:val="none"/>
        </w:rPr>
        <w:t>F</w:t>
      </w:r>
      <w:r>
        <w:rPr>
          <w:rFonts w:eastAsia="仿宋" w:cs="Times New Roman"/>
          <w:color w:val="auto"/>
          <w:szCs w:val="24"/>
          <w:shd w:val="pct10" w:color="auto" w:fill="FFFFFF"/>
          <w:highlight w:val="none"/>
        </w:rPr>
        <w:t>以内，若出现灌浆料液面回落的情况，电容值上升并超出0.5</w:t>
      </w:r>
      <w:r>
        <w:rPr>
          <w:rFonts w:eastAsia="仿宋" w:cs="Times New Roman"/>
          <w:i/>
          <w:iCs/>
          <w:color w:val="auto"/>
          <w:szCs w:val="24"/>
          <w:shd w:val="pct10" w:color="auto" w:fill="FFFFFF"/>
          <w:highlight w:val="none"/>
        </w:rPr>
        <w:t>μ</w:t>
      </w:r>
      <w:r>
        <w:rPr>
          <w:rFonts w:eastAsia="仿宋" w:cs="Times New Roman" w:hint="eastAsia"/>
          <w:color w:val="auto"/>
          <w:szCs w:val="24"/>
          <w:shd w:val="pct10" w:color="auto" w:fill="FFFFFF"/>
          <w:lang w:val="en-US" w:eastAsia="zh-CN"/>
          <w:highlight w:val="none"/>
        </w:rPr>
        <w:t>F</w:t>
      </w:r>
      <w:r>
        <w:rPr>
          <w:rFonts w:eastAsia="仿宋" w:cs="Times New Roman"/>
          <w:color w:val="auto"/>
          <w:szCs w:val="24"/>
          <w:shd w:val="pct10" w:color="auto" w:fill="FFFFFF"/>
          <w:highlight w:val="none"/>
        </w:rPr>
        <w:t>。因此，电容法测试时可将0.5</w:t>
      </w:r>
      <w:r>
        <w:rPr>
          <w:rFonts w:eastAsia="仿宋" w:cs="Times New Roman"/>
          <w:i/>
          <w:iCs/>
          <w:color w:val="auto"/>
          <w:szCs w:val="24"/>
          <w:shd w:val="pct10" w:color="auto" w:fill="FFFFFF"/>
          <w:highlight w:val="none"/>
        </w:rPr>
        <w:t>μ</w:t>
      </w:r>
      <w:r>
        <w:rPr>
          <w:rFonts w:eastAsia="仿宋" w:cs="Times New Roman" w:hint="eastAsia"/>
          <w:color w:val="auto"/>
          <w:szCs w:val="24"/>
          <w:shd w:val="pct10" w:color="auto" w:fill="FFFFFF"/>
          <w:lang w:val="en-US" w:eastAsia="zh-CN"/>
          <w:highlight w:val="none"/>
        </w:rPr>
        <w:t>F</w:t>
      </w:r>
      <w:r>
        <w:rPr>
          <w:rFonts w:eastAsia="仿宋" w:cs="Times New Roman"/>
          <w:color w:val="auto"/>
          <w:szCs w:val="24"/>
          <w:shd w:val="pct10" w:color="auto" w:fill="FFFFFF"/>
          <w:highlight w:val="none"/>
        </w:rPr>
        <w:t>作为判断套筒灌浆是否饱满的阈值。</w:t>
      </w:r>
    </w:p>
    <w:p>
      <w:pPr>
        <w:pStyle w:val="3"/>
        <w:tabs>
          <w:tab w:val="left" w:pos="0"/>
          <w:tab w:val="left" w:pos="567"/>
          <w:tab w:val="left" w:pos="709"/>
          <w:tab w:val="left" w:pos="1560"/>
        </w:tabs>
        <w:rPr>
          <w:rFonts w:cs="Times New Roman"/>
          <w:color w:val="auto"/>
          <w:highlight w:val="none"/>
        </w:rPr>
      </w:pPr>
      <w:r>
        <w:rPr>
          <w:rFonts w:cs="Times New Roman" w:hint="eastAsia"/>
          <w:b/>
          <w:color w:val="auto"/>
          <w:highlight w:val="none"/>
        </w:rPr>
        <w:t>8</w:t>
      </w:r>
      <w:r>
        <w:rPr>
          <w:rFonts w:cs="Times New Roman"/>
          <w:b/>
          <w:color w:val="auto"/>
          <w:highlight w:val="none"/>
        </w:rPr>
        <w:t>.4.</w:t>
      </w:r>
      <w:r>
        <w:rPr>
          <w:rFonts w:cs="Times New Roman" w:hint="eastAsia"/>
          <w:b/>
          <w:color w:val="auto"/>
          <w:highlight w:val="none"/>
        </w:rPr>
        <w:t>3</w:t>
      </w:r>
      <w:r>
        <w:rPr>
          <w:rFonts w:cs="Times New Roman"/>
          <w:b/>
          <w:color w:val="auto"/>
          <w:highlight w:val="none"/>
        </w:rPr>
        <w:t>　</w:t>
      </w:r>
      <w:r>
        <w:rPr>
          <w:rFonts w:cs="Times New Roman"/>
          <w:color w:val="auto"/>
          <w:highlight w:val="none"/>
        </w:rPr>
        <w:t>灌浆饱满度不合格时，应二次补浆。补灌后应对原灌浆不饱满套筒的灌浆饱满度进行复测，直至灌浆饱满</w:t>
      </w:r>
      <w:r>
        <w:rPr>
          <w:rFonts w:cs="Times New Roman" w:hint="eastAsia"/>
          <w:color w:val="auto"/>
          <w:highlight w:val="none"/>
        </w:rPr>
        <w:t>。应</w:t>
      </w:r>
      <w:r>
        <w:rPr>
          <w:rFonts w:cs="Times New Roman"/>
          <w:color w:val="auto"/>
          <w:highlight w:val="none"/>
        </w:rPr>
        <w:t>在记录表备注栏中做复测记录。</w:t>
      </w:r>
    </w:p>
    <w:p>
      <w:pPr>
        <w:pStyle w:val="38"/>
        <w:rPr>
          <w:rFonts w:cs="Times New Roman"/>
          <w:color w:val="auto"/>
          <w:highlight w:val="none"/>
        </w:rPr>
      </w:pPr>
      <w:r>
        <w:rPr>
          <w:rFonts w:eastAsia="仿宋" w:cs="Times New Roman" w:hint="eastAsia"/>
          <w:b/>
          <w:bCs/>
          <w:color w:val="auto"/>
          <w:shd w:val="pct10" w:color="auto" w:fill="FFFFFF"/>
          <w:lang w:val="en-US" w:eastAsia="zh-CN"/>
          <w:highlight w:val="none"/>
        </w:rPr>
        <w:t>条文说明</w:t>
      </w:r>
      <w:r>
        <w:rPr>
          <w:rFonts w:eastAsia="仿宋" w:cs="Times New Roman"/>
          <w:b/>
          <w:bCs/>
          <w:color w:val="auto"/>
          <w:szCs w:val="24"/>
          <w:shd w:val="pct10" w:color="auto" w:fill="FFFFFF"/>
          <w:highlight w:val="none"/>
        </w:rPr>
        <w:t>8.4.</w:t>
      </w:r>
      <w:r>
        <w:rPr>
          <w:rFonts w:eastAsia="仿宋" w:cs="Times New Roman" w:hint="eastAsia"/>
          <w:b/>
          <w:bCs/>
          <w:color w:val="auto"/>
          <w:szCs w:val="24"/>
          <w:shd w:val="pct10" w:color="auto" w:fill="FFFFFF"/>
          <w:lang w:val="en-US" w:eastAsia="zh-CN"/>
          <w:highlight w:val="none"/>
        </w:rPr>
        <w:t>3</w:t>
      </w:r>
      <w:r>
        <w:rPr>
          <w:rFonts w:eastAsia="仿宋" w:cs="Times New Roman"/>
          <w:b/>
          <w:bCs/>
          <w:color w:val="auto"/>
          <w:szCs w:val="24"/>
          <w:shd w:val="pct10" w:color="auto" w:fill="FFFFFF"/>
          <w:highlight w:val="none"/>
        </w:rPr>
        <w:t>　</w:t>
      </w:r>
      <w:r>
        <w:rPr>
          <w:rFonts w:eastAsia="仿宋" w:cs="Times New Roman"/>
          <w:color w:val="auto"/>
          <w:szCs w:val="24"/>
          <w:shd w:val="pct10" w:color="auto" w:fill="FFFFFF"/>
          <w:highlight w:val="none"/>
        </w:rPr>
        <w:t>对于评定为灌浆不饱满的套筒，</w:t>
      </w:r>
      <w:r>
        <w:rPr>
          <w:rFonts w:eastAsia="仿宋" w:cs="Times New Roman" w:hint="eastAsia"/>
          <w:color w:val="auto"/>
          <w:szCs w:val="24"/>
          <w:shd w:val="pct10" w:color="auto" w:fill="FFFFFF"/>
          <w:highlight w:val="none"/>
        </w:rPr>
        <w:t>需要</w:t>
      </w:r>
      <w:r>
        <w:rPr>
          <w:rFonts w:eastAsia="仿宋" w:cs="Times New Roman"/>
          <w:color w:val="auto"/>
          <w:szCs w:val="24"/>
          <w:shd w:val="pct10" w:color="auto" w:fill="FFFFFF"/>
          <w:highlight w:val="none"/>
        </w:rPr>
        <w:t>及时进行补灌以实现套筒灌浆施工过程中的质量控制。补灌时，补灌</w:t>
      </w:r>
      <w:r>
        <w:rPr>
          <w:rFonts w:eastAsia="仿宋" w:cs="Times New Roman" w:hint="eastAsia"/>
          <w:color w:val="auto"/>
          <w:szCs w:val="24"/>
          <w:shd w:val="pct10" w:color="auto" w:fill="FFFFFF"/>
          <w:lang w:val="en-US" w:eastAsia="zh-CN"/>
          <w:highlight w:val="none"/>
        </w:rPr>
        <w:t>可通过原灌浆不饱满套筒灌浆口进行</w:t>
      </w:r>
      <w:r>
        <w:rPr>
          <w:rFonts w:eastAsia="仿宋" w:cs="Times New Roman"/>
          <w:color w:val="auto"/>
          <w:szCs w:val="24"/>
          <w:shd w:val="pct10" w:color="auto" w:fill="FFFFFF"/>
          <w:highlight w:val="none"/>
        </w:rPr>
        <w:t>。补灌后</w:t>
      </w:r>
      <w:r>
        <w:rPr>
          <w:rFonts w:eastAsia="仿宋" w:cs="Times New Roman" w:hint="eastAsia"/>
          <w:color w:val="auto"/>
          <w:szCs w:val="24"/>
          <w:shd w:val="pct10" w:color="auto" w:fill="FFFFFF"/>
          <w:highlight w:val="none"/>
        </w:rPr>
        <w:t>需要</w:t>
      </w:r>
      <w:r>
        <w:rPr>
          <w:rFonts w:eastAsia="仿宋" w:cs="Times New Roman"/>
          <w:color w:val="auto"/>
          <w:szCs w:val="24"/>
          <w:shd w:val="pct10" w:color="auto" w:fill="FFFFFF"/>
          <w:highlight w:val="none"/>
        </w:rPr>
        <w:t>对灌浆饱满度进行复测，直至灌浆饱满。若检测时灌浆料已凝固，现场记录灌浆不饱满的套筒位置及相应预制墩柱构件编号，为后期其</w:t>
      </w:r>
      <w:r>
        <w:rPr>
          <w:rFonts w:eastAsia="仿宋" w:cs="Times New Roman" w:hint="eastAsia"/>
          <w:color w:val="auto"/>
          <w:szCs w:val="24"/>
          <w:shd w:val="pct10" w:color="auto" w:fill="FFFFFF"/>
          <w:highlight w:val="none"/>
        </w:rPr>
        <w:t>他</w:t>
      </w:r>
      <w:r>
        <w:rPr>
          <w:rFonts w:eastAsia="仿宋" w:cs="Times New Roman"/>
          <w:color w:val="auto"/>
          <w:szCs w:val="24"/>
          <w:shd w:val="pct10" w:color="auto" w:fill="FFFFFF"/>
          <w:highlight w:val="none"/>
        </w:rPr>
        <w:t>方法检测验证及补强提供位置信息。</w:t>
      </w:r>
      <w:r>
        <w:rPr>
          <w:rFonts w:cs="Times New Roman"/>
          <w:color w:val="auto"/>
          <w:highlight w:val="none"/>
        </w:rPr>
        <w:br w:type="page"/>
      </w:r>
    </w:p>
    <w:p>
      <w:pPr>
        <w:pStyle w:val="1"/>
        <w:ind w:rightChars="35" w:right="84" w:firstLineChars="0" w:firstLine="0"/>
        <w:rPr>
          <w:rFonts w:cs="Times New Roman"/>
          <w:color w:val="auto"/>
          <w:highlight w:val="none"/>
        </w:rPr>
      </w:pPr>
      <w:bookmarkStart w:id="265" w:name="_Toc351"/>
      <w:bookmarkStart w:id="266" w:name="_Toc14258"/>
      <w:bookmarkStart w:id="267" w:name="_Toc20382"/>
      <w:bookmarkStart w:id="268" w:name="_Toc10560"/>
      <w:bookmarkStart w:id="269" w:name="_Toc3150"/>
      <w:r>
        <w:rPr>
          <w:rFonts w:cs="Times New Roman"/>
          <w:color w:val="auto"/>
          <w:highlight w:val="none"/>
        </w:rPr>
        <w:t>9</w:t>
      </w:r>
      <w:r>
        <w:rPr>
          <w:rFonts w:cs="Times New Roman"/>
          <w:color w:val="auto"/>
          <w:lang w:val="el-GR"/>
          <w:highlight w:val="none"/>
        </w:rPr>
        <w:t>　</w:t>
      </w:r>
      <w:r>
        <w:rPr>
          <w:rFonts w:cs="Times New Roman"/>
          <w:color w:val="auto"/>
          <w:highlight w:val="none"/>
        </w:rPr>
        <w:t>压电法</w:t>
      </w:r>
      <w:bookmarkEnd w:id="242"/>
      <w:bookmarkEnd w:id="243"/>
      <w:bookmarkEnd w:id="265"/>
      <w:bookmarkEnd w:id="266"/>
      <w:bookmarkEnd w:id="267"/>
      <w:bookmarkEnd w:id="268"/>
      <w:bookmarkEnd w:id="269"/>
    </w:p>
    <w:p>
      <w:pPr>
        <w:pStyle w:val="2"/>
        <w:tabs>
          <w:tab w:val="left" w:pos="0"/>
        </w:tabs>
        <w:rPr>
          <w:rFonts w:ascii="Times New Roman" w:cs="Times New Roman" w:hAnsi="Times New Roman"/>
          <w:color w:val="auto"/>
          <w:highlight w:val="none"/>
        </w:rPr>
      </w:pPr>
      <w:bookmarkStart w:id="270" w:name="_Toc22653"/>
      <w:bookmarkStart w:id="271" w:name="_Toc21423"/>
      <w:bookmarkStart w:id="272" w:name="_Toc13552"/>
      <w:bookmarkStart w:id="273" w:name="_Toc14855"/>
      <w:bookmarkStart w:id="274" w:name="_Toc9894"/>
      <w:bookmarkStart w:id="275" w:name="_Toc29869"/>
      <w:bookmarkStart w:id="276" w:name="_Toc16383"/>
      <w:r>
        <w:rPr>
          <w:rFonts w:ascii="Times New Roman" w:cs="Times New Roman" w:hAnsi="Times New Roman"/>
          <w:color w:val="auto"/>
          <w:highlight w:val="none"/>
        </w:rPr>
        <w:t>9.1　一般规定</w:t>
      </w:r>
      <w:bookmarkEnd w:id="270"/>
      <w:bookmarkEnd w:id="271"/>
      <w:bookmarkEnd w:id="272"/>
      <w:bookmarkEnd w:id="273"/>
      <w:bookmarkEnd w:id="274"/>
      <w:bookmarkEnd w:id="275"/>
      <w:bookmarkEnd w:id="276"/>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9.1.1　</w:t>
      </w:r>
      <w:r>
        <w:rPr>
          <w:rFonts w:cs="Times New Roman"/>
          <w:color w:val="auto"/>
          <w:highlight w:val="none"/>
        </w:rPr>
        <w:t>压电法适用于灌浆过程中直至灌浆料初凝前的套筒灌浆饱满度检测。</w:t>
      </w:r>
    </w:p>
    <w:p>
      <w:pPr>
        <w:pStyle w:val="38"/>
        <w:ind w:firstLineChars="0" w:firstLine="0"/>
        <w:rPr>
          <w:rFonts w:eastAsia="仿宋" w:cs="Times New Roman"/>
          <w:color w:val="auto"/>
          <w:szCs w:val="24"/>
          <w:shd w:val="pct10" w:color="auto" w:fill="FFFFFF"/>
          <w:highlight w:val="none"/>
        </w:rPr>
      </w:pPr>
      <w:r>
        <w:rPr>
          <w:rFonts w:eastAsia="仿宋" w:cs="Times New Roman" w:hint="eastAsia"/>
          <w:b/>
          <w:bCs/>
          <w:color w:val="auto"/>
          <w:shd w:val="pct10" w:color="auto" w:fill="FFFFFF"/>
          <w:lang w:val="en-US" w:eastAsia="zh-CN"/>
          <w:highlight w:val="none"/>
        </w:rPr>
        <w:t>条文说明</w:t>
      </w:r>
      <w:r>
        <w:rPr>
          <w:rFonts w:eastAsia="仿宋" w:cs="Times New Roman"/>
          <w:b/>
          <w:bCs/>
          <w:color w:val="auto"/>
          <w:szCs w:val="24"/>
          <w:shd w:val="pct10" w:color="auto" w:fill="FFFFFF"/>
          <w:highlight w:val="none"/>
        </w:rPr>
        <w:t>9.1.1　</w:t>
      </w:r>
      <w:r>
        <w:rPr>
          <w:rFonts w:eastAsia="仿宋" w:cs="Times New Roman"/>
          <w:color w:val="auto"/>
          <w:szCs w:val="24"/>
          <w:shd w:val="pct10" w:color="auto" w:fill="FFFFFF"/>
          <w:highlight w:val="none"/>
        </w:rPr>
        <w:t>压电法的工作原理是通过专用设备向压电传感器输入一脉冲激励，获取压电传感器在接收脉冲激励后的振动频率和反馈压电信号。通过分析压电传感器测量电压值相对初始电压值的变化情况，判断套筒灌浆是否饱满。</w:t>
      </w:r>
    </w:p>
    <w:p>
      <w:pPr>
        <w:rPr>
          <w:color w:val="auto"/>
          <w:highlight w:val="none"/>
        </w:rPr>
      </w:pP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9.1.2　</w:t>
      </w:r>
      <w:r>
        <w:rPr>
          <w:rFonts w:cs="Times New Roman"/>
          <w:color w:val="auto"/>
          <w:highlight w:val="none"/>
        </w:rPr>
        <w:t>检测结果存在疑义时，可采用钻孔内窥镜法进行验证。</w:t>
      </w:r>
    </w:p>
    <w:p>
      <w:pPr>
        <w:pStyle w:val="2"/>
        <w:tabs>
          <w:tab w:val="left" w:pos="0"/>
        </w:tabs>
        <w:rPr>
          <w:rFonts w:ascii="Times New Roman" w:cs="Times New Roman" w:hAnsi="Times New Roman"/>
          <w:color w:val="auto"/>
          <w:highlight w:val="none"/>
        </w:rPr>
      </w:pPr>
      <w:bookmarkStart w:id="277" w:name="_Toc7307"/>
      <w:bookmarkStart w:id="278" w:name="_Toc3684"/>
      <w:bookmarkStart w:id="279" w:name="_Toc25341"/>
      <w:bookmarkStart w:id="280" w:name="_Toc623"/>
      <w:bookmarkStart w:id="281" w:name="_Toc32669"/>
      <w:bookmarkStart w:id="282" w:name="_Toc22956"/>
      <w:bookmarkStart w:id="283" w:name="_Toc15779"/>
      <w:r>
        <w:rPr>
          <w:rFonts w:ascii="Times New Roman" w:cs="Times New Roman" w:hAnsi="Times New Roman"/>
          <w:color w:val="auto"/>
          <w:highlight w:val="none"/>
        </w:rPr>
        <w:t>9.2　检测设备</w:t>
      </w:r>
      <w:bookmarkEnd w:id="277"/>
      <w:bookmarkEnd w:id="278"/>
      <w:bookmarkEnd w:id="279"/>
      <w:bookmarkEnd w:id="280"/>
      <w:bookmarkEnd w:id="281"/>
      <w:bookmarkEnd w:id="282"/>
      <w:bookmarkEnd w:id="283"/>
    </w:p>
    <w:p>
      <w:pPr>
        <w:pStyle w:val="3"/>
        <w:tabs>
          <w:tab w:val="left" w:pos="0"/>
          <w:tab w:val="left" w:pos="567"/>
          <w:tab w:val="left" w:pos="709"/>
          <w:tab w:val="left" w:pos="1560"/>
        </w:tabs>
        <w:rPr>
          <w:rFonts w:eastAsia="宋体" w:cs="Times New Roman"/>
          <w:color w:val="auto"/>
          <w:highlight w:val="none"/>
        </w:rPr>
      </w:pPr>
      <w:r>
        <w:rPr>
          <w:rFonts w:cs="Times New Roman"/>
          <w:b/>
          <w:color w:val="auto"/>
          <w:highlight w:val="none"/>
        </w:rPr>
        <w:t>9.2.1　</w:t>
      </w:r>
      <w:r>
        <w:rPr>
          <w:rFonts w:cs="Times New Roman"/>
          <w:color w:val="auto"/>
          <w:highlight w:val="none"/>
        </w:rPr>
        <w:t>压电法检测设备应包括灌浆饱满度</w:t>
      </w:r>
      <w:r>
        <w:rPr>
          <w:rFonts w:cs="Times New Roman" w:hint="eastAsia"/>
          <w:color w:val="auto"/>
          <w:lang w:val="en-US" w:eastAsia="zh-CN"/>
          <w:highlight w:val="none"/>
        </w:rPr>
        <w:t>压电检测</w:t>
      </w:r>
      <w:r>
        <w:rPr>
          <w:rFonts w:cs="Times New Roman"/>
          <w:color w:val="auto"/>
          <w:highlight w:val="none"/>
        </w:rPr>
        <w:t>仪、压电传感器、橡胶塞等（图9.2.1）。</w:t>
      </w:r>
    </w:p>
    <w:p>
      <w:pPr>
        <w:snapToGrid w:val="0"/>
        <w:spacing w:beforeLines="50" w:before="156" w:line="300" w:lineRule="auto"/>
        <w:ind w:firstLineChars="0" w:firstLine="0"/>
        <w:jc w:val="center"/>
        <w:rPr>
          <w:rStyle w:val="125"/>
          <w:rFonts w:cs="Times New Roman"/>
          <w:color w:val="auto"/>
          <w:sz w:val="24"/>
          <w:szCs w:val="24"/>
          <w:highlight w:val="none"/>
        </w:rPr>
      </w:pPr>
      <w:r>
        <w:rPr>
          <w:rStyle w:val="125"/>
          <w:rFonts w:cs="Times New Roman"/>
          <w:color w:val="auto"/>
          <w:sz w:val="24"/>
          <w:szCs w:val="24"/>
          <w:highlight w:val="none"/>
        </w:rPr>
        <w:drawing>
          <wp:inline distT="0" distB="0" distL="114300" distR="114300">
            <wp:extent cx="3599815" cy="1670050"/>
            <wp:effectExtent l="0" t="0" r="0" b="1"/>
            <wp:docPr id="688168614" name="图片 688168614" descr="49a47e5b121adc180e75a2ee6ce1292"/>
            <wp:cNvGraphicFramePr>
              <a:graphicFrameLocks noChangeAspect="1"/>
            </wp:cNvGraphicFramePr>
            <a:graphic>
              <a:graphicData uri="http://schemas.openxmlformats.org/drawingml/2006/picture">
                <pic:pic>
                  <pic:nvPicPr>
                    <pic:cNvPr id="84" name="图片 84"/>
                    <pic:cNvPicPr/>
                  </pic:nvPicPr>
                  <pic:blipFill>
                    <a:blip r:embed="rId68"/>
                    <a:stretch>
                      <a:fillRect/>
                    </a:stretch>
                  </pic:blipFill>
                  <pic:spPr>
                    <a:xfrm rot="0">
                      <a:off x="0" y="0"/>
                      <a:ext cx="3599815" cy="1670050"/>
                    </a:xfrm>
                    <a:prstGeom prst="rect"/>
                    <a:noFill/>
                    <a:ln w="9525" cmpd="sng" cap="flat">
                      <a:noFill/>
                      <a:prstDash val="solid"/>
                      <a:miter/>
                    </a:ln>
                  </pic:spPr>
                </pic:pic>
              </a:graphicData>
            </a:graphic>
          </wp:inline>
        </w:drawing>
      </w:r>
    </w:p>
    <w:p>
      <w:pPr>
        <w:ind w:firstLineChars="0" w:firstLine="0"/>
        <w:jc w:val="center"/>
        <w:rPr>
          <w:rFonts w:cs="Times New Roman"/>
          <w:color w:val="auto"/>
          <w:sz w:val="21"/>
          <w:szCs w:val="21"/>
          <w:highlight w:val="none"/>
        </w:rPr>
      </w:pPr>
      <w:r>
        <w:rPr>
          <w:rFonts w:cs="Times New Roman"/>
          <w:color w:val="auto"/>
          <w:sz w:val="21"/>
          <w:szCs w:val="21"/>
          <w:highlight w:val="none"/>
        </w:rPr>
        <w:t>1—压电传感器探头；2—线缆；3—橡胶塞；4—排气孔</w:t>
      </w:r>
    </w:p>
    <w:p>
      <w:pPr>
        <w:snapToGrid w:val="0"/>
        <w:spacing w:beforeLines="50" w:before="156" w:line="300" w:lineRule="auto"/>
        <w:ind w:firstLineChars="0" w:firstLine="0"/>
        <w:jc w:val="center"/>
        <w:rPr>
          <w:rStyle w:val="125"/>
          <w:rFonts w:cs="Times New Roman"/>
          <w:color w:val="auto"/>
          <w:highlight w:val="none"/>
        </w:rPr>
      </w:pPr>
      <w:r>
        <w:rPr>
          <w:rStyle w:val="125"/>
          <w:rFonts w:cs="Times New Roman"/>
          <w:color w:val="auto"/>
          <w:highlight w:val="none"/>
        </w:rPr>
        <w:t>图9.2.1　传感器示意图</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9.2.2　</w:t>
      </w:r>
      <w:r>
        <w:rPr>
          <w:rFonts w:cs="Times New Roman"/>
          <w:color w:val="auto"/>
          <w:highlight w:val="none"/>
        </w:rPr>
        <w:t>灌浆饱满度</w:t>
      </w:r>
      <w:r>
        <w:rPr>
          <w:rFonts w:cs="Times New Roman" w:hint="eastAsia"/>
          <w:color w:val="auto"/>
          <w:lang w:val="en-US" w:eastAsia="zh-CN"/>
          <w:highlight w:val="none"/>
        </w:rPr>
        <w:t>压电检测</w:t>
      </w:r>
      <w:r>
        <w:rPr>
          <w:rFonts w:cs="Times New Roman"/>
          <w:color w:val="auto"/>
          <w:highlight w:val="none"/>
        </w:rPr>
        <w:t>仪应采用内置电池供电。</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9.2.3　</w:t>
      </w:r>
      <w:r>
        <w:rPr>
          <w:rFonts w:cs="Times New Roman"/>
          <w:color w:val="auto"/>
          <w:highlight w:val="none"/>
        </w:rPr>
        <w:t>压电传感器应具有不粘浆液的特性，压电传感器线缆表面应包覆憎水性材料。</w:t>
      </w:r>
    </w:p>
    <w:p>
      <w:pPr>
        <w:pStyle w:val="3"/>
        <w:tabs>
          <w:tab w:val="left" w:pos="0"/>
          <w:tab w:val="left" w:pos="567"/>
          <w:tab w:val="left" w:pos="709"/>
          <w:tab w:val="left" w:pos="1560"/>
        </w:tabs>
        <w:rPr>
          <w:rFonts w:cs="Times New Roman"/>
          <w:b/>
          <w:color w:val="auto"/>
          <w:highlight w:val="none"/>
        </w:rPr>
      </w:pPr>
      <w:r>
        <w:rPr>
          <w:rFonts w:cs="Times New Roman"/>
          <w:b/>
          <w:color w:val="auto"/>
          <w:highlight w:val="none"/>
        </w:rPr>
        <w:t>9.2.4　</w:t>
      </w:r>
      <w:r>
        <w:rPr>
          <w:rFonts w:cs="Times New Roman"/>
          <w:color w:val="auto"/>
          <w:highlight w:val="none"/>
        </w:rPr>
        <w:t>压电传感器应与橡胶塞应集成设计，橡胶塞上线缆穿孔孔径应与线缆直径相同。</w:t>
      </w:r>
    </w:p>
    <w:p>
      <w:pPr>
        <w:pStyle w:val="2"/>
        <w:tabs>
          <w:tab w:val="left" w:pos="0"/>
        </w:tabs>
        <w:rPr>
          <w:rFonts w:ascii="Times New Roman" w:cs="Times New Roman" w:hAnsi="Times New Roman"/>
          <w:color w:val="auto"/>
          <w:highlight w:val="none"/>
        </w:rPr>
      </w:pPr>
      <w:bookmarkStart w:id="284" w:name="_Toc28747"/>
      <w:bookmarkStart w:id="285" w:name="_Toc28522"/>
      <w:bookmarkStart w:id="286" w:name="_Toc19559"/>
      <w:bookmarkStart w:id="287" w:name="_Toc30580"/>
      <w:bookmarkStart w:id="288" w:name="_Toc28822"/>
      <w:bookmarkStart w:id="289" w:name="_Toc27751"/>
      <w:bookmarkStart w:id="290" w:name="_Toc28542"/>
      <w:r>
        <w:rPr>
          <w:rFonts w:ascii="Times New Roman" w:cs="Times New Roman" w:hAnsi="Times New Roman"/>
          <w:color w:val="auto"/>
          <w:highlight w:val="none"/>
        </w:rPr>
        <w:t>9.3　检测</w:t>
      </w:r>
      <w:bookmarkEnd w:id="284"/>
      <w:bookmarkEnd w:id="285"/>
      <w:bookmarkEnd w:id="286"/>
      <w:bookmarkEnd w:id="287"/>
      <w:bookmarkEnd w:id="288"/>
      <w:bookmarkEnd w:id="289"/>
      <w:bookmarkEnd w:id="290"/>
    </w:p>
    <w:p>
      <w:pPr>
        <w:pStyle w:val="3"/>
        <w:tabs>
          <w:tab w:val="left" w:pos="0"/>
          <w:tab w:val="left" w:pos="567"/>
          <w:tab w:val="left" w:pos="709"/>
          <w:tab w:val="left" w:pos="1560"/>
        </w:tabs>
        <w:rPr>
          <w:rFonts w:cs="Times New Roman"/>
          <w:b/>
          <w:color w:val="auto"/>
          <w:highlight w:val="none"/>
        </w:rPr>
      </w:pPr>
      <w:r>
        <w:rPr>
          <w:rFonts w:cs="Times New Roman"/>
          <w:b/>
          <w:color w:val="auto"/>
          <w:highlight w:val="none"/>
        </w:rPr>
        <w:t>9.3.1</w:t>
      </w:r>
      <w:r>
        <w:rPr>
          <w:rFonts w:cs="Times New Roman"/>
          <w:color w:val="auto"/>
          <w:highlight w:val="none"/>
        </w:rPr>
        <w:t>　采用压电法检测套筒灌浆饱满度前应准备下列工作：</w:t>
      </w:r>
    </w:p>
    <w:p>
      <w:pPr>
        <w:rPr>
          <w:rFonts w:cs="Times New Roman"/>
          <w:color w:val="auto"/>
          <w:highlight w:val="none"/>
        </w:rPr>
      </w:pPr>
      <w:r>
        <w:rPr>
          <w:rFonts w:cs="Times New Roman"/>
          <w:b/>
          <w:bCs/>
          <w:color w:val="auto"/>
          <w:szCs w:val="32"/>
          <w:highlight w:val="none"/>
        </w:rPr>
        <w:t>1　</w:t>
      </w:r>
      <w:r>
        <w:rPr>
          <w:rFonts w:cs="Times New Roman"/>
          <w:color w:val="auto"/>
          <w:highlight w:val="none"/>
        </w:rPr>
        <w:t>检查设备的正常情况；</w:t>
      </w:r>
    </w:p>
    <w:p>
      <w:pPr>
        <w:rPr>
          <w:rFonts w:cs="Times New Roman"/>
          <w:color w:val="auto"/>
          <w:highlight w:val="none"/>
        </w:rPr>
      </w:pPr>
      <w:r>
        <w:rPr>
          <w:rFonts w:cs="Times New Roman"/>
          <w:b/>
          <w:bCs/>
          <w:color w:val="auto"/>
          <w:szCs w:val="32"/>
          <w:highlight w:val="none"/>
        </w:rPr>
        <w:t>2　</w:t>
      </w:r>
      <w:r>
        <w:rPr>
          <w:rFonts w:cs="Times New Roman"/>
          <w:color w:val="auto"/>
          <w:highlight w:val="none"/>
        </w:rPr>
        <w:t>记录工程名称、套筒所在构件编号、套筒具体位置、检测人员信息等，经检测后需补灌浆的结构构件部位应有补浆前后的检测结果。</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9.3.2　</w:t>
      </w:r>
      <w:r>
        <w:rPr>
          <w:rFonts w:cs="Times New Roman"/>
          <w:color w:val="auto"/>
          <w:highlight w:val="none"/>
        </w:rPr>
        <w:t>压电法检测套筒灌浆饱满度应符合下列规定：</w:t>
      </w:r>
    </w:p>
    <w:p>
      <w:pPr>
        <w:rPr>
          <w:rFonts w:cs="Times New Roman"/>
          <w:color w:val="auto"/>
          <w:highlight w:val="none"/>
        </w:rPr>
      </w:pPr>
      <w:r>
        <w:rPr>
          <w:rFonts w:cs="Times New Roman"/>
          <w:b/>
          <w:bCs/>
          <w:color w:val="auto"/>
          <w:szCs w:val="32"/>
          <w:highlight w:val="none"/>
        </w:rPr>
        <w:t>1　</w:t>
      </w:r>
      <w:r>
        <w:rPr>
          <w:rFonts w:cs="Times New Roman"/>
          <w:color w:val="auto"/>
          <w:highlight w:val="none"/>
        </w:rPr>
        <w:t>压电传感器</w:t>
      </w:r>
      <w:r>
        <w:rPr>
          <w:rFonts w:cs="Times New Roman" w:hint="eastAsia"/>
          <w:color w:val="auto"/>
          <w:highlight w:val="none"/>
        </w:rPr>
        <w:t>应</w:t>
      </w:r>
      <w:r>
        <w:rPr>
          <w:rFonts w:cs="Times New Roman"/>
          <w:color w:val="auto"/>
          <w:highlight w:val="none"/>
        </w:rPr>
        <w:t>设置于套筒的出浆口，调整连接线缆长度，传感器不应接触套筒内部钢筋；</w:t>
      </w:r>
    </w:p>
    <w:p>
      <w:pPr>
        <w:rPr>
          <w:rFonts w:cs="Times New Roman"/>
          <w:color w:val="auto"/>
          <w:highlight w:val="none"/>
        </w:rPr>
      </w:pPr>
      <w:r>
        <w:rPr>
          <w:rFonts w:cs="Times New Roman"/>
          <w:b/>
          <w:bCs/>
          <w:color w:val="auto"/>
          <w:szCs w:val="32"/>
          <w:highlight w:val="none"/>
        </w:rPr>
        <w:t>2　</w:t>
      </w:r>
      <w:r>
        <w:rPr>
          <w:rFonts w:cs="Times New Roman"/>
          <w:color w:val="auto"/>
          <w:highlight w:val="none"/>
        </w:rPr>
        <w:t>压电传感器就位时，自带橡胶塞的排气孔应位于正上方；橡胶塞应在出浆口紧固到位，出浆时不应被冲出；橡胶塞上的排气孔应保持畅通；</w:t>
      </w:r>
    </w:p>
    <w:p>
      <w:pPr>
        <w:rPr>
          <w:rFonts w:cs="Times New Roman"/>
          <w:color w:val="auto"/>
          <w:highlight w:val="none"/>
        </w:rPr>
      </w:pPr>
      <w:r>
        <w:rPr>
          <w:rFonts w:cs="Times New Roman"/>
          <w:b/>
          <w:bCs/>
          <w:color w:val="auto"/>
          <w:szCs w:val="32"/>
          <w:highlight w:val="none"/>
        </w:rPr>
        <w:t>3　</w:t>
      </w:r>
      <w:r>
        <w:rPr>
          <w:rFonts w:cs="Times New Roman"/>
          <w:color w:val="auto"/>
          <w:highlight w:val="none"/>
        </w:rPr>
        <w:t>灌浆前，应将灌浆饱满度</w:t>
      </w:r>
      <w:r>
        <w:rPr>
          <w:rFonts w:cs="Times New Roman" w:hint="eastAsia"/>
          <w:color w:val="auto"/>
          <w:lang w:val="en-US" w:eastAsia="zh-CN"/>
          <w:highlight w:val="none"/>
        </w:rPr>
        <w:t>压电检测</w:t>
      </w:r>
      <w:r>
        <w:rPr>
          <w:rFonts w:cs="Times New Roman"/>
          <w:color w:val="auto"/>
          <w:highlight w:val="none"/>
        </w:rPr>
        <w:t>仪与压电传感器相连，</w:t>
      </w:r>
      <w:r>
        <w:rPr>
          <w:rFonts w:cs="Times New Roman" w:hint="eastAsia"/>
          <w:color w:val="auto"/>
          <w:highlight w:val="none"/>
        </w:rPr>
        <w:t>用</w:t>
      </w:r>
      <w:r>
        <w:rPr>
          <w:rFonts w:cs="Times New Roman" w:hint="eastAsia"/>
          <w:color w:val="auto"/>
          <w:lang w:val="en-US" w:eastAsia="zh-CN"/>
          <w:highlight w:val="none"/>
        </w:rPr>
        <w:t>检测</w:t>
      </w:r>
      <w:r>
        <w:rPr>
          <w:rFonts w:cs="Times New Roman"/>
          <w:color w:val="auto"/>
          <w:highlight w:val="none"/>
        </w:rPr>
        <w:t>仪测量初始电压值；灌浆过程中，</w:t>
      </w:r>
      <w:r>
        <w:rPr>
          <w:rFonts w:cs="Times New Roman" w:hint="eastAsia"/>
          <w:color w:val="auto"/>
          <w:highlight w:val="none"/>
        </w:rPr>
        <w:t>应</w:t>
      </w:r>
      <w:r>
        <w:rPr>
          <w:rFonts w:cs="Times New Roman"/>
          <w:color w:val="auto"/>
          <w:highlight w:val="none"/>
        </w:rPr>
        <w:t>实时监测电压值并做记录。</w:t>
      </w:r>
    </w:p>
    <w:p>
      <w:pPr>
        <w:pStyle w:val="3"/>
        <w:tabs>
          <w:tab w:val="left" w:pos="0"/>
          <w:tab w:val="left" w:pos="567"/>
          <w:tab w:val="left" w:pos="709"/>
          <w:tab w:val="left" w:pos="1560"/>
        </w:tabs>
        <w:rPr>
          <w:rFonts w:cs="Times New Roman"/>
          <w:color w:val="auto"/>
          <w:highlight w:val="none"/>
        </w:rPr>
      </w:pPr>
      <w:bookmarkStart w:id="291" w:name="_Toc11794"/>
      <w:r>
        <w:rPr>
          <w:rFonts w:cs="Times New Roman"/>
          <w:b/>
          <w:color w:val="auto"/>
          <w:highlight w:val="none"/>
        </w:rPr>
        <w:t>9.3.3　</w:t>
      </w:r>
      <w:r>
        <w:rPr>
          <w:rFonts w:cs="Times New Roman"/>
          <w:color w:val="auto"/>
          <w:highlight w:val="none"/>
        </w:rPr>
        <w:t>灌浆套筒抽检数量不宜少于此连接部位套筒数量的40%，</w:t>
      </w:r>
      <w:r>
        <w:rPr>
          <w:rFonts w:cs="Times New Roman" w:hint="eastAsia"/>
          <w:color w:val="auto"/>
          <w:lang w:val="en-US" w:eastAsia="zh-CN"/>
          <w:highlight w:val="none"/>
        </w:rPr>
        <w:t>且</w:t>
      </w:r>
      <w:r>
        <w:rPr>
          <w:rFonts w:cs="Times New Roman"/>
          <w:color w:val="auto"/>
          <w:highlight w:val="none"/>
        </w:rPr>
        <w:t>抽样应具有代表性。</w:t>
      </w:r>
    </w:p>
    <w:p>
      <w:pPr>
        <w:pStyle w:val="38"/>
        <w:ind w:firstLineChars="0" w:firstLine="0"/>
        <w:rPr>
          <w:rFonts w:eastAsia="仿宋" w:cs="Times New Roman"/>
          <w:color w:val="auto"/>
          <w:szCs w:val="24"/>
          <w:shd w:val="pct10" w:color="auto" w:fill="FFFFFF"/>
          <w:highlight w:val="none"/>
        </w:rPr>
      </w:pPr>
      <w:r>
        <w:rPr>
          <w:rFonts w:eastAsia="仿宋" w:cs="Times New Roman" w:hint="eastAsia"/>
          <w:b/>
          <w:bCs/>
          <w:color w:val="auto"/>
          <w:shd w:val="pct10" w:color="auto" w:fill="FFFFFF"/>
          <w:lang w:val="en-US" w:eastAsia="zh-CN"/>
          <w:highlight w:val="none"/>
        </w:rPr>
        <w:t>条文说明</w:t>
      </w:r>
      <w:r>
        <w:rPr>
          <w:rFonts w:eastAsia="仿宋" w:cs="Times New Roman"/>
          <w:b/>
          <w:bCs/>
          <w:color w:val="auto"/>
          <w:szCs w:val="24"/>
          <w:shd w:val="pct10" w:color="auto" w:fill="FFFFFF"/>
          <w:highlight w:val="none"/>
        </w:rPr>
        <w:t>9.3.3　</w:t>
      </w:r>
      <w:r>
        <w:rPr>
          <w:rFonts w:eastAsia="仿宋" w:cs="Times New Roman"/>
          <w:color w:val="auto"/>
          <w:szCs w:val="24"/>
          <w:shd w:val="pct10" w:color="auto" w:fill="FFFFFF"/>
          <w:highlight w:val="none"/>
        </w:rPr>
        <w:t>压电法传感器对套筒内部灌浆料液面变化情况反应灵敏，满足套筒灌浆施工过程实时、快速检测要求。该方法检测费用为阻尼传感器法的1/2，在保证检测总费用不变的情况下，压电法抽检比例可提高到40%，从而能够进一步加强装配式桥梁套筒灌浆饱满度的施工质量控制。</w:t>
      </w:r>
    </w:p>
    <w:p>
      <w:pPr>
        <w:rPr>
          <w:color w:val="auto"/>
          <w:highlight w:val="none"/>
        </w:rPr>
      </w:pPr>
    </w:p>
    <w:p>
      <w:pPr>
        <w:pStyle w:val="3"/>
        <w:tabs>
          <w:tab w:val="left" w:pos="0"/>
          <w:tab w:val="left" w:pos="567"/>
          <w:tab w:val="left" w:pos="709"/>
          <w:tab w:val="left" w:pos="1560"/>
        </w:tabs>
        <w:rPr>
          <w:rFonts w:eastAsia="仿宋" w:cs="Times New Roman"/>
          <w:color w:val="auto"/>
          <w:shd w:val="pct10" w:color="auto" w:fill="FFFFFF"/>
          <w:highlight w:val="none"/>
        </w:rPr>
      </w:pPr>
      <w:r>
        <w:rPr>
          <w:rFonts w:cs="Times New Roman"/>
          <w:b/>
          <w:color w:val="auto"/>
          <w:highlight w:val="none"/>
        </w:rPr>
        <w:t>9.3.4　</w:t>
      </w:r>
      <w:r>
        <w:rPr>
          <w:rFonts w:cs="Times New Roman"/>
          <w:color w:val="auto"/>
          <w:highlight w:val="none"/>
        </w:rPr>
        <w:t>压电法的检测</w:t>
      </w:r>
      <w:r>
        <w:rPr>
          <w:rFonts w:cs="Times New Roman" w:hint="eastAsia"/>
          <w:color w:val="auto"/>
          <w:lang w:val="en-US" w:eastAsia="zh-CN"/>
          <w:highlight w:val="none"/>
        </w:rPr>
        <w:t>记录</w:t>
      </w:r>
      <w:r>
        <w:rPr>
          <w:rFonts w:cs="Times New Roman"/>
          <w:color w:val="auto"/>
          <w:highlight w:val="none"/>
        </w:rPr>
        <w:t>应按本标准附录F记录。</w:t>
      </w:r>
    </w:p>
    <w:p>
      <w:pPr>
        <w:pStyle w:val="2"/>
        <w:tabs>
          <w:tab w:val="left" w:pos="0"/>
        </w:tabs>
        <w:rPr>
          <w:rFonts w:ascii="Times New Roman" w:cs="Times New Roman" w:hAnsi="Times New Roman"/>
          <w:color w:val="auto"/>
          <w:highlight w:val="none"/>
        </w:rPr>
      </w:pPr>
      <w:bookmarkStart w:id="292" w:name="_Toc28859"/>
      <w:bookmarkStart w:id="293" w:name="_Toc25182"/>
      <w:bookmarkStart w:id="294" w:name="_Toc11052"/>
      <w:bookmarkStart w:id="295" w:name="_Toc13184"/>
      <w:bookmarkStart w:id="296" w:name="_Toc24190"/>
      <w:bookmarkStart w:id="297" w:name="_Toc15051"/>
      <w:r>
        <w:rPr>
          <w:rFonts w:ascii="Times New Roman" w:cs="Times New Roman" w:hAnsi="Times New Roman"/>
          <w:color w:val="auto"/>
          <w:highlight w:val="none"/>
        </w:rPr>
        <w:t>9.4　评定</w:t>
      </w:r>
      <w:bookmarkEnd w:id="291"/>
      <w:bookmarkEnd w:id="292"/>
      <w:bookmarkEnd w:id="293"/>
      <w:bookmarkEnd w:id="294"/>
      <w:bookmarkEnd w:id="295"/>
      <w:bookmarkEnd w:id="296"/>
      <w:bookmarkEnd w:id="297"/>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9.4.1　</w:t>
      </w:r>
      <w:r>
        <w:rPr>
          <w:rFonts w:cs="Times New Roman"/>
          <w:color w:val="auto"/>
          <w:highlight w:val="none"/>
        </w:rPr>
        <w:t>套筒灌浆饱满度应根据灌浆饱满度</w:t>
      </w:r>
      <w:r>
        <w:rPr>
          <w:rFonts w:cs="Times New Roman" w:hint="eastAsia"/>
          <w:color w:val="auto"/>
          <w:lang w:val="en-US" w:eastAsia="zh-CN"/>
          <w:highlight w:val="none"/>
        </w:rPr>
        <w:t>压电检测</w:t>
      </w:r>
      <w:r>
        <w:rPr>
          <w:rFonts w:cs="Times New Roman"/>
          <w:color w:val="auto"/>
          <w:highlight w:val="none"/>
        </w:rPr>
        <w:t>仪输出的电压值和监测时程曲线综合判断。</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9.4.2　</w:t>
      </w:r>
      <w:r>
        <w:rPr>
          <w:rFonts w:cs="Times New Roman"/>
          <w:color w:val="auto"/>
          <w:highlight w:val="none"/>
        </w:rPr>
        <w:t>套筒灌浆饱满度等级评定应</w:t>
      </w:r>
      <w:r>
        <w:rPr>
          <w:rFonts w:cs="Times New Roman" w:hint="eastAsia"/>
          <w:color w:val="auto"/>
          <w:highlight w:val="none"/>
        </w:rPr>
        <w:t>符合</w:t>
      </w:r>
      <w:r>
        <w:rPr>
          <w:rFonts w:cs="Times New Roman"/>
          <w:color w:val="auto"/>
          <w:highlight w:val="none"/>
        </w:rPr>
        <w:t>表9.4.2</w:t>
      </w:r>
      <w:r>
        <w:rPr>
          <w:rFonts w:cs="Times New Roman" w:hint="eastAsia"/>
          <w:color w:val="auto"/>
          <w:highlight w:val="none"/>
        </w:rPr>
        <w:t>的规定。</w:t>
      </w:r>
    </w:p>
    <w:p>
      <w:pPr>
        <w:snapToGrid w:val="0"/>
        <w:spacing w:beforeLines="50" w:before="156" w:line="300" w:lineRule="auto"/>
        <w:ind w:firstLineChars="0" w:firstLine="0"/>
        <w:jc w:val="center"/>
        <w:rPr>
          <w:rStyle w:val="125"/>
          <w:rFonts w:cs="Times New Roman"/>
          <w:color w:val="auto"/>
          <w:highlight w:val="none"/>
        </w:rPr>
      </w:pPr>
      <w:r>
        <w:rPr>
          <w:rStyle w:val="125"/>
          <w:rFonts w:cs="Times New Roman"/>
          <w:color w:val="auto"/>
          <w:highlight w:val="none"/>
        </w:rPr>
        <w:t>表9.4.2　套筒灌浆饱满度等级评定标准</w:t>
      </w:r>
    </w:p>
    <w:tbl>
      <w:tblPr>
        <w:jc w:val="left"/>
        <w:tblInd w:w="0" w:type="dxa"/>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600" w:firstRow="0" w:lastRow="0" w:firstColumn="0" w:lastColumn="0" w:noHBand="1" w:noVBand="1"/>
      </w:tblPr>
      <w:tblGrid>
        <w:gridCol w:w="3888"/>
        <w:gridCol w:w="2137"/>
        <w:gridCol w:w="3012"/>
      </w:tblGrid>
      <w:tr>
        <w:tc>
          <w:tcPr>
            <w:tcW w:w="2151" w:type="pct"/>
            <w:tcBorders>
              <w:top w:val="single" w:sz="12" w:space="0" w:color="auto"/>
              <w:left w:val="single" w:sz="12" w:space="0" w:color="auto"/>
              <w:bottom w:val="single" w:sz="4" w:space="0" w:color="auto"/>
              <w:right w:val="single" w:sz="4" w:space="0" w:color="auto"/>
            </w:tcBorders>
          </w:tcPr>
          <w:p>
            <w:pPr>
              <w:pStyle w:val="38"/>
              <w:spacing w:after="0"/>
              <w:ind w:firstLineChars="0" w:firstLine="0"/>
              <w:jc w:val="center"/>
              <w:rPr>
                <w:rFonts w:cs="Times New Roman"/>
                <w:b/>
                <w:bCs/>
                <w:color w:val="auto"/>
                <w:sz w:val="21"/>
                <w:szCs w:val="21"/>
                <w:highlight w:val="none"/>
              </w:rPr>
            </w:pPr>
            <w:r>
              <w:rPr>
                <w:rFonts w:cs="Times New Roman" w:hint="eastAsia"/>
                <w:b/>
                <w:bCs/>
                <w:color w:val="auto"/>
                <w:sz w:val="21"/>
                <w:szCs w:val="21"/>
                <w:lang w:val="en-US" w:eastAsia="zh-CN"/>
                <w:highlight w:val="none"/>
              </w:rPr>
              <w:t>灌浆后</w:t>
            </w:r>
            <w:r>
              <w:rPr>
                <w:rFonts w:cs="Times New Roman"/>
                <w:b/>
                <w:bCs/>
                <w:color w:val="auto"/>
                <w:sz w:val="21"/>
                <w:szCs w:val="21"/>
                <w:highlight w:val="none"/>
              </w:rPr>
              <w:t>测量电压与初始电压的比值</w:t>
            </w:r>
          </w:p>
        </w:tc>
        <w:tc>
          <w:tcPr>
            <w:tcW w:w="1182" w:type="pct"/>
            <w:tcBorders>
              <w:top w:val="single" w:sz="12" w:space="0" w:color="auto"/>
              <w:left w:val="single" w:sz="4" w:space="0" w:color="auto"/>
              <w:bottom w:val="single" w:sz="4" w:space="0" w:color="auto"/>
              <w:right w:val="single" w:sz="4" w:space="0" w:color="auto"/>
            </w:tcBorders>
          </w:tcPr>
          <w:p>
            <w:pPr>
              <w:pStyle w:val="38"/>
              <w:spacing w:after="0"/>
              <w:ind w:firstLineChars="0" w:firstLine="0"/>
              <w:jc w:val="center"/>
              <w:rPr>
                <w:rFonts w:cs="Times New Roman"/>
                <w:b/>
                <w:bCs/>
                <w:color w:val="auto"/>
                <w:sz w:val="21"/>
                <w:szCs w:val="21"/>
                <w:highlight w:val="none"/>
              </w:rPr>
            </w:pPr>
            <w:r>
              <w:rPr>
                <w:rFonts w:cs="Times New Roman"/>
                <w:b/>
                <w:bCs/>
                <w:color w:val="auto"/>
                <w:sz w:val="21"/>
                <w:szCs w:val="21"/>
                <w:highlight w:val="none"/>
              </w:rPr>
              <w:t>饱满度描述</w:t>
            </w:r>
          </w:p>
        </w:tc>
        <w:tc>
          <w:tcPr>
            <w:tcW w:w="1666" w:type="pct"/>
            <w:tcBorders>
              <w:top w:val="single" w:sz="12" w:space="0" w:color="auto"/>
              <w:left w:val="single" w:sz="4" w:space="0" w:color="auto"/>
              <w:bottom w:val="single" w:sz="4" w:space="0" w:color="auto"/>
              <w:right w:val="single" w:sz="12" w:space="0" w:color="auto"/>
            </w:tcBorders>
          </w:tcPr>
          <w:p>
            <w:pPr>
              <w:pStyle w:val="38"/>
              <w:spacing w:after="0"/>
              <w:ind w:firstLineChars="0" w:firstLine="0"/>
              <w:jc w:val="center"/>
              <w:rPr>
                <w:rFonts w:cs="Times New Roman"/>
                <w:b/>
                <w:bCs/>
                <w:color w:val="auto"/>
                <w:sz w:val="21"/>
                <w:szCs w:val="21"/>
                <w:highlight w:val="none"/>
              </w:rPr>
            </w:pPr>
            <w:r>
              <w:rPr>
                <w:rFonts w:cs="Times New Roman"/>
                <w:b/>
                <w:bCs/>
                <w:color w:val="auto"/>
                <w:sz w:val="21"/>
                <w:szCs w:val="21"/>
                <w:highlight w:val="none"/>
              </w:rPr>
              <w:t>评定等级</w:t>
            </w:r>
          </w:p>
        </w:tc>
      </w:tr>
      <w:tr>
        <w:tc>
          <w:tcPr>
            <w:tcW w:w="2151" w:type="pct"/>
            <w:tcBorders>
              <w:top w:val="single" w:sz="4" w:space="0" w:color="auto"/>
              <w:left w:val="single" w:sz="12" w:space="0" w:color="auto"/>
              <w:bottom w:val="single" w:sz="4" w:space="0" w:color="auto"/>
              <w:right w:val="single" w:sz="4" w:space="0" w:color="auto"/>
            </w:tcBorders>
          </w:tcPr>
          <w:p>
            <w:pPr>
              <w:pStyle w:val="38"/>
              <w:spacing w:after="0"/>
              <w:ind w:firstLineChars="0" w:firstLine="0"/>
              <w:jc w:val="center"/>
              <w:rPr>
                <w:rFonts w:cs="Times New Roman"/>
                <w:color w:val="auto"/>
                <w:sz w:val="21"/>
                <w:szCs w:val="21"/>
                <w:highlight w:val="none"/>
              </w:rPr>
            </w:pPr>
            <w:r>
              <w:rPr>
                <w:rFonts w:cs="Times New Roman"/>
                <w:color w:val="auto"/>
                <w:sz w:val="21"/>
                <w:szCs w:val="21"/>
                <w:highlight w:val="none"/>
              </w:rPr>
              <w:t>＜0.4</w:t>
            </w:r>
          </w:p>
        </w:tc>
        <w:tc>
          <w:tcPr>
            <w:tcW w:w="1182" w:type="pct"/>
            <w:tcBorders>
              <w:top w:val="single" w:sz="4" w:space="0" w:color="auto"/>
              <w:left w:val="single" w:sz="4" w:space="0" w:color="auto"/>
              <w:bottom w:val="single" w:sz="4" w:space="0" w:color="auto"/>
              <w:right w:val="single" w:sz="4" w:space="0" w:color="auto"/>
            </w:tcBorders>
          </w:tcPr>
          <w:p>
            <w:pPr>
              <w:pStyle w:val="38"/>
              <w:spacing w:after="0"/>
              <w:ind w:firstLineChars="0" w:firstLine="0"/>
              <w:jc w:val="center"/>
              <w:rPr>
                <w:rFonts w:cs="Times New Roman"/>
                <w:color w:val="auto"/>
                <w:sz w:val="21"/>
                <w:szCs w:val="21"/>
                <w:highlight w:val="none"/>
              </w:rPr>
            </w:pPr>
            <w:r>
              <w:rPr>
                <w:rFonts w:cs="Times New Roman"/>
                <w:color w:val="auto"/>
                <w:sz w:val="21"/>
                <w:szCs w:val="21"/>
                <w:highlight w:val="none"/>
              </w:rPr>
              <w:t>灌浆饱满</w:t>
            </w:r>
          </w:p>
        </w:tc>
        <w:tc>
          <w:tcPr>
            <w:tcW w:w="1666" w:type="pct"/>
            <w:tcBorders>
              <w:top w:val="single" w:sz="4" w:space="0" w:color="auto"/>
              <w:left w:val="single" w:sz="4" w:space="0" w:color="auto"/>
              <w:bottom w:val="single" w:sz="4" w:space="0" w:color="auto"/>
              <w:right w:val="single" w:sz="12" w:space="0" w:color="auto"/>
            </w:tcBorders>
          </w:tcPr>
          <w:p>
            <w:pPr>
              <w:pStyle w:val="38"/>
              <w:spacing w:after="0"/>
              <w:ind w:firstLineChars="0" w:firstLine="0"/>
              <w:jc w:val="center"/>
              <w:rPr>
                <w:rFonts w:cs="Times New Roman"/>
                <w:color w:val="auto"/>
                <w:sz w:val="21"/>
                <w:szCs w:val="21"/>
                <w:highlight w:val="none"/>
              </w:rPr>
            </w:pPr>
            <w:r>
              <w:rPr>
                <w:rFonts w:cs="Times New Roman"/>
                <w:color w:val="auto"/>
                <w:sz w:val="21"/>
                <w:szCs w:val="21"/>
                <w:highlight w:val="none"/>
              </w:rPr>
              <w:t>I类</w:t>
            </w:r>
          </w:p>
        </w:tc>
      </w:tr>
      <w:tr>
        <w:tc>
          <w:tcPr>
            <w:tcW w:w="2151" w:type="pct"/>
            <w:tcBorders>
              <w:top w:val="single" w:sz="4" w:space="0" w:color="auto"/>
              <w:left w:val="single" w:sz="12" w:space="0" w:color="auto"/>
              <w:bottom w:val="single" w:sz="12" w:space="0" w:color="auto"/>
              <w:right w:val="single" w:sz="4" w:space="0" w:color="auto"/>
            </w:tcBorders>
          </w:tcPr>
          <w:p>
            <w:pPr>
              <w:pStyle w:val="38"/>
              <w:spacing w:after="0"/>
              <w:ind w:firstLineChars="0" w:firstLine="0"/>
              <w:jc w:val="center"/>
              <w:rPr>
                <w:rFonts w:cs="Times New Roman"/>
                <w:color w:val="auto"/>
                <w:sz w:val="21"/>
                <w:szCs w:val="21"/>
                <w:highlight w:val="none"/>
              </w:rPr>
            </w:pPr>
            <w:r>
              <w:rPr>
                <w:rFonts w:cs="Times New Roman"/>
                <w:color w:val="auto"/>
                <w:sz w:val="21"/>
                <w:szCs w:val="21"/>
                <w:highlight w:val="none"/>
              </w:rPr>
              <w:t>≥0.4</w:t>
            </w:r>
          </w:p>
        </w:tc>
        <w:tc>
          <w:tcPr>
            <w:tcW w:w="1182" w:type="pct"/>
            <w:tcBorders>
              <w:top w:val="single" w:sz="4" w:space="0" w:color="auto"/>
              <w:left w:val="single" w:sz="4" w:space="0" w:color="auto"/>
              <w:bottom w:val="single" w:sz="12" w:space="0" w:color="auto"/>
              <w:right w:val="single" w:sz="4" w:space="0" w:color="auto"/>
            </w:tcBorders>
          </w:tcPr>
          <w:p>
            <w:pPr>
              <w:pStyle w:val="38"/>
              <w:spacing w:after="0"/>
              <w:ind w:firstLineChars="0" w:firstLine="0"/>
              <w:jc w:val="center"/>
              <w:rPr>
                <w:rFonts w:cs="Times New Roman"/>
                <w:color w:val="auto"/>
                <w:sz w:val="21"/>
                <w:szCs w:val="21"/>
                <w:highlight w:val="none"/>
              </w:rPr>
            </w:pPr>
            <w:r>
              <w:rPr>
                <w:rFonts w:cs="Times New Roman"/>
                <w:color w:val="auto"/>
                <w:sz w:val="21"/>
                <w:szCs w:val="21"/>
                <w:highlight w:val="none"/>
              </w:rPr>
              <w:t>灌浆不饱满</w:t>
            </w:r>
          </w:p>
        </w:tc>
        <w:tc>
          <w:tcPr>
            <w:tcW w:w="1666" w:type="pct"/>
            <w:tcBorders>
              <w:top w:val="single" w:sz="4" w:space="0" w:color="auto"/>
              <w:left w:val="single" w:sz="4" w:space="0" w:color="auto"/>
              <w:bottom w:val="single" w:sz="12" w:space="0" w:color="auto"/>
              <w:right w:val="single" w:sz="12" w:space="0" w:color="auto"/>
            </w:tcBorders>
          </w:tcPr>
          <w:p>
            <w:pPr>
              <w:pStyle w:val="38"/>
              <w:spacing w:after="0"/>
              <w:ind w:firstLineChars="0" w:firstLine="0"/>
              <w:jc w:val="center"/>
              <w:rPr>
                <w:rFonts w:cs="Times New Roman"/>
                <w:color w:val="auto"/>
                <w:sz w:val="21"/>
                <w:szCs w:val="21"/>
                <w:highlight w:val="none"/>
              </w:rPr>
            </w:pPr>
            <w:r>
              <w:rPr>
                <w:rFonts w:cs="Times New Roman"/>
                <w:color w:val="auto"/>
                <w:sz w:val="21"/>
                <w:szCs w:val="21"/>
                <w:highlight w:val="none"/>
              </w:rPr>
              <w:t>II类</w:t>
            </w:r>
          </w:p>
        </w:tc>
      </w:tr>
    </w:tbl>
    <w:p>
      <w:pPr>
        <w:pStyle w:val="38"/>
        <w:ind w:firstLineChars="0" w:firstLine="0"/>
        <w:rPr>
          <w:rFonts w:cs="Times New Roman"/>
          <w:color w:val="auto"/>
          <w:highlight w:val="none"/>
        </w:rPr>
      </w:pPr>
      <w:r>
        <w:rPr>
          <w:rFonts w:eastAsia="仿宋" w:cs="Times New Roman" w:hint="eastAsia"/>
          <w:b/>
          <w:bCs/>
          <w:color w:val="auto"/>
          <w:shd w:val="pct10" w:color="auto" w:fill="FFFFFF"/>
          <w:lang w:val="en-US" w:eastAsia="zh-CN"/>
          <w:highlight w:val="none"/>
        </w:rPr>
        <w:t>条文说明</w:t>
      </w:r>
      <w:r>
        <w:rPr>
          <w:rFonts w:eastAsia="仿宋" w:cs="Times New Roman"/>
          <w:b/>
          <w:bCs/>
          <w:color w:val="auto"/>
          <w:szCs w:val="24"/>
          <w:shd w:val="pct10" w:color="auto" w:fill="FFFFFF"/>
          <w:highlight w:val="none"/>
        </w:rPr>
        <w:t>9.4.2　</w:t>
      </w:r>
      <w:r>
        <w:rPr>
          <w:rFonts w:eastAsia="仿宋" w:cs="Times New Roman"/>
          <w:color w:val="auto"/>
          <w:szCs w:val="24"/>
          <w:shd w:val="pct10" w:color="auto" w:fill="FFFFFF"/>
          <w:highlight w:val="none"/>
        </w:rPr>
        <w:t>现场检测时，灌浆前需在套筒出浆口预埋压电传感器，预先测量并记录初始电压值，灌浆过程中通过测量压电传感器电压值对灌浆饱满度进行实时监测。大量套筒灌浆模型试验与现场测试结果表明，灌浆前传感器测量电压值相对稳定，当套筒灌浆完成后，测量电压将明显下降。若出现灌浆料液面回落（漏浆）的情况，测试电压再次增大且通常超过初始电压的0.4倍。因此，将灌浆后测得电压与灌浆前初始电压的比值取0.4作为判断套筒灌浆是否饱满的阈值。</w:t>
      </w:r>
    </w:p>
    <w:p>
      <w:pPr>
        <w:pStyle w:val="3"/>
        <w:tabs>
          <w:tab w:val="left" w:pos="0"/>
          <w:tab w:val="left" w:pos="567"/>
          <w:tab w:val="left" w:pos="709"/>
          <w:tab w:val="left" w:pos="1560"/>
        </w:tabs>
        <w:rPr>
          <w:rFonts w:cs="Times New Roman"/>
          <w:color w:val="auto"/>
          <w:highlight w:val="none"/>
        </w:rPr>
      </w:pPr>
      <w:r>
        <w:rPr>
          <w:rFonts w:cs="Times New Roman" w:hint="eastAsia"/>
          <w:b/>
          <w:color w:val="auto"/>
          <w:highlight w:val="none"/>
        </w:rPr>
        <w:t>9</w:t>
      </w:r>
      <w:r>
        <w:rPr>
          <w:rFonts w:cs="Times New Roman"/>
          <w:b/>
          <w:color w:val="auto"/>
          <w:highlight w:val="none"/>
        </w:rPr>
        <w:t>.4.</w:t>
      </w:r>
      <w:r>
        <w:rPr>
          <w:rFonts w:cs="Times New Roman" w:hint="eastAsia"/>
          <w:b/>
          <w:color w:val="auto"/>
          <w:highlight w:val="none"/>
        </w:rPr>
        <w:t>3</w:t>
      </w:r>
      <w:r>
        <w:rPr>
          <w:rFonts w:cs="Times New Roman"/>
          <w:b/>
          <w:color w:val="auto"/>
          <w:highlight w:val="none"/>
        </w:rPr>
        <w:t>　</w:t>
      </w:r>
      <w:r>
        <w:rPr>
          <w:rFonts w:cs="Times New Roman"/>
          <w:color w:val="auto"/>
          <w:highlight w:val="none"/>
        </w:rPr>
        <w:t>灌浆饱满度不合格时，应二次补浆。补灌后应对原灌浆不饱满套筒的灌浆饱满度进行复测，直至灌浆饱满</w:t>
      </w:r>
      <w:r>
        <w:rPr>
          <w:rFonts w:cs="Times New Roman" w:hint="eastAsia"/>
          <w:color w:val="auto"/>
          <w:highlight w:val="none"/>
        </w:rPr>
        <w:t>。应</w:t>
      </w:r>
      <w:r>
        <w:rPr>
          <w:rFonts w:cs="Times New Roman"/>
          <w:color w:val="auto"/>
          <w:highlight w:val="none"/>
        </w:rPr>
        <w:t>在记录表备注栏中做复测记录。</w:t>
      </w:r>
    </w:p>
    <w:p>
      <w:pPr>
        <w:pStyle w:val="38"/>
        <w:spacing w:after="120"/>
        <w:ind w:firstLineChars="0" w:firstLine="0"/>
        <w:rPr>
          <w:rFonts w:eastAsia="仿宋" w:cs="Times New Roman"/>
          <w:color w:val="auto"/>
          <w:szCs w:val="24"/>
          <w:shd w:val="pct10" w:color="auto" w:fill="FFFFFF"/>
          <w:highlight w:val="none"/>
        </w:rPr>
      </w:pPr>
      <w:r>
        <w:rPr>
          <w:rFonts w:eastAsia="仿宋" w:cs="Times New Roman" w:hint="eastAsia"/>
          <w:b/>
          <w:bCs/>
          <w:color w:val="auto"/>
          <w:shd w:val="pct10" w:color="auto" w:fill="FFFFFF"/>
          <w:lang w:val="en-US" w:eastAsia="zh-CN"/>
          <w:highlight w:val="none"/>
        </w:rPr>
        <w:t>条文说明</w:t>
      </w:r>
      <w:r>
        <w:rPr>
          <w:rFonts w:eastAsia="仿宋" w:cs="Times New Roman"/>
          <w:b/>
          <w:bCs/>
          <w:color w:val="auto"/>
          <w:szCs w:val="24"/>
          <w:shd w:val="pct10" w:color="auto" w:fill="FFFFFF"/>
          <w:highlight w:val="none"/>
        </w:rPr>
        <w:t>9.4.</w:t>
      </w:r>
      <w:r>
        <w:rPr>
          <w:rFonts w:eastAsia="仿宋" w:cs="Times New Roman" w:hint="eastAsia"/>
          <w:b/>
          <w:bCs/>
          <w:color w:val="auto"/>
          <w:szCs w:val="24"/>
          <w:shd w:val="pct10" w:color="auto" w:fill="FFFFFF"/>
          <w:lang w:val="en-US" w:eastAsia="zh-CN"/>
          <w:highlight w:val="none"/>
        </w:rPr>
        <w:t>3</w:t>
      </w:r>
      <w:r>
        <w:rPr>
          <w:rFonts w:eastAsia="仿宋" w:cs="Times New Roman"/>
          <w:b/>
          <w:bCs/>
          <w:color w:val="auto"/>
          <w:szCs w:val="24"/>
          <w:shd w:val="pct10" w:color="auto" w:fill="FFFFFF"/>
          <w:highlight w:val="none"/>
        </w:rPr>
        <w:t>　</w:t>
      </w:r>
      <w:r>
        <w:rPr>
          <w:rFonts w:eastAsia="仿宋" w:cs="Times New Roman"/>
          <w:color w:val="auto"/>
          <w:szCs w:val="24"/>
          <w:shd w:val="pct10" w:color="auto" w:fill="FFFFFF"/>
          <w:highlight w:val="none"/>
        </w:rPr>
        <w:t>对于</w:t>
      </w:r>
      <w:r>
        <w:rPr>
          <w:rFonts w:ascii="Times New Roman" w:eastAsia="仿宋" w:cs="Times New Roman" w:hAnsi="Times New Roman"/>
          <w:color w:val="auto"/>
          <w:szCs w:val="24"/>
          <w:shd w:val="pct10" w:color="auto" w:fill="FFFFFF"/>
          <w:highlight w:val="none"/>
        </w:rPr>
        <w:t>评定</w:t>
      </w:r>
      <w:r>
        <w:rPr>
          <w:rFonts w:eastAsia="仿宋" w:cs="Times New Roman"/>
          <w:color w:val="auto"/>
          <w:szCs w:val="24"/>
          <w:shd w:val="pct10" w:color="auto" w:fill="FFFFFF"/>
          <w:highlight w:val="none"/>
        </w:rPr>
        <w:t>为灌浆不饱满的套筒，</w:t>
      </w:r>
      <w:r>
        <w:rPr>
          <w:rFonts w:eastAsia="仿宋" w:cs="Times New Roman" w:hint="eastAsia"/>
          <w:color w:val="auto"/>
          <w:szCs w:val="24"/>
          <w:shd w:val="pct10" w:color="auto" w:fill="FFFFFF"/>
          <w:highlight w:val="none"/>
        </w:rPr>
        <w:t>需要</w:t>
      </w:r>
      <w:r>
        <w:rPr>
          <w:rFonts w:eastAsia="仿宋" w:cs="Times New Roman"/>
          <w:color w:val="auto"/>
          <w:szCs w:val="24"/>
          <w:shd w:val="pct10" w:color="auto" w:fill="FFFFFF"/>
          <w:highlight w:val="none"/>
        </w:rPr>
        <w:t>及时进行补灌以实现套筒灌浆施工过程中的质量控制。补灌时，补灌</w:t>
      </w:r>
      <w:r>
        <w:rPr>
          <w:rFonts w:eastAsia="仿宋" w:cs="Times New Roman" w:hint="eastAsia"/>
          <w:color w:val="auto"/>
          <w:szCs w:val="24"/>
          <w:shd w:val="pct10" w:color="auto" w:fill="FFFFFF"/>
          <w:lang w:val="en-US" w:eastAsia="zh-CN"/>
          <w:highlight w:val="none"/>
        </w:rPr>
        <w:t>可通过原灌浆不饱满套筒灌浆口进行</w:t>
      </w:r>
      <w:r>
        <w:rPr>
          <w:rFonts w:eastAsia="仿宋" w:cs="Times New Roman"/>
          <w:color w:val="auto"/>
          <w:szCs w:val="24"/>
          <w:shd w:val="pct10" w:color="auto" w:fill="FFFFFF"/>
          <w:highlight w:val="none"/>
        </w:rPr>
        <w:t>。补灌后</w:t>
      </w:r>
      <w:r>
        <w:rPr>
          <w:rFonts w:eastAsia="仿宋" w:cs="Times New Roman" w:hint="eastAsia"/>
          <w:color w:val="auto"/>
          <w:szCs w:val="24"/>
          <w:shd w:val="pct10" w:color="auto" w:fill="FFFFFF"/>
          <w:highlight w:val="none"/>
        </w:rPr>
        <w:t>需要</w:t>
      </w:r>
      <w:r>
        <w:rPr>
          <w:rFonts w:eastAsia="仿宋" w:cs="Times New Roman"/>
          <w:color w:val="auto"/>
          <w:szCs w:val="24"/>
          <w:shd w:val="pct10" w:color="auto" w:fill="FFFFFF"/>
          <w:highlight w:val="none"/>
        </w:rPr>
        <w:t>对灌浆饱满度进行复测，直至灌浆饱满。若检测时灌浆料已凝固，现场</w:t>
      </w:r>
      <w:r>
        <w:rPr>
          <w:rFonts w:eastAsia="仿宋" w:cs="Times New Roman" w:hint="eastAsia"/>
          <w:color w:val="auto"/>
          <w:szCs w:val="24"/>
          <w:shd w:val="pct10" w:color="auto" w:fill="FFFFFF"/>
          <w:lang w:val="en-US" w:eastAsia="zh-CN"/>
          <w:highlight w:val="none"/>
        </w:rPr>
        <w:t>需要</w:t>
      </w:r>
      <w:r>
        <w:rPr>
          <w:rFonts w:eastAsia="仿宋" w:cs="Times New Roman"/>
          <w:color w:val="auto"/>
          <w:szCs w:val="24"/>
          <w:shd w:val="pct10" w:color="auto" w:fill="FFFFFF"/>
          <w:highlight w:val="none"/>
        </w:rPr>
        <w:t>记录灌浆不饱满的套筒位置及相应预制墩柱构件编号，为后期其</w:t>
      </w:r>
      <w:r>
        <w:rPr>
          <w:rFonts w:eastAsia="仿宋" w:cs="Times New Roman" w:hint="eastAsia"/>
          <w:color w:val="auto"/>
          <w:szCs w:val="24"/>
          <w:shd w:val="pct10" w:color="auto" w:fill="FFFFFF"/>
          <w:highlight w:val="none"/>
        </w:rPr>
        <w:t>他</w:t>
      </w:r>
      <w:r>
        <w:rPr>
          <w:rFonts w:eastAsia="仿宋" w:cs="Times New Roman"/>
          <w:color w:val="auto"/>
          <w:szCs w:val="24"/>
          <w:shd w:val="pct10" w:color="auto" w:fill="FFFFFF"/>
          <w:highlight w:val="none"/>
        </w:rPr>
        <w:t>方法检测验证及补强提供位置信息。</w:t>
      </w:r>
    </w:p>
    <w:p>
      <w:pPr>
        <w:rPr>
          <w:color w:val="auto"/>
          <w:highlight w:val="none"/>
        </w:rPr>
      </w:pPr>
    </w:p>
    <w:p>
      <w:pPr>
        <w:spacing w:after="120"/>
        <w:rPr>
          <w:rFonts w:eastAsia="仿宋" w:cs="Times New Roman"/>
          <w:color w:val="auto"/>
          <w:szCs w:val="24"/>
          <w:shd w:val="pct10" w:color="auto" w:fill="FFFFFF"/>
          <w:highlight w:val="none"/>
        </w:rPr>
      </w:pPr>
    </w:p>
    <w:p>
      <w:pPr>
        <w:widowControl/>
        <w:spacing w:line="240" w:lineRule="auto"/>
        <w:ind w:firstLineChars="0" w:firstLine="0"/>
        <w:jc w:val="left"/>
        <w:textAlignment w:val="auto"/>
        <w:rPr>
          <w:rFonts w:cs="Times New Roman"/>
          <w:color w:val="auto"/>
          <w:szCs w:val="24"/>
          <w:highlight w:val="none"/>
        </w:rPr>
      </w:pPr>
      <w:bookmarkStart w:id="298" w:name="_Toc20796"/>
      <w:bookmarkStart w:id="299" w:name="_Toc5404"/>
      <w:r>
        <w:rPr>
          <w:rFonts w:cs="Times New Roman"/>
          <w:b/>
          <w:bCs/>
          <w:color w:val="auto"/>
          <w:szCs w:val="24"/>
          <w:highlight w:val="none"/>
        </w:rPr>
        <w:br w:type="page"/>
      </w:r>
    </w:p>
    <w:p>
      <w:pPr>
        <w:pStyle w:val="1"/>
        <w:rPr>
          <w:rFonts w:cs="Times New Roman"/>
          <w:color w:val="auto"/>
          <w:highlight w:val="none"/>
        </w:rPr>
      </w:pPr>
      <w:bookmarkStart w:id="300" w:name="_Toc9086"/>
      <w:bookmarkStart w:id="301" w:name="_Toc21182"/>
      <w:r>
        <w:rPr>
          <w:rFonts w:cs="Times New Roman"/>
          <w:color w:val="auto"/>
          <w:highlight w:val="none"/>
        </w:rPr>
        <w:t>10　压力传感器法</w:t>
      </w:r>
      <w:bookmarkEnd w:id="298"/>
      <w:bookmarkEnd w:id="299"/>
      <w:bookmarkEnd w:id="300"/>
      <w:bookmarkEnd w:id="301"/>
    </w:p>
    <w:p>
      <w:pPr>
        <w:pStyle w:val="2"/>
        <w:tabs>
          <w:tab w:val="left" w:pos="0"/>
        </w:tabs>
        <w:rPr>
          <w:rFonts w:ascii="Times New Roman" w:cs="Times New Roman" w:hAnsi="Times New Roman"/>
          <w:color w:val="auto"/>
          <w:highlight w:val="none"/>
        </w:rPr>
      </w:pPr>
      <w:bookmarkStart w:id="302" w:name="_Toc2457"/>
      <w:bookmarkStart w:id="303" w:name="_Toc7619"/>
      <w:bookmarkStart w:id="304" w:name="_Toc32444"/>
      <w:bookmarkStart w:id="305" w:name="_Toc12065"/>
      <w:bookmarkStart w:id="306" w:name="_Toc2050"/>
      <w:bookmarkEnd w:id="244"/>
      <w:r>
        <w:rPr>
          <w:rFonts w:ascii="Times New Roman" w:cs="Times New Roman" w:hAnsi="Times New Roman"/>
          <w:color w:val="auto"/>
          <w:highlight w:val="none"/>
        </w:rPr>
        <w:t>10.1　一般规定</w:t>
      </w:r>
      <w:bookmarkEnd w:id="302"/>
      <w:bookmarkEnd w:id="303"/>
      <w:bookmarkEnd w:id="304"/>
      <w:bookmarkEnd w:id="305"/>
      <w:bookmarkEnd w:id="306"/>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10.1.1　</w:t>
      </w:r>
      <w:r>
        <w:rPr>
          <w:rFonts w:cs="Times New Roman"/>
          <w:color w:val="auto"/>
          <w:highlight w:val="none"/>
        </w:rPr>
        <w:t>压力传感器法适用于灌浆过程中直至灌浆料初凝前的</w:t>
      </w:r>
      <w:r>
        <w:rPr>
          <w:rFonts w:cs="Times New Roman" w:hint="eastAsia"/>
          <w:color w:val="auto"/>
          <w:lang w:val="en-US" w:eastAsia="zh-CN"/>
          <w:highlight w:val="none"/>
        </w:rPr>
        <w:t>金属波纹管和套筒</w:t>
      </w:r>
      <w:r>
        <w:rPr>
          <w:rFonts w:cs="Times New Roman"/>
          <w:color w:val="auto"/>
          <w:highlight w:val="none"/>
        </w:rPr>
        <w:t>灌浆饱满度检测。</w:t>
      </w:r>
    </w:p>
    <w:p>
      <w:pPr>
        <w:ind w:firstLineChars="0" w:firstLine="0"/>
        <w:rPr>
          <w:rFonts w:eastAsia="仿宋" w:cs="Times New Roman"/>
          <w:color w:val="auto"/>
          <w:lang w:val="en-US" w:eastAsia="zh-CN"/>
          <w:highlight w:val="none"/>
        </w:rPr>
      </w:pPr>
      <w:r>
        <w:rPr>
          <w:rFonts w:eastAsia="仿宋" w:cs="Times New Roman" w:hint="eastAsia"/>
          <w:b/>
          <w:bCs/>
          <w:color w:val="auto"/>
          <w:shd w:val="pct10" w:color="auto" w:fill="FFFFFF"/>
          <w:lang w:val="en-US" w:eastAsia="zh-CN"/>
          <w:highlight w:val="none"/>
        </w:rPr>
        <w:t>条文说明</w:t>
      </w:r>
      <w:r>
        <w:rPr>
          <w:rFonts w:eastAsia="仿宋" w:cs="Times New Roman"/>
          <w:b/>
          <w:bCs/>
          <w:color w:val="auto"/>
          <w:szCs w:val="24"/>
          <w:shd w:val="clear" w:color="FFFFFF" w:fill="D9D9D9"/>
          <w:highlight w:val="none"/>
        </w:rPr>
        <w:t>10.1.1　</w:t>
      </w:r>
      <w:r>
        <w:rPr>
          <w:rFonts w:eastAsia="仿宋" w:cs="Times New Roman"/>
          <w:color w:val="auto"/>
          <w:szCs w:val="24"/>
          <w:shd w:val="clear" w:color="FFFFFF" w:fill="D9D9D9"/>
          <w:highlight w:val="none"/>
        </w:rPr>
        <w:t>压力传感器法的原理，利用预先放置在灌浆套筒内的传感器，随着套筒内灌浆料的液面上升，压力传感器监测到的压力变化，依据压力-时间曲线，可判定内部灌浆的饱满度。压力传感器法的</w:t>
      </w:r>
      <w:r>
        <w:rPr>
          <w:rFonts w:eastAsia="仿宋" w:cs="Times New Roman" w:hint="eastAsia"/>
          <w:color w:val="auto"/>
          <w:szCs w:val="24"/>
          <w:shd w:val="clear" w:color="FFFFFF" w:fill="D9D9D9"/>
          <w:lang w:val="en-US" w:eastAsia="zh-CN"/>
          <w:highlight w:val="none"/>
        </w:rPr>
        <w:t>检测</w:t>
      </w:r>
      <w:r>
        <w:rPr>
          <w:rFonts w:eastAsia="仿宋" w:cs="Times New Roman"/>
          <w:color w:val="auto"/>
          <w:szCs w:val="24"/>
          <w:shd w:val="clear" w:color="FFFFFF" w:fill="D9D9D9"/>
          <w:highlight w:val="none"/>
        </w:rPr>
        <w:t>原理</w:t>
      </w:r>
      <w:r>
        <w:rPr>
          <w:rFonts w:eastAsia="仿宋" w:cs="Times New Roman" w:hint="eastAsia"/>
          <w:color w:val="auto"/>
          <w:szCs w:val="24"/>
          <w:shd w:val="clear" w:color="FFFFFF" w:fill="D9D9D9"/>
          <w:lang w:val="en-US" w:eastAsia="zh-CN"/>
          <w:highlight w:val="none"/>
        </w:rPr>
        <w:t>示意图如图8所示。</w:t>
      </w:r>
    </w:p>
    <w:p>
      <w:pPr>
        <w:jc w:val="center"/>
        <w:rPr>
          <w:rFonts w:cs="Times New Roman" w:hint="eastAsia"/>
          <w:color w:val="auto"/>
          <w:highlight w:val="none"/>
        </w:rPr>
      </w:pPr>
      <w:r>
        <w:rPr>
          <w:rFonts w:cs="Times New Roman" w:hint="eastAsia"/>
          <w:color w:val="auto"/>
          <w:highlight w:val="none"/>
        </w:rPr>
        <w:drawing>
          <wp:inline distT="0" distB="0" distL="0" distR="0">
            <wp:extent cx="1733550" cy="2222500"/>
            <wp:effectExtent l="0" t="0" r="0" b="1"/>
            <wp:docPr id="688168615" name="图片 5"/>
            <wp:cNvGraphicFramePr>
              <a:graphicFrameLocks noChangeAspect="1"/>
            </wp:cNvGraphicFramePr>
            <a:graphic>
              <a:graphicData uri="http://schemas.openxmlformats.org/drawingml/2006/picture">
                <pic:pic>
                  <pic:nvPicPr>
                    <pic:cNvPr id="86" name="图片 5 86"/>
                    <pic:cNvPicPr/>
                  </pic:nvPicPr>
                  <pic:blipFill>
                    <a:blip r:embed="rId69"/>
                    <a:stretch>
                      <a:fillRect/>
                    </a:stretch>
                  </pic:blipFill>
                  <pic:spPr>
                    <a:xfrm rot="0">
                      <a:off x="0" y="0"/>
                      <a:ext cx="1733550" cy="2222500"/>
                    </a:xfrm>
                    <a:prstGeom prst="rect"/>
                    <a:noFill/>
                    <a:ln cmpd="sng" cap="flat">
                      <a:noFill/>
                      <a:prstDash val="solid"/>
                      <a:round/>
                    </a:ln>
                  </pic:spPr>
                </pic:pic>
              </a:graphicData>
            </a:graphic>
          </wp:inline>
        </w:drawing>
      </w:r>
    </w:p>
    <w:p>
      <w:pPr>
        <w:jc w:val="center"/>
        <w:rPr>
          <w:rFonts w:eastAsia="宋体" w:cs="Times New Roman"/>
          <w:b/>
          <w:bCs/>
          <w:color w:val="auto"/>
          <w:sz w:val="21"/>
          <w:szCs w:val="21"/>
          <w:lang w:val="en-US" w:eastAsia="zh-CN"/>
          <w:highlight w:val="none"/>
        </w:rPr>
      </w:pPr>
      <w:r>
        <w:rPr>
          <w:rFonts w:cs="Times New Roman" w:hint="eastAsia"/>
          <w:b/>
          <w:bCs/>
          <w:color w:val="auto"/>
          <w:sz w:val="21"/>
          <w:szCs w:val="21"/>
          <w:lang w:val="en-US" w:eastAsia="zh-CN"/>
          <w:highlight w:val="none"/>
        </w:rPr>
        <w:t>图10-1压力传感器法检测原理示意图</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10.1.2</w:t>
      </w:r>
      <w:r>
        <w:rPr>
          <w:rFonts w:cs="Times New Roman"/>
          <w:color w:val="auto"/>
          <w:highlight w:val="none"/>
        </w:rPr>
        <w:t>　检测结果存在疑义时，</w:t>
      </w:r>
      <w:r>
        <w:rPr>
          <w:rFonts w:cs="Times New Roman" w:hint="eastAsia"/>
          <w:color w:val="auto"/>
          <w:lang w:val="en-US" w:eastAsia="zh-CN"/>
          <w:highlight w:val="none"/>
        </w:rPr>
        <w:t>应对灌浆孔道重新清洗，再次灌浆</w:t>
      </w:r>
      <w:r>
        <w:rPr>
          <w:rFonts w:cs="Times New Roman"/>
          <w:color w:val="auto"/>
          <w:highlight w:val="none"/>
        </w:rPr>
        <w:t>。</w:t>
      </w:r>
    </w:p>
    <w:p>
      <w:pPr>
        <w:pStyle w:val="2"/>
        <w:tabs>
          <w:tab w:val="left" w:pos="0"/>
        </w:tabs>
        <w:rPr>
          <w:rFonts w:ascii="Times New Roman" w:cs="Times New Roman" w:hAnsi="Times New Roman"/>
          <w:color w:val="auto"/>
          <w:highlight w:val="none"/>
        </w:rPr>
      </w:pPr>
      <w:bookmarkStart w:id="307" w:name="_Toc31603"/>
      <w:bookmarkStart w:id="308" w:name="_Toc25397"/>
      <w:bookmarkStart w:id="309" w:name="_Toc25673"/>
      <w:bookmarkStart w:id="310" w:name="_Toc15809"/>
      <w:bookmarkStart w:id="311" w:name="_Toc28874"/>
      <w:r>
        <w:rPr>
          <w:rFonts w:ascii="Times New Roman" w:cs="Times New Roman" w:hAnsi="Times New Roman"/>
          <w:color w:val="auto"/>
          <w:highlight w:val="none"/>
        </w:rPr>
        <w:t>10.2　检测设备</w:t>
      </w:r>
      <w:bookmarkEnd w:id="307"/>
      <w:bookmarkEnd w:id="308"/>
      <w:bookmarkEnd w:id="309"/>
      <w:bookmarkEnd w:id="310"/>
      <w:bookmarkEnd w:id="311"/>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10.2.1　</w:t>
      </w:r>
      <w:r>
        <w:rPr>
          <w:rFonts w:cs="Times New Roman"/>
          <w:color w:val="auto"/>
          <w:highlight w:val="none"/>
        </w:rPr>
        <w:t>压力传感器检测范围宜为50kPa~150kPa，测量准确度不宜低于0.2%，使用的环境温度应为-5℃~60℃。</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10.2.2</w:t>
      </w:r>
      <w:r>
        <w:rPr>
          <w:rFonts w:cs="Times New Roman"/>
          <w:color w:val="auto"/>
          <w:highlight w:val="none"/>
        </w:rPr>
        <w:t>　压力传感器检测仪应定期进行计量检定或校准，专用压力传感器应具有相关的技术认证。</w:t>
      </w:r>
    </w:p>
    <w:p>
      <w:pPr>
        <w:pStyle w:val="19"/>
        <w:ind w:firstLineChars="0" w:firstLine="0"/>
        <w:rPr>
          <w:color w:val="auto"/>
          <w:shd w:val="clear" w:color="FFFFFF" w:fill="D9D9D9"/>
          <w:lang w:val="en-US"/>
          <w:highlight w:val="none"/>
        </w:rPr>
      </w:pPr>
      <w:r>
        <w:rPr>
          <w:rFonts w:eastAsia="仿宋" w:cs="Times New Roman" w:hint="eastAsia"/>
          <w:b/>
          <w:bCs/>
          <w:color w:val="auto"/>
          <w:shd w:val="pct10" w:color="auto" w:fill="FFFFFF"/>
          <w:lang w:val="en-US" w:eastAsia="zh-CN"/>
          <w:highlight w:val="none"/>
        </w:rPr>
        <w:t>条文说明</w:t>
      </w:r>
      <w:r>
        <w:rPr>
          <w:b/>
          <w:bCs/>
          <w:color w:val="auto"/>
          <w:shd w:val="clear" w:color="FFFFFF" w:fill="D9D9D9"/>
          <w:lang w:val="en-US"/>
          <w:highlight w:val="none"/>
        </w:rPr>
        <w:t>10.2.2　</w:t>
      </w:r>
      <w:r>
        <w:rPr>
          <w:color w:val="auto"/>
          <w:shd w:val="clear" w:color="FFFFFF" w:fill="D9D9D9"/>
          <w:lang w:val="en-US"/>
          <w:highlight w:val="none"/>
        </w:rPr>
        <w:t>压力传感器检测仪见图</w:t>
      </w:r>
      <w:r>
        <w:rPr>
          <w:rFonts w:hint="eastAsia"/>
          <w:color w:val="auto"/>
          <w:shd w:val="clear" w:color="FFFFFF" w:fill="D9D9D9"/>
          <w:lang w:val="en-US" w:eastAsia="zh-CN"/>
          <w:highlight w:val="none"/>
        </w:rPr>
        <w:t>10-2</w:t>
      </w:r>
      <w:r>
        <w:rPr>
          <w:color w:val="auto"/>
          <w:shd w:val="clear" w:color="FFFFFF" w:fill="D9D9D9"/>
          <w:lang w:val="en-US"/>
          <w:highlight w:val="none"/>
        </w:rPr>
        <w:t>。</w:t>
      </w:r>
    </w:p>
    <w:p>
      <w:pPr>
        <w:pStyle w:val="38"/>
        <w:ind w:firstLineChars="0" w:firstLine="0"/>
        <w:jc w:val="center"/>
        <w:rPr>
          <w:rFonts w:cs="Times New Roman"/>
          <w:color w:val="auto"/>
          <w:highlight w:val="none"/>
        </w:rPr>
      </w:pPr>
      <w:r>
        <w:rPr>
          <w:color w:val="auto"/>
          <w:highlight w:val="none"/>
        </w:rPr>
        <w:drawing>
          <wp:inline distT="0" distB="0" distL="114300" distR="114300">
            <wp:extent cx="3420109" cy="2383789"/>
            <wp:effectExtent l="0" t="0" r="1" b="0"/>
            <wp:docPr id="688168616" name="图片 51"/>
            <wp:cNvGraphicFramePr>
              <a:graphicFrameLocks noChangeAspect="1"/>
            </wp:cNvGraphicFramePr>
            <a:graphic>
              <a:graphicData uri="http://schemas.openxmlformats.org/drawingml/2006/picture">
                <pic:pic>
                  <pic:nvPicPr>
                    <pic:cNvPr id="88" name="图片 51 88"/>
                    <pic:cNvPicPr/>
                  </pic:nvPicPr>
                  <pic:blipFill>
                    <a:blip r:embed="rId70"/>
                    <a:stretch>
                      <a:fillRect/>
                    </a:stretch>
                  </pic:blipFill>
                  <pic:spPr>
                    <a:xfrm rot="0">
                      <a:off x="0" y="0"/>
                      <a:ext cx="3420109" cy="2383789"/>
                    </a:xfrm>
                    <a:prstGeom prst="rect"/>
                    <a:noFill/>
                    <a:ln cmpd="sng" cap="flat">
                      <a:noFill/>
                      <a:prstDash val="solid"/>
                      <a:round/>
                    </a:ln>
                  </pic:spPr>
                </pic:pic>
              </a:graphicData>
            </a:graphic>
          </wp:inline>
        </w:drawing>
      </w:r>
    </w:p>
    <w:p>
      <w:pPr>
        <w:pStyle w:val="38"/>
        <w:ind w:firstLineChars="0" w:firstLine="0"/>
        <w:jc w:val="center"/>
        <w:rPr>
          <w:rFonts w:eastAsia="仿宋" w:cs="Times New Roman"/>
          <w:b/>
          <w:bCs/>
          <w:color w:val="auto"/>
          <w:sz w:val="22"/>
          <w:shd w:val="clear" w:color="FFFFFF" w:fill="D9D9D9"/>
          <w:highlight w:val="none"/>
        </w:rPr>
      </w:pPr>
      <w:r>
        <w:rPr>
          <w:rFonts w:eastAsia="仿宋" w:cs="Times New Roman"/>
          <w:b/>
          <w:bCs/>
          <w:color w:val="auto"/>
          <w:sz w:val="22"/>
          <w:shd w:val="clear" w:color="FFFFFF" w:fill="D9D9D9"/>
          <w:highlight w:val="none"/>
        </w:rPr>
        <w:t>图</w:t>
      </w:r>
      <w:r>
        <w:rPr>
          <w:rFonts w:eastAsia="仿宋" w:cs="Times New Roman" w:hint="eastAsia"/>
          <w:b/>
          <w:bCs/>
          <w:color w:val="auto"/>
          <w:sz w:val="22"/>
          <w:shd w:val="clear" w:color="FFFFFF" w:fill="D9D9D9"/>
          <w:lang w:val="en-US" w:eastAsia="zh-CN"/>
          <w:highlight w:val="none"/>
        </w:rPr>
        <w:t>10-2</w:t>
      </w:r>
      <w:r>
        <w:rPr>
          <w:rFonts w:eastAsia="仿宋" w:cs="Times New Roman"/>
          <w:b/>
          <w:bCs/>
          <w:color w:val="auto"/>
          <w:sz w:val="22"/>
          <w:shd w:val="clear" w:color="FFFFFF" w:fill="D9D9D9"/>
          <w:highlight w:val="none"/>
        </w:rPr>
        <w:t>　压力传感器检测仪示意图</w:t>
      </w:r>
    </w:p>
    <w:p>
      <w:pPr>
        <w:rPr>
          <w:color w:val="auto"/>
          <w:highlight w:val="none"/>
        </w:rPr>
      </w:pPr>
    </w:p>
    <w:p>
      <w:pPr>
        <w:pStyle w:val="2"/>
        <w:tabs>
          <w:tab w:val="left" w:pos="0"/>
        </w:tabs>
        <w:rPr>
          <w:rFonts w:ascii="Times New Roman" w:cs="Times New Roman" w:hAnsi="Times New Roman"/>
          <w:color w:val="auto"/>
          <w:highlight w:val="none"/>
        </w:rPr>
      </w:pPr>
      <w:bookmarkStart w:id="312" w:name="_Toc23109"/>
      <w:bookmarkStart w:id="313" w:name="_Toc32064"/>
      <w:bookmarkStart w:id="314" w:name="_Toc26630"/>
      <w:bookmarkStart w:id="315" w:name="_Toc11612"/>
      <w:bookmarkStart w:id="316" w:name="_Toc23788"/>
      <w:r>
        <w:rPr>
          <w:rFonts w:ascii="Times New Roman" w:cs="Times New Roman" w:hAnsi="Times New Roman"/>
          <w:color w:val="auto"/>
          <w:highlight w:val="none"/>
        </w:rPr>
        <w:t>10.3　检测</w:t>
      </w:r>
      <w:bookmarkEnd w:id="312"/>
      <w:bookmarkEnd w:id="313"/>
      <w:bookmarkEnd w:id="314"/>
      <w:bookmarkEnd w:id="315"/>
      <w:bookmarkEnd w:id="316"/>
    </w:p>
    <w:p>
      <w:pPr>
        <w:pStyle w:val="3"/>
        <w:tabs>
          <w:tab w:val="left" w:pos="0"/>
          <w:tab w:val="left" w:pos="567"/>
          <w:tab w:val="left" w:pos="709"/>
          <w:tab w:val="left" w:pos="1560"/>
        </w:tabs>
        <w:rPr>
          <w:rFonts w:cs="Times New Roman"/>
          <w:color w:val="auto"/>
          <w:sz w:val="20"/>
          <w:szCs w:val="20"/>
          <w:highlight w:val="none"/>
        </w:rPr>
      </w:pPr>
      <w:r>
        <w:rPr>
          <w:b/>
          <w:bCs w:val="0"/>
          <w:color w:val="auto"/>
          <w:highlight w:val="none"/>
        </w:rPr>
        <w:t>10</w:t>
      </w:r>
      <w:r>
        <w:rPr>
          <w:rFonts w:hint="eastAsia"/>
          <w:b/>
          <w:bCs w:val="0"/>
          <w:color w:val="auto"/>
          <w:highlight w:val="none"/>
        </w:rPr>
        <w:t>.3.1</w:t>
      </w:r>
      <w:r>
        <w:rPr>
          <w:rStyle w:val="141"/>
          <w:rFonts w:cs="Times New Roman"/>
          <w:bCs w:val="0"/>
          <w:color w:val="auto"/>
          <w:szCs w:val="24"/>
          <w:highlight w:val="none"/>
        </w:rPr>
        <w:t>　</w:t>
      </w:r>
      <w:r>
        <w:rPr>
          <w:rFonts w:cs="Times New Roman"/>
          <w:color w:val="auto"/>
          <w:highlight w:val="none"/>
        </w:rPr>
        <w:t>采用压力传感器法检测套筒灌浆饱满度前应进行下列准备工作：</w:t>
      </w:r>
    </w:p>
    <w:p>
      <w:pPr>
        <w:rPr>
          <w:rFonts w:cs="Times New Roman"/>
          <w:color w:val="auto"/>
          <w:highlight w:val="none"/>
        </w:rPr>
      </w:pPr>
      <w:r>
        <w:rPr>
          <w:rFonts w:cs="Times New Roman"/>
          <w:b/>
          <w:bCs/>
          <w:color w:val="auto"/>
          <w:szCs w:val="32"/>
          <w:highlight w:val="none"/>
        </w:rPr>
        <w:t>1　</w:t>
      </w:r>
      <w:r>
        <w:rPr>
          <w:rFonts w:cs="Times New Roman"/>
          <w:color w:val="auto"/>
          <w:highlight w:val="none"/>
        </w:rPr>
        <w:t>检查设备和相关检测系统正常使用的情况，仪器设备密封性的正常度；</w:t>
      </w:r>
    </w:p>
    <w:p>
      <w:pPr>
        <w:rPr>
          <w:rFonts w:cs="Times New Roman"/>
          <w:color w:val="auto"/>
          <w:highlight w:val="none"/>
        </w:rPr>
      </w:pPr>
      <w:r>
        <w:rPr>
          <w:rFonts w:cs="Times New Roman"/>
          <w:b/>
          <w:bCs/>
          <w:color w:val="auto"/>
          <w:szCs w:val="32"/>
          <w:highlight w:val="none"/>
        </w:rPr>
        <w:t>2　</w:t>
      </w:r>
      <w:r>
        <w:rPr>
          <w:rFonts w:cs="Times New Roman"/>
          <w:color w:val="auto"/>
          <w:highlight w:val="none"/>
        </w:rPr>
        <w:t>记录工程名称、套筒所在构件编号、套筒具体位置、检测人员信息等，经检测后需补灌浆的结构构件部位应有补浆前后的检测结果。</w:t>
      </w:r>
    </w:p>
    <w:p>
      <w:pPr>
        <w:pStyle w:val="3"/>
        <w:tabs>
          <w:tab w:val="left" w:pos="0"/>
          <w:tab w:val="left" w:pos="567"/>
          <w:tab w:val="left" w:pos="709"/>
          <w:tab w:val="left" w:pos="1560"/>
        </w:tabs>
        <w:rPr>
          <w:rStyle w:val="141"/>
          <w:rFonts w:cs="Times New Roman"/>
          <w:bCs w:val="0"/>
          <w:color w:val="auto"/>
          <w:szCs w:val="24"/>
          <w:highlight w:val="none"/>
        </w:rPr>
      </w:pPr>
      <w:r>
        <w:rPr>
          <w:rStyle w:val="141"/>
          <w:rFonts w:cs="Times New Roman"/>
          <w:b/>
          <w:bCs/>
          <w:color w:val="auto"/>
          <w:szCs w:val="24"/>
          <w:highlight w:val="none"/>
        </w:rPr>
        <w:t>10.3.2　</w:t>
      </w:r>
      <w:r>
        <w:rPr>
          <w:rFonts w:cs="Times New Roman"/>
          <w:color w:val="auto"/>
          <w:highlight w:val="none"/>
        </w:rPr>
        <w:t>采用</w:t>
      </w:r>
      <w:r>
        <w:rPr>
          <w:rStyle w:val="141"/>
          <w:rFonts w:cs="Times New Roman"/>
          <w:bCs w:val="0"/>
          <w:color w:val="auto"/>
          <w:szCs w:val="24"/>
          <w:highlight w:val="none"/>
        </w:rPr>
        <w:t>内置</w:t>
      </w:r>
      <w:r>
        <w:rPr>
          <w:rFonts w:cs="Times New Roman"/>
          <w:color w:val="auto"/>
          <w:highlight w:val="none"/>
        </w:rPr>
        <w:t>压力传感器法检测套筒灌浆饱满度时应</w:t>
      </w:r>
      <w:r>
        <w:rPr>
          <w:rFonts w:cs="Times New Roman" w:hint="eastAsia"/>
          <w:color w:val="auto"/>
          <w:highlight w:val="none"/>
        </w:rPr>
        <w:t>按下列步骤进行</w:t>
      </w:r>
      <w:r>
        <w:rPr>
          <w:rFonts w:cs="Times New Roman"/>
          <w:color w:val="auto"/>
          <w:highlight w:val="none"/>
        </w:rPr>
        <w:t>：</w:t>
      </w:r>
    </w:p>
    <w:p>
      <w:pPr>
        <w:rPr>
          <w:rFonts w:cs="Times New Roman"/>
          <w:color w:val="auto"/>
          <w:highlight w:val="none"/>
        </w:rPr>
      </w:pPr>
      <w:r>
        <w:rPr>
          <w:rFonts w:cs="Times New Roman"/>
          <w:b/>
          <w:bCs/>
          <w:color w:val="auto"/>
          <w:szCs w:val="32"/>
          <w:highlight w:val="none"/>
        </w:rPr>
        <w:t>1　</w:t>
      </w:r>
      <w:r>
        <w:rPr>
          <w:rFonts w:cs="Times New Roman"/>
          <w:color w:val="auto"/>
          <w:highlight w:val="none"/>
        </w:rPr>
        <w:t>采用专用工具通过套筒的</w:t>
      </w:r>
      <w:r>
        <w:rPr>
          <w:rFonts w:cs="Times New Roman" w:hint="eastAsia"/>
          <w:color w:val="auto"/>
          <w:lang w:val="en-US" w:eastAsia="zh-CN"/>
          <w:highlight w:val="none"/>
        </w:rPr>
        <w:t>进</w:t>
      </w:r>
      <w:r>
        <w:rPr>
          <w:rFonts w:cs="Times New Roman"/>
          <w:color w:val="auto"/>
          <w:highlight w:val="none"/>
        </w:rPr>
        <w:t>浆口位置将传感器装置安装至套筒底部内壁与钢筋之间；</w:t>
      </w:r>
    </w:p>
    <w:p>
      <w:pPr>
        <w:rPr>
          <w:rFonts w:cs="Times New Roman"/>
          <w:color w:val="auto"/>
          <w:highlight w:val="none"/>
        </w:rPr>
      </w:pPr>
      <w:r>
        <w:rPr>
          <w:rFonts w:cs="Times New Roman"/>
          <w:b/>
          <w:bCs/>
          <w:color w:val="auto"/>
          <w:szCs w:val="32"/>
          <w:highlight w:val="none"/>
        </w:rPr>
        <w:t>2　</w:t>
      </w:r>
      <w:r>
        <w:rPr>
          <w:rFonts w:cs="Times New Roman"/>
          <w:color w:val="auto"/>
          <w:highlight w:val="none"/>
        </w:rPr>
        <w:t>现场安装压力计和导管，并测试完备性；</w:t>
      </w:r>
    </w:p>
    <w:p>
      <w:pPr>
        <w:rPr>
          <w:rFonts w:cs="Times New Roman"/>
          <w:color w:val="auto"/>
          <w:highlight w:val="none"/>
        </w:rPr>
      </w:pPr>
      <w:r>
        <w:rPr>
          <w:rFonts w:cs="Times New Roman"/>
          <w:b/>
          <w:bCs/>
          <w:color w:val="auto"/>
          <w:szCs w:val="32"/>
          <w:highlight w:val="none"/>
        </w:rPr>
        <w:t>3　</w:t>
      </w:r>
      <w:r>
        <w:rPr>
          <w:rFonts w:cs="Times New Roman"/>
          <w:color w:val="auto"/>
          <w:highlight w:val="none"/>
        </w:rPr>
        <w:t>现场通过进浆口缓慢灌浆，压力计随着浆液液面上升其压力值逐渐增加，压力设备记录连续的信号变化，形成压力-时间变化曲线；</w:t>
      </w:r>
    </w:p>
    <w:p>
      <w:pPr>
        <w:jc w:val="left"/>
        <w:rPr>
          <w:rFonts w:cs="Times New Roman"/>
          <w:color w:val="auto"/>
          <w:highlight w:val="none"/>
        </w:rPr>
      </w:pPr>
      <w:r>
        <w:rPr>
          <w:rFonts w:cs="Times New Roman"/>
          <w:b/>
          <w:bCs/>
          <w:color w:val="auto"/>
          <w:szCs w:val="32"/>
          <w:highlight w:val="none"/>
        </w:rPr>
        <w:t>4　</w:t>
      </w:r>
      <w:r>
        <w:rPr>
          <w:rFonts w:cs="Times New Roman"/>
          <w:color w:val="auto"/>
          <w:highlight w:val="none"/>
        </w:rPr>
        <w:t>现场对压力-时间曲线进行记录，并进行判断。</w:t>
      </w:r>
    </w:p>
    <w:p>
      <w:pPr>
        <w:pStyle w:val="3"/>
        <w:tabs>
          <w:tab w:val="left" w:pos="0"/>
          <w:tab w:val="left" w:pos="567"/>
          <w:tab w:val="left" w:pos="709"/>
          <w:tab w:val="left" w:pos="1560"/>
        </w:tabs>
        <w:rPr>
          <w:rStyle w:val="141"/>
          <w:rFonts w:cs="Times New Roman"/>
          <w:bCs w:val="0"/>
          <w:color w:val="auto"/>
          <w:szCs w:val="24"/>
          <w:highlight w:val="none"/>
        </w:rPr>
      </w:pPr>
      <w:r>
        <w:rPr>
          <w:rStyle w:val="141"/>
          <w:rFonts w:cs="Times New Roman"/>
          <w:b/>
          <w:bCs w:val="0"/>
          <w:color w:val="auto"/>
          <w:szCs w:val="24"/>
          <w:highlight w:val="none"/>
        </w:rPr>
        <w:t>10.3.3　</w:t>
      </w:r>
      <w:r>
        <w:rPr>
          <w:rFonts w:cs="Times New Roman"/>
          <w:color w:val="auto"/>
          <w:highlight w:val="none"/>
        </w:rPr>
        <w:t>采用外置压力传感器法检测套筒灌浆饱满度时应</w:t>
      </w:r>
      <w:r>
        <w:rPr>
          <w:rFonts w:cs="Times New Roman" w:hint="eastAsia"/>
          <w:color w:val="auto"/>
          <w:highlight w:val="none"/>
        </w:rPr>
        <w:t>按下列步骤进行</w:t>
      </w:r>
      <w:r>
        <w:rPr>
          <w:rFonts w:cs="Times New Roman"/>
          <w:color w:val="auto"/>
          <w:highlight w:val="none"/>
        </w:rPr>
        <w:t>：</w:t>
      </w:r>
    </w:p>
    <w:p>
      <w:pPr>
        <w:rPr>
          <w:rFonts w:cs="Times New Roman"/>
          <w:color w:val="auto"/>
          <w:highlight w:val="none"/>
        </w:rPr>
      </w:pPr>
      <w:r>
        <w:rPr>
          <w:rFonts w:cs="Times New Roman"/>
          <w:b/>
          <w:bCs/>
          <w:color w:val="auto"/>
          <w:szCs w:val="32"/>
          <w:highlight w:val="none"/>
        </w:rPr>
        <w:t>1　</w:t>
      </w:r>
      <w:r>
        <w:rPr>
          <w:rFonts w:cs="Times New Roman"/>
          <w:color w:val="auto"/>
          <w:highlight w:val="none"/>
        </w:rPr>
        <w:t>现场安装压力计和导管，并测试完备性；</w:t>
      </w:r>
    </w:p>
    <w:p>
      <w:pPr>
        <w:rPr>
          <w:rFonts w:cs="Times New Roman"/>
          <w:color w:val="auto"/>
          <w:highlight w:val="none"/>
        </w:rPr>
      </w:pPr>
      <w:r>
        <w:rPr>
          <w:rFonts w:cs="Times New Roman"/>
          <w:b/>
          <w:bCs/>
          <w:color w:val="auto"/>
          <w:szCs w:val="32"/>
          <w:highlight w:val="none"/>
        </w:rPr>
        <w:t>2　</w:t>
      </w:r>
      <w:r>
        <w:rPr>
          <w:rFonts w:cs="Times New Roman"/>
          <w:color w:val="auto"/>
          <w:highlight w:val="none"/>
        </w:rPr>
        <w:t>现场通过进浆口缓慢灌浆，待出浆口流出浆液后，采用外置传感器封堵进浆口，形成压力-时间变化曲线；</w:t>
      </w:r>
    </w:p>
    <w:p>
      <w:pPr>
        <w:rPr>
          <w:rFonts w:cs="Times New Roman"/>
          <w:color w:val="auto"/>
          <w:highlight w:val="none"/>
        </w:rPr>
      </w:pPr>
      <w:r>
        <w:rPr>
          <w:rFonts w:cs="Times New Roman"/>
          <w:b/>
          <w:bCs/>
          <w:color w:val="auto"/>
          <w:szCs w:val="32"/>
          <w:highlight w:val="none"/>
        </w:rPr>
        <w:t>3　</w:t>
      </w:r>
      <w:r>
        <w:rPr>
          <w:rFonts w:cs="Times New Roman"/>
          <w:color w:val="auto"/>
          <w:highlight w:val="none"/>
        </w:rPr>
        <w:t>现场对压力-时间曲线进行记录，并进行判断。</w:t>
      </w:r>
    </w:p>
    <w:p>
      <w:pPr>
        <w:pStyle w:val="3"/>
        <w:tabs>
          <w:tab w:val="left" w:pos="0"/>
          <w:tab w:val="left" w:pos="567"/>
          <w:tab w:val="left" w:pos="709"/>
          <w:tab w:val="left" w:pos="1560"/>
        </w:tabs>
        <w:rPr>
          <w:rFonts w:cs="Times New Roman"/>
          <w:color w:val="auto"/>
          <w:highlight w:val="none"/>
        </w:rPr>
      </w:pPr>
      <w:r>
        <w:rPr>
          <w:rFonts w:cs="Times New Roman"/>
          <w:b/>
          <w:color w:val="auto"/>
          <w:szCs w:val="24"/>
          <w:highlight w:val="none"/>
        </w:rPr>
        <w:t>10.3.4　</w:t>
      </w:r>
      <w:r>
        <w:rPr>
          <w:rFonts w:cs="Times New Roman"/>
          <w:color w:val="auto"/>
          <w:highlight w:val="none"/>
        </w:rPr>
        <w:t>压力传感器法，单个连接抽检的套筒数量不少于</w:t>
      </w:r>
      <w:r>
        <w:rPr>
          <w:rFonts w:cs="Times New Roman" w:hint="eastAsia"/>
          <w:color w:val="auto"/>
          <w:highlight w:val="none"/>
        </w:rPr>
        <w:t>被测</w:t>
      </w:r>
      <w:r>
        <w:rPr>
          <w:rFonts w:cs="Times New Roman"/>
          <w:color w:val="auto"/>
          <w:highlight w:val="none"/>
        </w:rPr>
        <w:t>连接部位套筒数量的</w:t>
      </w:r>
      <w:r>
        <w:rPr>
          <w:rFonts w:cs="Times New Roman" w:hint="eastAsia"/>
          <w:color w:val="auto"/>
          <w:highlight w:val="none"/>
        </w:rPr>
        <w:t>3</w:t>
      </w:r>
      <w:r>
        <w:rPr>
          <w:rFonts w:cs="Times New Roman"/>
          <w:color w:val="auto"/>
          <w:highlight w:val="none"/>
        </w:rPr>
        <w:t>0%，且不宜少于15个，抽样应具有代表性。</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10.3.5　</w:t>
      </w:r>
      <w:r>
        <w:rPr>
          <w:rFonts w:cs="Times New Roman"/>
          <w:color w:val="auto"/>
          <w:highlight w:val="none"/>
        </w:rPr>
        <w:t>压力传感器法的检测应按</w:t>
      </w:r>
      <w:r>
        <w:rPr>
          <w:rFonts w:cs="Times New Roman"/>
          <w:color w:val="auto"/>
          <w:szCs w:val="24"/>
          <w:highlight w:val="none"/>
        </w:rPr>
        <w:t>本标准</w:t>
      </w:r>
      <w:r>
        <w:rPr>
          <w:rFonts w:cs="Times New Roman"/>
          <w:color w:val="auto"/>
          <w:highlight w:val="none"/>
        </w:rPr>
        <w:t>附录G记录</w:t>
      </w:r>
      <w:r>
        <w:rPr>
          <w:rFonts w:cs="Times New Roman" w:hint="eastAsia"/>
          <w:color w:val="auto"/>
          <w:highlight w:val="none"/>
        </w:rPr>
        <w:t>。</w:t>
      </w:r>
    </w:p>
    <w:p>
      <w:pPr>
        <w:pStyle w:val="2"/>
        <w:tabs>
          <w:tab w:val="left" w:pos="0"/>
        </w:tabs>
        <w:rPr>
          <w:rFonts w:ascii="Times New Roman" w:cs="Times New Roman" w:hAnsi="Times New Roman"/>
          <w:color w:val="auto"/>
          <w:highlight w:val="none"/>
        </w:rPr>
      </w:pPr>
      <w:bookmarkStart w:id="317" w:name="_Toc7629"/>
      <w:bookmarkStart w:id="318" w:name="_Toc17496"/>
      <w:bookmarkStart w:id="319" w:name="_Toc20763"/>
      <w:bookmarkStart w:id="320" w:name="_Toc495"/>
      <w:bookmarkStart w:id="321" w:name="_Toc9354"/>
      <w:r>
        <w:rPr>
          <w:rFonts w:ascii="Times New Roman" w:cs="Times New Roman" w:hAnsi="Times New Roman"/>
          <w:color w:val="auto"/>
          <w:highlight w:val="none"/>
        </w:rPr>
        <w:t>10.</w:t>
      </w:r>
      <w:bookmarkEnd w:id="317"/>
      <w:r>
        <w:rPr>
          <w:rFonts w:ascii="Times New Roman" w:cs="Times New Roman" w:hAnsi="Times New Roman"/>
          <w:color w:val="auto"/>
          <w:highlight w:val="none"/>
        </w:rPr>
        <w:t>4　评定</w:t>
      </w:r>
      <w:bookmarkEnd w:id="318"/>
      <w:bookmarkEnd w:id="319"/>
      <w:bookmarkEnd w:id="320"/>
      <w:bookmarkEnd w:id="321"/>
    </w:p>
    <w:p>
      <w:pPr>
        <w:pStyle w:val="3"/>
        <w:tabs>
          <w:tab w:val="left" w:pos="0"/>
          <w:tab w:val="left" w:pos="567"/>
          <w:tab w:val="left" w:pos="709"/>
          <w:tab w:val="left" w:pos="1560"/>
        </w:tabs>
        <w:rPr>
          <w:rFonts w:cs="Times New Roman"/>
          <w:color w:val="auto"/>
          <w:highlight w:val="none"/>
        </w:rPr>
      </w:pPr>
      <w:r>
        <w:rPr>
          <w:rStyle w:val="141"/>
          <w:rFonts w:cs="Times New Roman"/>
          <w:b/>
          <w:bCs w:val="0"/>
          <w:color w:val="auto"/>
          <w:szCs w:val="24"/>
          <w:highlight w:val="none"/>
        </w:rPr>
        <w:t>10.4.1　</w:t>
      </w:r>
      <w:r>
        <w:rPr>
          <w:rFonts w:cs="Times New Roman" w:hint="eastAsia"/>
          <w:color w:val="auto"/>
          <w:highlight w:val="none"/>
        </w:rPr>
        <w:t>对同一构件且灌浆高度相同的压力值取平均值，若某个测点低于平均值的90%，则评定该测点灌浆饱满度不合格</w:t>
      </w:r>
      <w:r>
        <w:rPr>
          <w:rFonts w:cs="Times New Roman"/>
          <w:color w:val="auto"/>
          <w:highlight w:val="none"/>
        </w:rPr>
        <w:t>。</w:t>
      </w:r>
    </w:p>
    <w:p>
      <w:pPr>
        <w:pStyle w:val="3"/>
        <w:tabs>
          <w:tab w:val="left" w:pos="0"/>
          <w:tab w:val="left" w:pos="567"/>
          <w:tab w:val="left" w:pos="709"/>
          <w:tab w:val="left" w:pos="1560"/>
        </w:tabs>
        <w:rPr>
          <w:rFonts w:cs="Times New Roman"/>
          <w:color w:val="auto"/>
          <w:shd w:val="clear" w:color="FFFFFF" w:fill="D9D9D9"/>
          <w:highlight w:val="none"/>
        </w:rPr>
      </w:pPr>
      <w:r>
        <w:rPr>
          <w:rStyle w:val="141"/>
          <w:rFonts w:cs="Times New Roman"/>
          <w:b/>
          <w:bCs w:val="0"/>
          <w:color w:val="auto"/>
          <w:szCs w:val="24"/>
          <w:highlight w:val="none"/>
        </w:rPr>
        <w:t>10.4.2　</w:t>
      </w:r>
      <w:r>
        <w:rPr>
          <w:rFonts w:cs="Times New Roman"/>
          <w:color w:val="auto"/>
          <w:highlight w:val="none"/>
        </w:rPr>
        <w:t>灌浆饱满度不合格时，应二次补浆。补灌后应对原灌浆不饱满套筒的灌浆饱满度进行复测，直至灌浆饱满</w:t>
      </w:r>
      <w:r>
        <w:rPr>
          <w:rFonts w:cs="Times New Roman" w:hint="eastAsia"/>
          <w:color w:val="auto"/>
          <w:highlight w:val="none"/>
        </w:rPr>
        <w:t>。应</w:t>
      </w:r>
      <w:r>
        <w:rPr>
          <w:rFonts w:cs="Times New Roman"/>
          <w:color w:val="auto"/>
          <w:highlight w:val="none"/>
        </w:rPr>
        <w:t>在记录表备注栏中做复测记录。</w:t>
      </w:r>
    </w:p>
    <w:p>
      <w:pPr>
        <w:rPr>
          <w:color w:val="auto"/>
          <w:highlight w:val="none"/>
        </w:rPr>
      </w:pPr>
    </w:p>
    <w:p>
      <w:pPr>
        <w:pStyle w:val="38"/>
        <w:ind w:firstLineChars="0" w:firstLine="0"/>
        <w:rPr>
          <w:rFonts w:cs="Times New Roman"/>
          <w:color w:val="auto"/>
          <w:shd w:val="clear" w:color="FFFFFF" w:fill="D9D9D9"/>
          <w:highlight w:val="none"/>
        </w:rPr>
      </w:pPr>
      <w:r>
        <w:rPr>
          <w:rFonts w:cs="Times New Roman"/>
          <w:color w:val="auto"/>
          <w:shd w:val="clear" w:color="FFFFFF" w:fill="D9D9D9"/>
          <w:highlight w:val="none"/>
        </w:rPr>
        <w:br w:type="page"/>
      </w:r>
    </w:p>
    <w:p>
      <w:pPr>
        <w:pStyle w:val="1"/>
        <w:ind w:rightChars="17" w:right="41" w:firstLineChars="0" w:firstLine="0"/>
        <w:rPr>
          <w:rFonts w:cs="Times New Roman"/>
          <w:color w:val="auto"/>
          <w:highlight w:val="none"/>
        </w:rPr>
      </w:pPr>
      <w:bookmarkStart w:id="322" w:name="_Toc491"/>
      <w:bookmarkStart w:id="323" w:name="_Toc20487"/>
      <w:bookmarkStart w:id="324" w:name="_Toc27472"/>
      <w:bookmarkStart w:id="325" w:name="_Toc30247"/>
      <w:r>
        <w:rPr>
          <w:rFonts w:cs="Times New Roman"/>
          <w:color w:val="auto"/>
          <w:highlight w:val="none"/>
        </w:rPr>
        <w:t>11　预埋钢丝拉拔法</w:t>
      </w:r>
      <w:bookmarkEnd w:id="322"/>
      <w:bookmarkEnd w:id="323"/>
      <w:bookmarkEnd w:id="324"/>
    </w:p>
    <w:p>
      <w:pPr>
        <w:pStyle w:val="2"/>
        <w:tabs>
          <w:tab w:val="left" w:pos="0"/>
        </w:tabs>
        <w:rPr>
          <w:rFonts w:ascii="Times New Roman" w:cs="Times New Roman" w:hAnsi="Times New Roman"/>
          <w:color w:val="auto"/>
          <w:highlight w:val="none"/>
        </w:rPr>
      </w:pPr>
      <w:bookmarkStart w:id="326" w:name="_Toc502"/>
      <w:bookmarkStart w:id="327" w:name="_Toc26680"/>
      <w:bookmarkStart w:id="328" w:name="_Toc14600"/>
      <w:r>
        <w:rPr>
          <w:rFonts w:ascii="Times New Roman" w:cs="Times New Roman" w:hAnsi="Times New Roman"/>
          <w:color w:val="auto"/>
          <w:highlight w:val="none"/>
        </w:rPr>
        <w:t>11.1　一般规定</w:t>
      </w:r>
      <w:bookmarkEnd w:id="326"/>
      <w:bookmarkEnd w:id="327"/>
      <w:bookmarkEnd w:id="328"/>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11.1.1　</w:t>
      </w:r>
      <w:r>
        <w:rPr>
          <w:rFonts w:cs="Times New Roman"/>
          <w:color w:val="auto"/>
          <w:highlight w:val="none"/>
        </w:rPr>
        <w:t>预埋钢丝拉拔法适用于施工</w:t>
      </w:r>
      <w:r>
        <w:rPr>
          <w:rFonts w:cs="Times New Roman" w:hint="eastAsia"/>
          <w:color w:val="auto"/>
          <w:highlight w:val="none"/>
        </w:rPr>
        <w:t>固结后</w:t>
      </w:r>
      <w:r>
        <w:rPr>
          <w:rFonts w:cs="Times New Roman"/>
          <w:color w:val="auto"/>
          <w:highlight w:val="none"/>
        </w:rPr>
        <w:t>及验收阶段套筒灌浆饱满度检测。</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11.1.2</w:t>
      </w:r>
      <w:r>
        <w:rPr>
          <w:rFonts w:cs="Times New Roman"/>
          <w:color w:val="auto"/>
          <w:highlight w:val="none"/>
        </w:rPr>
        <w:t>　检测结果存在疑义时，可采用钻孔内窥镜法进行验证。</w:t>
      </w:r>
    </w:p>
    <w:p>
      <w:pPr>
        <w:pStyle w:val="2"/>
        <w:tabs>
          <w:tab w:val="left" w:pos="0"/>
        </w:tabs>
        <w:rPr>
          <w:rFonts w:ascii="Times New Roman" w:cs="Times New Roman" w:hAnsi="Times New Roman"/>
          <w:color w:val="auto"/>
          <w:highlight w:val="none"/>
        </w:rPr>
      </w:pPr>
      <w:bookmarkStart w:id="329" w:name="_Toc22105"/>
      <w:bookmarkStart w:id="330" w:name="_Toc4884"/>
      <w:bookmarkStart w:id="331" w:name="_Toc14578"/>
      <w:r>
        <w:rPr>
          <w:rFonts w:ascii="Times New Roman" w:cs="Times New Roman" w:hAnsi="Times New Roman"/>
          <w:color w:val="auto"/>
          <w:highlight w:val="none"/>
        </w:rPr>
        <w:t>11.2　检测设备</w:t>
      </w:r>
      <w:bookmarkEnd w:id="329"/>
      <w:bookmarkEnd w:id="330"/>
      <w:bookmarkEnd w:id="331"/>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11.2.1</w:t>
      </w:r>
      <w:r>
        <w:rPr>
          <w:rFonts w:cs="Times New Roman"/>
          <w:color w:val="auto"/>
          <w:highlight w:val="none"/>
        </w:rPr>
        <w:t>　预埋钢丝拉拔法检测设备应包括拉拔仪、钢丝及相关配件。</w:t>
      </w:r>
    </w:p>
    <w:p>
      <w:pPr>
        <w:pStyle w:val="19"/>
        <w:ind w:firstLineChars="0" w:firstLine="0"/>
        <w:rPr>
          <w:color w:val="auto"/>
          <w:shd w:val="clear" w:color="FFFFFF" w:fill="D9D9D9"/>
          <w:lang w:val="en-US"/>
          <w:highlight w:val="none"/>
        </w:rPr>
      </w:pPr>
      <w:r>
        <w:rPr>
          <w:rFonts w:eastAsia="仿宋" w:cs="Times New Roman" w:hint="eastAsia"/>
          <w:b/>
          <w:bCs/>
          <w:color w:val="auto"/>
          <w:shd w:val="pct10" w:color="auto" w:fill="FFFFFF"/>
          <w:lang w:val="en-US" w:eastAsia="zh-CN"/>
          <w:highlight w:val="none"/>
        </w:rPr>
        <w:t>条文说明</w:t>
      </w:r>
      <w:r>
        <w:rPr>
          <w:b/>
          <w:bCs/>
          <w:color w:val="auto"/>
          <w:shd w:val="clear" w:color="FFFFFF" w:fill="D9D9D9"/>
          <w:lang w:val="en-US"/>
          <w:highlight w:val="none"/>
        </w:rPr>
        <w:t>11.2.1　</w:t>
      </w:r>
      <w:r>
        <w:rPr>
          <w:color w:val="auto"/>
          <w:shd w:val="clear" w:color="FFFFFF" w:fill="D9D9D9"/>
          <w:lang w:val="en-US"/>
          <w:highlight w:val="none"/>
        </w:rPr>
        <w:t>检测设备仪器见图</w:t>
      </w:r>
      <w:r>
        <w:rPr>
          <w:rFonts w:hint="eastAsia"/>
          <w:color w:val="auto"/>
          <w:shd w:val="clear" w:color="FFFFFF" w:fill="D9D9D9"/>
          <w:lang w:val="en-US"/>
          <w:highlight w:val="none"/>
        </w:rPr>
        <w:t>9</w:t>
      </w:r>
      <w:r>
        <w:rPr>
          <w:color w:val="auto"/>
          <w:shd w:val="clear" w:color="FFFFFF" w:fill="D9D9D9"/>
          <w:lang w:val="en-US"/>
          <w:highlight w:val="none"/>
        </w:rPr>
        <w:t>。</w:t>
      </w:r>
    </w:p>
    <w:p>
      <w:pPr>
        <w:pStyle w:val="19"/>
        <w:ind w:firstLineChars="0" w:firstLine="0"/>
        <w:jc w:val="center"/>
        <w:rPr>
          <w:color w:val="auto"/>
          <w:highlight w:val="none"/>
        </w:rPr>
      </w:pPr>
      <w:r>
        <w:rPr>
          <w:color w:val="auto"/>
          <w:highlight w:val="none"/>
        </w:rPr>
        <w:drawing>
          <wp:inline distT="0" distB="0" distL="114300" distR="114300">
            <wp:extent cx="2907030" cy="4018915"/>
            <wp:effectExtent l="0" t="0" r="0" b="0"/>
            <wp:docPr id="688168617" name="图片 52"/>
            <wp:cNvGraphicFramePr>
              <a:graphicFrameLocks noChangeAspect="1"/>
            </wp:cNvGraphicFramePr>
            <a:graphic>
              <a:graphicData uri="http://schemas.openxmlformats.org/drawingml/2006/picture">
                <pic:pic>
                  <pic:nvPicPr>
                    <pic:cNvPr id="90" name="图片 52 90"/>
                    <pic:cNvPicPr/>
                  </pic:nvPicPr>
                  <pic:blipFill>
                    <a:blip r:embed="rId71"/>
                    <a:stretch>
                      <a:fillRect/>
                    </a:stretch>
                  </pic:blipFill>
                  <pic:spPr>
                    <a:xfrm rot="0">
                      <a:off x="0" y="0"/>
                      <a:ext cx="2907030" cy="4018915"/>
                    </a:xfrm>
                    <a:prstGeom prst="rect"/>
                    <a:noFill/>
                    <a:ln cmpd="sng" cap="flat">
                      <a:noFill/>
                      <a:prstDash val="solid"/>
                      <a:round/>
                    </a:ln>
                  </pic:spPr>
                </pic:pic>
              </a:graphicData>
            </a:graphic>
          </wp:inline>
        </w:drawing>
      </w:r>
    </w:p>
    <w:p>
      <w:pPr>
        <w:pStyle w:val="16"/>
        <w:jc w:val="center"/>
        <w:rPr>
          <w:color w:val="auto"/>
          <w:lang w:val="en-US"/>
          <w:highlight w:val="none"/>
        </w:rPr>
      </w:pPr>
      <w:r>
        <w:rPr>
          <w:rFonts w:cs="Times New Roman"/>
          <w:b w:val="0"/>
          <w:bCs/>
          <w:color w:val="auto"/>
          <w:shd w:val="clear" w:color="FFFFFF" w:fill="D9D9D9"/>
          <w:highlight w:val="none"/>
        </w:rPr>
        <w:t>1</w:t>
      </w:r>
      <w:r>
        <w:rPr>
          <w:rFonts w:cs="Times New Roman" w:hint="eastAsia"/>
          <w:b w:val="0"/>
          <w:bCs/>
          <w:color w:val="auto"/>
          <w:shd w:val="clear" w:color="FFFFFF" w:fill="D9D9D9"/>
          <w:highlight w:val="none"/>
        </w:rPr>
        <w:t>—</w:t>
      </w:r>
      <w:r>
        <w:rPr>
          <w:rFonts w:cs="Times New Roman" w:hint="eastAsia"/>
          <w:b w:val="0"/>
          <w:bCs/>
          <w:color w:val="auto"/>
          <w:shd w:val="clear" w:color="FFFFFF" w:fill="D9D9D9"/>
          <w:lang w:val="en-US" w:eastAsia="zh-CN"/>
          <w:highlight w:val="none"/>
        </w:rPr>
        <w:t>夹持钢丝装置</w:t>
      </w:r>
      <w:r>
        <w:rPr>
          <w:rFonts w:cs="Times New Roman" w:hint="eastAsia"/>
          <w:b w:val="0"/>
          <w:bCs/>
          <w:color w:val="auto"/>
          <w:shd w:val="clear" w:color="FFFFFF" w:fill="D9D9D9"/>
          <w:highlight w:val="none"/>
        </w:rPr>
        <w:t>；2—</w:t>
      </w:r>
      <w:r>
        <w:rPr>
          <w:rFonts w:cs="Times New Roman" w:hint="eastAsia"/>
          <w:b w:val="0"/>
          <w:bCs/>
          <w:color w:val="auto"/>
          <w:shd w:val="clear" w:color="FFFFFF" w:fill="D9D9D9"/>
          <w:lang w:val="en-US" w:eastAsia="zh-CN"/>
          <w:highlight w:val="none"/>
        </w:rPr>
        <w:t>力传感器；3—力数据显示部分；4—机械加载部分</w:t>
      </w:r>
    </w:p>
    <w:p>
      <w:pPr>
        <w:pStyle w:val="19"/>
        <w:ind w:firstLineChars="0" w:firstLine="0"/>
        <w:jc w:val="center"/>
        <w:rPr>
          <w:b/>
          <w:bCs/>
          <w:color w:val="auto"/>
          <w:shd w:val="clear" w:color="FFFFFF" w:fill="D9D9D9"/>
          <w:lang w:val="en-US"/>
          <w:highlight w:val="none"/>
        </w:rPr>
      </w:pPr>
      <w:r>
        <w:rPr>
          <w:b/>
          <w:bCs/>
          <w:color w:val="auto"/>
          <w:shd w:val="clear" w:color="FFFFFF" w:fill="D9D9D9"/>
          <w:lang w:val="en-US"/>
          <w:highlight w:val="none"/>
        </w:rPr>
        <w:t>图</w:t>
      </w:r>
      <w:r>
        <w:rPr>
          <w:rFonts w:hint="eastAsia"/>
          <w:b/>
          <w:bCs/>
          <w:color w:val="auto"/>
          <w:shd w:val="clear" w:color="FFFFFF" w:fill="D9D9D9"/>
          <w:lang w:val="en-US" w:eastAsia="zh-CN"/>
          <w:highlight w:val="none"/>
        </w:rPr>
        <w:t>11-1</w:t>
      </w:r>
      <w:r>
        <w:rPr>
          <w:b/>
          <w:bCs/>
          <w:color w:val="auto"/>
          <w:shd w:val="clear" w:color="FFFFFF" w:fill="D9D9D9"/>
          <w:lang w:val="en-US"/>
          <w:highlight w:val="none"/>
        </w:rPr>
        <w:t>　检查设备仪器示意图</w:t>
      </w:r>
    </w:p>
    <w:p>
      <w:pPr>
        <w:rPr>
          <w:color w:val="auto"/>
          <w:highlight w:val="none"/>
        </w:rPr>
      </w:pP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11.2.2　</w:t>
      </w:r>
      <w:r>
        <w:rPr>
          <w:rFonts w:cs="Times New Roman"/>
          <w:color w:val="auto"/>
          <w:highlight w:val="none"/>
        </w:rPr>
        <w:t>拉拔仪应符合下列规定：</w:t>
      </w:r>
    </w:p>
    <w:p>
      <w:pPr>
        <w:textAlignment w:val="auto"/>
        <w:rPr>
          <w:rFonts w:cs="Times New Roman"/>
          <w:color w:val="auto"/>
          <w:szCs w:val="24"/>
          <w:highlight w:val="none"/>
        </w:rPr>
      </w:pPr>
      <w:r>
        <w:rPr>
          <w:rFonts w:cs="Times New Roman"/>
          <w:b/>
          <w:bCs/>
          <w:color w:val="auto"/>
          <w:szCs w:val="32"/>
          <w:highlight w:val="none"/>
        </w:rPr>
        <w:t>1　</w:t>
      </w:r>
      <w:r>
        <w:rPr>
          <w:rFonts w:cs="Times New Roman"/>
          <w:color w:val="auto"/>
          <w:szCs w:val="24"/>
          <w:highlight w:val="none"/>
        </w:rPr>
        <w:t>拉拔仪量程不宜小于5kN，且不宜大于15kN，最小分辨率不应低于0.1kN；</w:t>
      </w:r>
    </w:p>
    <w:p>
      <w:pPr>
        <w:jc w:val="left"/>
        <w:textAlignment w:val="auto"/>
        <w:rPr>
          <w:rFonts w:cs="Times New Roman"/>
          <w:color w:val="auto"/>
          <w:szCs w:val="24"/>
          <w:highlight w:val="none"/>
        </w:rPr>
      </w:pPr>
      <w:r>
        <w:rPr>
          <w:rFonts w:cs="Times New Roman"/>
          <w:b/>
          <w:bCs/>
          <w:color w:val="auto"/>
          <w:szCs w:val="32"/>
          <w:highlight w:val="none"/>
        </w:rPr>
        <w:t>2　</w:t>
      </w:r>
      <w:r>
        <w:rPr>
          <w:rFonts w:cs="Times New Roman"/>
          <w:color w:val="auto"/>
          <w:szCs w:val="24"/>
          <w:highlight w:val="none"/>
        </w:rPr>
        <w:t>拉拔仪应在校准有效期内使用。</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11.2.3　</w:t>
      </w:r>
      <w:r>
        <w:rPr>
          <w:rFonts w:cs="Times New Roman"/>
          <w:color w:val="auto"/>
          <w:highlight w:val="none"/>
        </w:rPr>
        <w:t>钢丝及相关配件应符合下列规定：</w:t>
      </w:r>
    </w:p>
    <w:p>
      <w:pPr>
        <w:rPr>
          <w:rFonts w:cs="Times New Roman"/>
          <w:color w:val="auto"/>
          <w:highlight w:val="none"/>
        </w:rPr>
      </w:pPr>
      <w:r>
        <w:rPr>
          <w:rFonts w:cs="Times New Roman"/>
          <w:b/>
          <w:bCs/>
          <w:color w:val="auto"/>
          <w:szCs w:val="32"/>
          <w:highlight w:val="none"/>
        </w:rPr>
        <w:t>1　</w:t>
      </w:r>
      <w:r>
        <w:rPr>
          <w:rFonts w:cs="Times New Roman"/>
          <w:color w:val="auto"/>
          <w:highlight w:val="none"/>
        </w:rPr>
        <w:t>钢丝应采用光圆高强不锈钢钢丝，抗拉强度不应低于600MPa，直径应为5.0mm±0.1mm，钢丝应包括锚固段、隔离段和拉拔段；</w:t>
      </w:r>
    </w:p>
    <w:p>
      <w:pPr>
        <w:rPr>
          <w:rFonts w:cs="Times New Roman"/>
          <w:color w:val="auto"/>
          <w:highlight w:val="none"/>
        </w:rPr>
      </w:pPr>
      <w:r>
        <w:rPr>
          <w:rFonts w:cs="Times New Roman"/>
          <w:b/>
          <w:bCs/>
          <w:color w:val="auto"/>
          <w:szCs w:val="32"/>
          <w:highlight w:val="none"/>
        </w:rPr>
        <w:t>2　</w:t>
      </w:r>
      <w:r>
        <w:rPr>
          <w:rFonts w:cs="Times New Roman"/>
          <w:color w:val="auto"/>
          <w:highlight w:val="none"/>
        </w:rPr>
        <w:t>钢丝锚固段长度应为30.0mm±0.5mm；</w:t>
      </w:r>
    </w:p>
    <w:p>
      <w:pPr>
        <w:rPr>
          <w:rFonts w:cs="Times New Roman"/>
          <w:color w:val="auto"/>
          <w:highlight w:val="none"/>
        </w:rPr>
      </w:pPr>
      <w:r>
        <w:rPr>
          <w:rFonts w:cs="Times New Roman"/>
          <w:b/>
          <w:bCs/>
          <w:color w:val="auto"/>
          <w:szCs w:val="32"/>
          <w:highlight w:val="none"/>
        </w:rPr>
        <w:t>3　</w:t>
      </w:r>
      <w:r>
        <w:rPr>
          <w:rFonts w:cs="Times New Roman"/>
          <w:color w:val="auto"/>
          <w:highlight w:val="none"/>
        </w:rPr>
        <w:t>钢丝隔离段应与灌浆料浆体有效隔离；</w:t>
      </w:r>
    </w:p>
    <w:p>
      <w:pPr>
        <w:rPr>
          <w:rFonts w:cs="Times New Roman"/>
          <w:color w:val="auto"/>
          <w:highlight w:val="none"/>
        </w:rPr>
      </w:pPr>
      <w:r>
        <w:rPr>
          <w:rFonts w:cs="Times New Roman"/>
          <w:b/>
          <w:bCs/>
          <w:color w:val="auto"/>
          <w:szCs w:val="32"/>
          <w:highlight w:val="none"/>
        </w:rPr>
        <w:t>4　</w:t>
      </w:r>
      <w:r>
        <w:rPr>
          <w:rFonts w:cs="Times New Roman"/>
          <w:color w:val="auto"/>
          <w:highlight w:val="none"/>
        </w:rPr>
        <w:t>钢丝拉拔段长度应满足拉拔仪要求。</w:t>
      </w:r>
    </w:p>
    <w:p>
      <w:pPr>
        <w:pStyle w:val="19"/>
        <w:ind w:firstLineChars="0" w:firstLine="0"/>
        <w:rPr>
          <w:b/>
          <w:bCs/>
          <w:color w:val="auto"/>
          <w:shd w:val="clear" w:color="FFFFFF" w:fill="D9D9D9"/>
          <w:lang w:val="en-US"/>
          <w:highlight w:val="none"/>
        </w:rPr>
      </w:pPr>
      <w:r>
        <w:rPr>
          <w:rFonts w:eastAsia="仿宋" w:cs="Times New Roman" w:hint="eastAsia"/>
          <w:b/>
          <w:bCs/>
          <w:color w:val="auto"/>
          <w:shd w:val="pct10" w:color="auto" w:fill="FFFFFF"/>
          <w:lang w:val="en-US" w:eastAsia="zh-CN"/>
          <w:highlight w:val="none"/>
        </w:rPr>
        <w:t>条文说明</w:t>
      </w:r>
      <w:r>
        <w:rPr>
          <w:b/>
          <w:bCs/>
          <w:color w:val="auto"/>
          <w:shd w:val="clear" w:color="FFFFFF" w:fill="D9D9D9"/>
          <w:lang w:val="en-US"/>
          <w:highlight w:val="none"/>
        </w:rPr>
        <w:t>11.2.3　</w:t>
      </w:r>
      <w:r>
        <w:rPr>
          <w:color w:val="auto"/>
          <w:shd w:val="clear" w:color="FFFFFF" w:fill="D9D9D9"/>
          <w:lang w:val="en-US"/>
          <w:highlight w:val="none"/>
        </w:rPr>
        <w:t>专用的钢丝拉拔配件见图</w:t>
      </w:r>
      <w:r>
        <w:rPr>
          <w:rFonts w:hint="eastAsia"/>
          <w:color w:val="auto"/>
          <w:shd w:val="clear" w:color="FFFFFF" w:fill="D9D9D9"/>
          <w:lang w:val="en-US"/>
          <w:highlight w:val="none"/>
        </w:rPr>
        <w:t>10</w:t>
      </w:r>
      <w:r>
        <w:rPr>
          <w:color w:val="auto"/>
          <w:shd w:val="clear" w:color="FFFFFF" w:fill="D9D9D9"/>
          <w:lang w:val="en-US"/>
          <w:highlight w:val="none"/>
        </w:rPr>
        <w:t>。</w:t>
      </w:r>
    </w:p>
    <w:p>
      <w:pPr>
        <w:pStyle w:val="19"/>
        <w:ind w:firstLineChars="0" w:firstLine="0"/>
        <w:jc w:val="center"/>
        <w:rPr>
          <w:color w:val="auto"/>
          <w:lang w:val="en-US"/>
          <w:highlight w:val="none"/>
        </w:rPr>
      </w:pPr>
      <w:r>
        <w:rPr>
          <w:color w:val="auto"/>
          <w:highlight w:val="none"/>
        </w:rPr>
        <w:drawing>
          <wp:inline distT="0" distB="0" distL="0" distR="0">
            <wp:extent cx="1865630" cy="2483605"/>
            <wp:effectExtent l="0" t="0" r="0" b="0"/>
            <wp:docPr id="688168618" name="图片 1"/>
            <wp:cNvGraphicFramePr>
              <a:graphicFrameLocks noChangeAspect="1"/>
            </wp:cNvGraphicFramePr>
            <a:graphic>
              <a:graphicData uri="http://schemas.openxmlformats.org/drawingml/2006/picture">
                <pic:pic>
                  <pic:nvPicPr>
                    <pic:cNvPr id="92" name="图片 1 92"/>
                    <pic:cNvPicPr/>
                  </pic:nvPicPr>
                  <pic:blipFill>
                    <a:blip r:embed="rId72"/>
                    <a:stretch>
                      <a:fillRect/>
                    </a:stretch>
                  </pic:blipFill>
                  <pic:spPr>
                    <a:xfrm rot="0">
                      <a:off x="0" y="0"/>
                      <a:ext cx="1865630" cy="2483605"/>
                    </a:xfrm>
                    <a:prstGeom prst="rect"/>
                    <a:noFill/>
                    <a:ln cmpd="sng" cap="flat">
                      <a:noFill/>
                      <a:prstDash val="solid"/>
                      <a:round/>
                    </a:ln>
                  </pic:spPr>
                </pic:pic>
              </a:graphicData>
            </a:graphic>
          </wp:inline>
        </w:drawing>
      </w:r>
    </w:p>
    <w:p>
      <w:pPr>
        <w:pStyle w:val="16"/>
        <w:rPr>
          <w:rFonts w:cs="Times New Roman"/>
          <w:b w:val="0"/>
          <w:bCs/>
          <w:color w:val="auto"/>
          <w:shd w:val="clear" w:color="FFFFFF" w:fill="D9D9D9"/>
          <w:highlight w:val="none"/>
        </w:rPr>
      </w:pPr>
      <w:r>
        <w:rPr>
          <w:rFonts w:cs="Times New Roman"/>
          <w:b w:val="0"/>
          <w:bCs/>
          <w:color w:val="auto"/>
          <w:shd w:val="clear" w:color="FFFFFF" w:fill="D9D9D9"/>
          <w:highlight w:val="none"/>
        </w:rPr>
        <w:t>1</w:t>
      </w:r>
      <w:r>
        <w:rPr>
          <w:rFonts w:cs="Times New Roman" w:hint="eastAsia"/>
          <w:b w:val="0"/>
          <w:bCs/>
          <w:color w:val="auto"/>
          <w:shd w:val="clear" w:color="FFFFFF" w:fill="D9D9D9"/>
          <w:highlight w:val="none"/>
        </w:rPr>
        <w:t>—</w:t>
      </w:r>
      <w:r>
        <w:rPr>
          <w:rFonts w:cs="Times New Roman"/>
          <w:b w:val="0"/>
          <w:bCs/>
          <w:color w:val="auto"/>
          <w:shd w:val="clear" w:color="FFFFFF" w:fill="D9D9D9"/>
          <w:highlight w:val="none"/>
        </w:rPr>
        <w:t>预埋钢丝</w:t>
      </w:r>
      <w:r>
        <w:rPr>
          <w:rFonts w:cs="Times New Roman" w:hint="eastAsia"/>
          <w:b w:val="0"/>
          <w:bCs/>
          <w:color w:val="auto"/>
          <w:shd w:val="clear" w:color="FFFFFF" w:fill="D9D9D9"/>
          <w:highlight w:val="none"/>
        </w:rPr>
        <w:t>；2—</w:t>
      </w:r>
      <w:r>
        <w:rPr>
          <w:rFonts w:cs="Times New Roman"/>
          <w:b w:val="0"/>
          <w:bCs/>
          <w:color w:val="auto"/>
          <w:shd w:val="clear" w:color="FFFFFF" w:fill="D9D9D9"/>
          <w:highlight w:val="none"/>
        </w:rPr>
        <w:t>预埋钢丝夹持装置</w:t>
      </w:r>
    </w:p>
    <w:p>
      <w:pPr>
        <w:pStyle w:val="16"/>
        <w:rPr>
          <w:rFonts w:cs="Times New Roman"/>
          <w:color w:val="auto"/>
          <w:shd w:val="clear" w:color="FFFFFF" w:fill="D9D9D9"/>
          <w:highlight w:val="none"/>
        </w:rPr>
      </w:pPr>
      <w:r>
        <w:rPr>
          <w:rFonts w:cs="Times New Roman" w:hint="eastAsia"/>
          <w:color w:val="auto"/>
          <w:shd w:val="clear" w:color="FFFFFF" w:fill="D9D9D9"/>
          <w:lang w:val="en-US" w:eastAsia="zh-CN"/>
          <w:highlight w:val="none"/>
        </w:rPr>
        <w:t>11-2</w:t>
      </w:r>
      <w:r>
        <w:rPr>
          <w:rFonts w:cs="Times New Roman"/>
          <w:color w:val="auto"/>
          <w:shd w:val="clear" w:color="FFFFFF" w:fill="D9D9D9"/>
          <w:highlight w:val="none"/>
        </w:rPr>
        <w:t>　钢丝拉拔配件示意图</w:t>
      </w:r>
    </w:p>
    <w:p>
      <w:pPr>
        <w:rPr>
          <w:rFonts w:cs="Times New Roman"/>
          <w:color w:val="auto"/>
          <w:highlight w:val="none"/>
        </w:rPr>
      </w:pPr>
    </w:p>
    <w:p>
      <w:pPr>
        <w:pStyle w:val="2"/>
        <w:tabs>
          <w:tab w:val="left" w:pos="0"/>
        </w:tabs>
        <w:rPr>
          <w:rFonts w:ascii="Times New Roman" w:cs="Times New Roman" w:hAnsi="Times New Roman"/>
          <w:color w:val="auto"/>
          <w:highlight w:val="none"/>
        </w:rPr>
      </w:pPr>
      <w:bookmarkStart w:id="332" w:name="_Toc4583"/>
      <w:bookmarkStart w:id="333" w:name="_Toc28304"/>
      <w:bookmarkStart w:id="334" w:name="_Toc20591"/>
      <w:r>
        <w:rPr>
          <w:rFonts w:ascii="Times New Roman" w:cs="Times New Roman" w:hAnsi="Times New Roman"/>
          <w:color w:val="auto"/>
          <w:highlight w:val="none"/>
        </w:rPr>
        <w:t>11.3　检测</w:t>
      </w:r>
      <w:bookmarkEnd w:id="332"/>
      <w:bookmarkEnd w:id="333"/>
      <w:bookmarkEnd w:id="334"/>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11.3.1　</w:t>
      </w:r>
      <w:r>
        <w:rPr>
          <w:rFonts w:cs="Times New Roman"/>
          <w:color w:val="auto"/>
          <w:highlight w:val="none"/>
        </w:rPr>
        <w:t>采用预埋钢丝拉拔法检测套筒灌浆饱满度前的准备工作应</w:t>
      </w:r>
      <w:r>
        <w:rPr>
          <w:rFonts w:cs="Times New Roman" w:hint="eastAsia"/>
          <w:color w:val="auto"/>
          <w:highlight w:val="none"/>
        </w:rPr>
        <w:t>包括下列内容</w:t>
      </w:r>
      <w:r>
        <w:rPr>
          <w:rFonts w:cs="Times New Roman"/>
          <w:color w:val="auto"/>
          <w:highlight w:val="none"/>
        </w:rPr>
        <w:t>：</w:t>
      </w:r>
    </w:p>
    <w:p>
      <w:pPr>
        <w:rPr>
          <w:rFonts w:cs="Times New Roman"/>
          <w:color w:val="auto"/>
          <w:highlight w:val="none"/>
        </w:rPr>
      </w:pPr>
      <w:r>
        <w:rPr>
          <w:rFonts w:cs="Times New Roman"/>
          <w:b/>
          <w:bCs/>
          <w:color w:val="auto"/>
          <w:szCs w:val="32"/>
          <w:highlight w:val="none"/>
        </w:rPr>
        <w:t>1</w:t>
      </w:r>
      <w:r>
        <w:rPr>
          <w:rFonts w:cs="Times New Roman"/>
          <w:color w:val="auto"/>
          <w:highlight w:val="none"/>
        </w:rPr>
        <w:t>　</w:t>
      </w:r>
      <w:r>
        <w:rPr>
          <w:rFonts w:cs="Times New Roman" w:hint="eastAsia"/>
          <w:color w:val="auto"/>
          <w:highlight w:val="none"/>
        </w:rPr>
        <w:t>检查并确认</w:t>
      </w:r>
      <w:r>
        <w:rPr>
          <w:rFonts w:cs="Times New Roman"/>
          <w:color w:val="auto"/>
          <w:highlight w:val="none"/>
        </w:rPr>
        <w:t>检测设备正常；</w:t>
      </w:r>
    </w:p>
    <w:p>
      <w:pPr>
        <w:rPr>
          <w:rFonts w:cs="Times New Roman"/>
          <w:color w:val="auto"/>
          <w:highlight w:val="none"/>
        </w:rPr>
      </w:pPr>
      <w:r>
        <w:rPr>
          <w:rFonts w:cs="Times New Roman"/>
          <w:b/>
          <w:bCs/>
          <w:color w:val="auto"/>
          <w:szCs w:val="32"/>
          <w:highlight w:val="none"/>
        </w:rPr>
        <w:t>2</w:t>
      </w:r>
      <w:r>
        <w:rPr>
          <w:rFonts w:cs="Times New Roman"/>
          <w:color w:val="auto"/>
          <w:highlight w:val="none"/>
        </w:rPr>
        <w:t>　记录工程名称、套筒所在构件编号、套筒具体位置、检测人员信息等，经检测后需补灌浆的结构构件部位应有补浆前后的检测结果。</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11.3.2　</w:t>
      </w:r>
      <w:r>
        <w:rPr>
          <w:rFonts w:cs="Times New Roman"/>
          <w:color w:val="auto"/>
          <w:highlight w:val="none"/>
        </w:rPr>
        <w:t>采用预埋钢丝拉拔法检测套筒灌浆饱满度时应符合下列规定：</w:t>
      </w:r>
    </w:p>
    <w:p>
      <w:pPr>
        <w:rPr>
          <w:rFonts w:cs="Times New Roman"/>
          <w:color w:val="auto"/>
          <w:highlight w:val="none"/>
        </w:rPr>
      </w:pPr>
      <w:r>
        <w:rPr>
          <w:rFonts w:cs="Times New Roman"/>
          <w:b/>
          <w:bCs/>
          <w:color w:val="auto"/>
          <w:szCs w:val="32"/>
          <w:highlight w:val="none"/>
        </w:rPr>
        <w:t>1　</w:t>
      </w:r>
      <w:r>
        <w:rPr>
          <w:rFonts w:cs="Times New Roman"/>
          <w:color w:val="auto"/>
          <w:highlight w:val="none"/>
        </w:rPr>
        <w:t>应根据预制构件表面的出浆口到套筒内靠近出浆孔一侧的钢筋表面的垂直距离，以及钢丝锚固段的长度，确定钢丝隔离段的长度和位置；</w:t>
      </w:r>
    </w:p>
    <w:p>
      <w:pPr>
        <w:rPr>
          <w:rFonts w:cs="Times New Roman"/>
          <w:color w:val="auto"/>
          <w:highlight w:val="none"/>
        </w:rPr>
      </w:pPr>
      <w:r>
        <w:rPr>
          <w:rFonts w:cs="Times New Roman"/>
          <w:b/>
          <w:bCs/>
          <w:color w:val="auto"/>
          <w:szCs w:val="32"/>
          <w:highlight w:val="none"/>
        </w:rPr>
        <w:t>2　</w:t>
      </w:r>
      <w:r>
        <w:rPr>
          <w:rFonts w:cs="Times New Roman"/>
          <w:color w:val="auto"/>
          <w:highlight w:val="none"/>
        </w:rPr>
        <w:t>将钢丝配件沿套筒出浆孔插入并固定，应确保钢丝锚固长度符合要求；</w:t>
      </w:r>
    </w:p>
    <w:p>
      <w:pPr>
        <w:rPr>
          <w:rFonts w:cs="Times New Roman"/>
          <w:color w:val="auto"/>
          <w:highlight w:val="none"/>
        </w:rPr>
      </w:pPr>
      <w:r>
        <w:rPr>
          <w:rFonts w:cs="Times New Roman"/>
          <w:b/>
          <w:bCs/>
          <w:color w:val="auto"/>
          <w:szCs w:val="32"/>
          <w:highlight w:val="none"/>
        </w:rPr>
        <w:t>3　</w:t>
      </w:r>
      <w:r>
        <w:rPr>
          <w:rFonts w:cs="Times New Roman"/>
          <w:color w:val="auto"/>
          <w:highlight w:val="none"/>
        </w:rPr>
        <w:t>灌浆结束时应检查钢丝锚固长度和处于水平状态的情况；</w:t>
      </w:r>
    </w:p>
    <w:p>
      <w:pPr>
        <w:rPr>
          <w:rFonts w:cs="Times New Roman"/>
          <w:color w:val="auto"/>
          <w:highlight w:val="none"/>
        </w:rPr>
      </w:pPr>
      <w:r>
        <w:rPr>
          <w:rFonts w:cs="Times New Roman"/>
          <w:b/>
          <w:bCs/>
          <w:color w:val="auto"/>
          <w:szCs w:val="32"/>
          <w:highlight w:val="none"/>
        </w:rPr>
        <w:t>4　</w:t>
      </w:r>
      <w:r>
        <w:rPr>
          <w:rFonts w:cs="Times New Roman"/>
          <w:color w:val="auto"/>
          <w:highlight w:val="none"/>
        </w:rPr>
        <w:t>灌浆结束后预埋钢丝的灌浆节点</w:t>
      </w:r>
      <w:r>
        <w:rPr>
          <w:rFonts w:cs="Times New Roman" w:hint="eastAsia"/>
          <w:color w:val="auto"/>
          <w:highlight w:val="none"/>
        </w:rPr>
        <w:t>应</w:t>
      </w:r>
      <w:r>
        <w:rPr>
          <w:rFonts w:cs="Times New Roman"/>
          <w:color w:val="auto"/>
          <w:highlight w:val="none"/>
        </w:rPr>
        <w:t>采用自然养护方式进行，养护期间应做好钢丝的现场防护工作；</w:t>
      </w:r>
    </w:p>
    <w:p>
      <w:pPr>
        <w:rPr>
          <w:rFonts w:cs="Times New Roman"/>
          <w:color w:val="auto"/>
          <w:highlight w:val="none"/>
        </w:rPr>
      </w:pPr>
      <w:r>
        <w:rPr>
          <w:rFonts w:cs="Times New Roman"/>
          <w:b/>
          <w:bCs/>
          <w:color w:val="auto"/>
          <w:szCs w:val="32"/>
          <w:highlight w:val="none"/>
        </w:rPr>
        <w:t>5　</w:t>
      </w:r>
      <w:r>
        <w:rPr>
          <w:rFonts w:cs="Times New Roman"/>
          <w:color w:val="auto"/>
          <w:highlight w:val="none"/>
        </w:rPr>
        <w:t>灌浆构件</w:t>
      </w:r>
      <w:r>
        <w:rPr>
          <w:rFonts w:cs="Times New Roman" w:hint="eastAsia"/>
          <w:color w:val="auto"/>
          <w:highlight w:val="none"/>
        </w:rPr>
        <w:t>应</w:t>
      </w:r>
      <w:r>
        <w:rPr>
          <w:rFonts w:cs="Times New Roman"/>
          <w:color w:val="auto"/>
          <w:highlight w:val="none"/>
        </w:rPr>
        <w:t>养护3d且不低于60℃</w:t>
      </w:r>
      <w:r>
        <w:rPr>
          <w:rFonts w:ascii="Cambria Math" w:cs="Cambria Math" w:hAnsi="Cambria Math"/>
          <w:color w:val="auto"/>
          <w:highlight w:val="none"/>
        </w:rPr>
        <w:t>⋅</w:t>
      </w:r>
      <w:r>
        <w:rPr>
          <w:rFonts w:cs="Times New Roman"/>
          <w:color w:val="auto"/>
          <w:highlight w:val="none"/>
        </w:rPr>
        <w:t>d后</w:t>
      </w:r>
      <w:r>
        <w:rPr>
          <w:rFonts w:cs="Times New Roman" w:hint="eastAsia"/>
          <w:color w:val="auto"/>
          <w:highlight w:val="none"/>
        </w:rPr>
        <w:t>开始</w:t>
      </w:r>
      <w:r>
        <w:rPr>
          <w:rFonts w:cs="Times New Roman"/>
          <w:color w:val="auto"/>
          <w:highlight w:val="none"/>
        </w:rPr>
        <w:t>检测；</w:t>
      </w:r>
    </w:p>
    <w:p>
      <w:pPr>
        <w:rPr>
          <w:rFonts w:cs="Times New Roman"/>
          <w:color w:val="auto"/>
          <w:highlight w:val="none"/>
        </w:rPr>
      </w:pPr>
      <w:r>
        <w:rPr>
          <w:rFonts w:cs="Times New Roman"/>
          <w:b/>
          <w:bCs/>
          <w:color w:val="auto"/>
          <w:szCs w:val="32"/>
          <w:highlight w:val="none"/>
        </w:rPr>
        <w:t>6　</w:t>
      </w:r>
      <w:r>
        <w:rPr>
          <w:rFonts w:cs="Times New Roman"/>
          <w:color w:val="auto"/>
          <w:highlight w:val="none"/>
        </w:rPr>
        <w:t>拉拔时，拉拔仪应与预埋钢丝对中连接，加载方向应与钢丝轴线方向重合，加载速度应控制在0.15kN/s~0.50kN/s，应连续均匀施加荷载直至钢丝被完全拔出，并记录极限拉拔荷载值，精确至0.1kN。</w:t>
      </w:r>
    </w:p>
    <w:p>
      <w:pPr>
        <w:pStyle w:val="19"/>
        <w:ind w:firstLineChars="0" w:firstLine="0"/>
        <w:rPr>
          <w:color w:val="auto"/>
          <w:highlight w:val="none"/>
        </w:rPr>
      </w:pPr>
      <w:r>
        <w:rPr>
          <w:rFonts w:eastAsia="仿宋" w:cs="Times New Roman" w:hint="eastAsia"/>
          <w:b/>
          <w:bCs/>
          <w:color w:val="auto"/>
          <w:shd w:val="pct10" w:color="auto" w:fill="FFFFFF"/>
          <w:lang w:val="en-US" w:eastAsia="zh-CN"/>
          <w:highlight w:val="none"/>
        </w:rPr>
        <w:t>条文说明</w:t>
      </w:r>
      <w:r>
        <w:rPr>
          <w:b/>
          <w:bCs/>
          <w:color w:val="auto"/>
          <w:shd w:val="clear" w:color="FFFFFF" w:fill="D9D9D9"/>
          <w:lang w:val="en-US"/>
          <w:highlight w:val="none"/>
        </w:rPr>
        <w:t>11.3.2　</w:t>
      </w:r>
      <w:r>
        <w:rPr>
          <w:color w:val="auto"/>
          <w:shd w:val="clear" w:color="FFFFFF" w:fill="D9D9D9"/>
          <w:highlight w:val="none"/>
        </w:rPr>
        <w:t>灌浆结束后预埋钢丝的灌浆节点采用自然养护方式进行，养护期间应做好现场防护工作，确保钢丝不被损坏。</w:t>
      </w:r>
    </w:p>
    <w:p>
      <w:pPr>
        <w:rPr>
          <w:rFonts w:cs="Times New Roman"/>
          <w:color w:val="auto"/>
          <w:highlight w:val="none"/>
        </w:rPr>
      </w:pP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11.3.3　</w:t>
      </w:r>
      <w:r>
        <w:rPr>
          <w:rFonts w:cs="Times New Roman"/>
          <w:color w:val="auto"/>
          <w:highlight w:val="none"/>
        </w:rPr>
        <w:t>预埋钢丝拉拔法，单个连接抽检的套筒数量不少于</w:t>
      </w:r>
      <w:r>
        <w:rPr>
          <w:rFonts w:cs="Times New Roman" w:hint="eastAsia"/>
          <w:color w:val="auto"/>
          <w:highlight w:val="none"/>
        </w:rPr>
        <w:t>被测</w:t>
      </w:r>
      <w:r>
        <w:rPr>
          <w:rFonts w:cs="Times New Roman"/>
          <w:color w:val="auto"/>
          <w:highlight w:val="none"/>
        </w:rPr>
        <w:t>连接部位套筒数量的5%，且不少于3个，抽样应具有代表性。</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11.3.4　</w:t>
      </w:r>
      <w:r>
        <w:rPr>
          <w:rFonts w:cs="Times New Roman"/>
          <w:color w:val="auto"/>
          <w:highlight w:val="none"/>
        </w:rPr>
        <w:t>预埋钢丝拉拔法的检测应按本标准附录H记录。</w:t>
      </w:r>
    </w:p>
    <w:p>
      <w:pPr>
        <w:pStyle w:val="2"/>
        <w:tabs>
          <w:tab w:val="left" w:pos="0"/>
        </w:tabs>
        <w:rPr>
          <w:rFonts w:ascii="Times New Roman" w:cs="Times New Roman" w:hAnsi="Times New Roman"/>
          <w:color w:val="auto"/>
          <w:highlight w:val="none"/>
        </w:rPr>
      </w:pPr>
      <w:bookmarkStart w:id="335" w:name="_Toc10764"/>
      <w:bookmarkStart w:id="336" w:name="_Toc3349"/>
      <w:bookmarkStart w:id="337" w:name="_Toc3321"/>
      <w:r>
        <w:rPr>
          <w:rFonts w:ascii="Times New Roman" w:cs="Times New Roman" w:hAnsi="Times New Roman"/>
          <w:color w:val="auto"/>
          <w:highlight w:val="none"/>
        </w:rPr>
        <w:t>11.4　评定</w:t>
      </w:r>
      <w:bookmarkEnd w:id="335"/>
      <w:bookmarkEnd w:id="336"/>
      <w:bookmarkEnd w:id="337"/>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11.4.1　</w:t>
      </w:r>
      <w:r>
        <w:rPr>
          <w:rFonts w:cs="Times New Roman"/>
          <w:color w:val="auto"/>
          <w:highlight w:val="none"/>
        </w:rPr>
        <w:t>预埋钢丝拉拔法的评定值</w:t>
      </w:r>
      <w:r>
        <w:rPr>
          <w:rFonts w:cs="Times New Roman" w:hint="eastAsia"/>
          <w:color w:val="auto"/>
          <w:highlight w:val="none"/>
        </w:rPr>
        <w:t>应</w:t>
      </w:r>
      <w:r>
        <w:rPr>
          <w:rFonts w:cs="Times New Roman"/>
          <w:color w:val="auto"/>
          <w:highlight w:val="none"/>
        </w:rPr>
        <w:t>取同一批测点极限拉拔荷载值中3个最大值的平均值，</w:t>
      </w:r>
      <w:r>
        <w:rPr>
          <w:rFonts w:cs="Times New Roman" w:hint="eastAsia"/>
          <w:color w:val="auto"/>
          <w:highlight w:val="none"/>
        </w:rPr>
        <w:t>并将</w:t>
      </w:r>
      <w:r>
        <w:rPr>
          <w:rFonts w:cs="Times New Roman"/>
          <w:color w:val="auto"/>
          <w:highlight w:val="none"/>
        </w:rPr>
        <w:t>此平均值的60%记为a，此平均值的40%记为b。</w:t>
      </w:r>
    </w:p>
    <w:p>
      <w:pPr>
        <w:pStyle w:val="3"/>
        <w:tabs>
          <w:tab w:val="left" w:pos="0"/>
          <w:tab w:val="left" w:pos="567"/>
          <w:tab w:val="left" w:pos="709"/>
          <w:tab w:val="left" w:pos="1560"/>
        </w:tabs>
        <w:rPr>
          <w:rFonts w:cs="Times New Roman"/>
          <w:color w:val="auto"/>
          <w:highlight w:val="none"/>
        </w:rPr>
      </w:pPr>
      <w:r>
        <w:rPr>
          <w:rFonts w:cs="Times New Roman"/>
          <w:b/>
          <w:color w:val="auto"/>
          <w:szCs w:val="24"/>
          <w:highlight w:val="none"/>
        </w:rPr>
        <w:t>11.4.2　</w:t>
      </w:r>
      <w:r>
        <w:rPr>
          <w:rFonts w:cs="Times New Roman"/>
          <w:color w:val="auto"/>
          <w:szCs w:val="24"/>
          <w:highlight w:val="none"/>
        </w:rPr>
        <w:t>采用预埋钢丝拉拔法检测的评定准则应</w:t>
      </w:r>
      <w:r>
        <w:rPr>
          <w:rFonts w:cs="Times New Roman" w:hint="eastAsia"/>
          <w:color w:val="auto"/>
          <w:szCs w:val="24"/>
          <w:highlight w:val="none"/>
        </w:rPr>
        <w:t>符合表11.4.2的规定。</w:t>
      </w:r>
    </w:p>
    <w:p>
      <w:pPr>
        <w:snapToGrid w:val="0"/>
        <w:spacing w:beforeLines="50" w:before="156" w:line="300" w:lineRule="auto"/>
        <w:ind w:firstLineChars="0" w:firstLine="0"/>
        <w:jc w:val="center"/>
        <w:rPr>
          <w:rStyle w:val="125"/>
          <w:rFonts w:cs="Times New Roman"/>
          <w:color w:val="auto"/>
          <w:highlight w:val="none"/>
        </w:rPr>
      </w:pPr>
      <w:r>
        <w:rPr>
          <w:rStyle w:val="125"/>
          <w:rFonts w:cs="Times New Roman"/>
          <w:color w:val="auto"/>
          <w:highlight w:val="none"/>
        </w:rPr>
        <w:t>表11.4.2　套筒灌浆饱满度等级评定标准</w:t>
      </w:r>
    </w:p>
    <w:tbl>
      <w:tblPr>
        <w:jc w:val="left"/>
        <w:tblInd w:w="0" w:type="dxa"/>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600" w:firstRow="0" w:lastRow="0" w:firstColumn="0" w:lastColumn="0" w:noHBand="1" w:noVBand="1"/>
      </w:tblPr>
      <w:tblGrid>
        <w:gridCol w:w="2411"/>
        <w:gridCol w:w="2959"/>
        <w:gridCol w:w="3665"/>
      </w:tblGrid>
      <w:tr>
        <w:tc>
          <w:tcPr>
            <w:tcW w:w="1334" w:type="pct"/>
            <w:tcBorders>
              <w:top w:val="single" w:sz="12" w:space="0" w:color="auto"/>
              <w:left w:val="single" w:sz="12" w:space="0" w:color="auto"/>
              <w:bottom w:val="single" w:sz="4" w:space="0" w:color="auto"/>
              <w:right w:val="single" w:sz="4" w:space="0" w:color="auto"/>
            </w:tcBorders>
            <w:vAlign w:val="center"/>
          </w:tcPr>
          <w:p>
            <w:pPr>
              <w:pStyle w:val="38"/>
              <w:ind w:firstLineChars="0" w:firstLine="0"/>
              <w:jc w:val="center"/>
              <w:rPr>
                <w:rFonts w:cs="Times New Roman"/>
                <w:b/>
                <w:bCs/>
                <w:color w:val="auto"/>
                <w:sz w:val="21"/>
                <w:szCs w:val="21"/>
                <w:highlight w:val="none"/>
              </w:rPr>
            </w:pPr>
            <w:r>
              <w:rPr>
                <w:rFonts w:cs="Times New Roman"/>
                <w:b/>
                <w:bCs/>
                <w:color w:val="auto"/>
                <w:sz w:val="21"/>
                <w:szCs w:val="21"/>
                <w:highlight w:val="none"/>
              </w:rPr>
              <w:t>极限拉拔荷载值/kN</w:t>
            </w:r>
          </w:p>
        </w:tc>
        <w:tc>
          <w:tcPr>
            <w:tcW w:w="1637" w:type="pct"/>
            <w:tcBorders>
              <w:top w:val="single" w:sz="12" w:space="0" w:color="auto"/>
              <w:left w:val="single" w:sz="4" w:space="0" w:color="auto"/>
              <w:bottom w:val="single" w:sz="4" w:space="0" w:color="auto"/>
              <w:right w:val="single" w:sz="4" w:space="0" w:color="auto"/>
            </w:tcBorders>
            <w:vAlign w:val="center"/>
          </w:tcPr>
          <w:p>
            <w:pPr>
              <w:pStyle w:val="38"/>
              <w:ind w:firstLineChars="0" w:firstLine="0"/>
              <w:jc w:val="center"/>
              <w:rPr>
                <w:rFonts w:cs="Times New Roman"/>
                <w:b/>
                <w:bCs/>
                <w:color w:val="auto"/>
                <w:sz w:val="21"/>
                <w:szCs w:val="21"/>
                <w:highlight w:val="none"/>
              </w:rPr>
            </w:pPr>
            <w:r>
              <w:rPr>
                <w:rFonts w:cs="Times New Roman"/>
                <w:b/>
                <w:bCs/>
                <w:color w:val="auto"/>
                <w:sz w:val="21"/>
                <w:szCs w:val="21"/>
                <w:highlight w:val="none"/>
              </w:rPr>
              <w:t>饱满度描述</w:t>
            </w:r>
          </w:p>
        </w:tc>
        <w:tc>
          <w:tcPr>
            <w:tcW w:w="2028" w:type="pct"/>
            <w:tcBorders>
              <w:top w:val="single" w:sz="12" w:space="0" w:color="auto"/>
              <w:left w:val="single" w:sz="4" w:space="0" w:color="auto"/>
              <w:bottom w:val="single" w:sz="4" w:space="0" w:color="auto"/>
              <w:right w:val="single" w:sz="12" w:space="0" w:color="auto"/>
            </w:tcBorders>
            <w:vAlign w:val="center"/>
          </w:tcPr>
          <w:p>
            <w:pPr>
              <w:pStyle w:val="38"/>
              <w:ind w:firstLineChars="0" w:firstLine="0"/>
              <w:jc w:val="center"/>
              <w:rPr>
                <w:rFonts w:cs="Times New Roman"/>
                <w:b/>
                <w:bCs/>
                <w:color w:val="auto"/>
                <w:sz w:val="21"/>
                <w:szCs w:val="21"/>
                <w:highlight w:val="none"/>
              </w:rPr>
            </w:pPr>
            <w:r>
              <w:rPr>
                <w:rFonts w:cs="Times New Roman"/>
                <w:b/>
                <w:bCs/>
                <w:color w:val="auto"/>
                <w:sz w:val="21"/>
                <w:szCs w:val="21"/>
                <w:highlight w:val="none"/>
              </w:rPr>
              <w:t>备注</w:t>
            </w:r>
          </w:p>
        </w:tc>
      </w:tr>
      <w:tr>
        <w:tc>
          <w:tcPr>
            <w:tcW w:w="1334" w:type="pct"/>
            <w:tcBorders>
              <w:top w:val="single" w:sz="4" w:space="0" w:color="auto"/>
              <w:left w:val="single" w:sz="12" w:space="0" w:color="auto"/>
              <w:bottom w:val="single" w:sz="4" w:space="0" w:color="auto"/>
              <w:right w:val="single" w:sz="4" w:space="0" w:color="auto"/>
            </w:tcBorders>
            <w:vAlign w:val="center"/>
          </w:tcPr>
          <w:p>
            <w:pPr>
              <w:pStyle w:val="38"/>
              <w:ind w:firstLineChars="0" w:firstLine="0"/>
              <w:jc w:val="center"/>
              <w:rPr>
                <w:rFonts w:cs="Times New Roman"/>
                <w:color w:val="auto"/>
                <w:sz w:val="21"/>
                <w:szCs w:val="21"/>
                <w:highlight w:val="none"/>
              </w:rPr>
            </w:pPr>
            <w:r>
              <w:rPr>
                <w:rFonts w:cs="Times New Roman"/>
                <w:color w:val="auto"/>
                <w:sz w:val="21"/>
                <w:szCs w:val="21"/>
                <w:highlight w:val="none"/>
              </w:rPr>
              <w:t>＞a且≥1.5</w:t>
            </w:r>
          </w:p>
        </w:tc>
        <w:tc>
          <w:tcPr>
            <w:tcW w:w="1637" w:type="pct"/>
            <w:tcBorders>
              <w:top w:val="single" w:sz="4" w:space="0" w:color="auto"/>
              <w:left w:val="single" w:sz="4" w:space="0" w:color="auto"/>
              <w:bottom w:val="single" w:sz="4" w:space="0" w:color="auto"/>
              <w:right w:val="single" w:sz="4" w:space="0" w:color="auto"/>
            </w:tcBorders>
            <w:vAlign w:val="center"/>
          </w:tcPr>
          <w:p>
            <w:pPr>
              <w:pStyle w:val="38"/>
              <w:ind w:firstLineChars="0" w:firstLine="0"/>
              <w:jc w:val="center"/>
              <w:rPr>
                <w:rFonts w:cs="Times New Roman"/>
                <w:color w:val="auto"/>
                <w:sz w:val="21"/>
                <w:szCs w:val="21"/>
                <w:highlight w:val="none"/>
              </w:rPr>
            </w:pPr>
            <w:r>
              <w:rPr>
                <w:rFonts w:cs="Times New Roman"/>
                <w:color w:val="auto"/>
                <w:sz w:val="21"/>
                <w:szCs w:val="21"/>
                <w:highlight w:val="none"/>
              </w:rPr>
              <w:t>灌浆饱满</w:t>
            </w:r>
          </w:p>
        </w:tc>
        <w:tc>
          <w:tcPr>
            <w:tcW w:w="2028" w:type="pct"/>
            <w:tcBorders>
              <w:top w:val="single" w:sz="4" w:space="0" w:color="auto"/>
              <w:left w:val="single" w:sz="4" w:space="0" w:color="auto"/>
              <w:bottom w:val="single" w:sz="4" w:space="0" w:color="auto"/>
              <w:right w:val="single" w:sz="12" w:space="0" w:color="auto"/>
            </w:tcBorders>
            <w:vAlign w:val="center"/>
          </w:tcPr>
          <w:p>
            <w:pPr>
              <w:pStyle w:val="38"/>
              <w:ind w:firstLineChars="0" w:firstLine="0"/>
              <w:jc w:val="center"/>
              <w:rPr>
                <w:rFonts w:cs="Times New Roman"/>
                <w:color w:val="auto"/>
                <w:sz w:val="21"/>
                <w:szCs w:val="21"/>
                <w:highlight w:val="none"/>
              </w:rPr>
            </w:pPr>
            <w:r>
              <w:rPr>
                <w:rFonts w:cs="Times New Roman"/>
                <w:color w:val="auto"/>
                <w:sz w:val="21"/>
                <w:szCs w:val="21"/>
                <w:highlight w:val="none"/>
              </w:rPr>
              <w:t>合格</w:t>
            </w:r>
          </w:p>
        </w:tc>
      </w:tr>
      <w:tr>
        <w:tc>
          <w:tcPr>
            <w:tcW w:w="1334" w:type="pct"/>
            <w:tcBorders>
              <w:top w:val="single" w:sz="4" w:space="0" w:color="auto"/>
              <w:left w:val="single" w:sz="12" w:space="0" w:color="auto"/>
              <w:bottom w:val="single" w:sz="4" w:space="0" w:color="auto"/>
              <w:right w:val="single" w:sz="4" w:space="0" w:color="auto"/>
            </w:tcBorders>
            <w:vAlign w:val="center"/>
          </w:tcPr>
          <w:p>
            <w:pPr>
              <w:pStyle w:val="38"/>
              <w:ind w:firstLineChars="0" w:firstLine="0"/>
              <w:jc w:val="center"/>
              <w:rPr>
                <w:rFonts w:cs="Times New Roman"/>
                <w:color w:val="auto"/>
                <w:sz w:val="21"/>
                <w:szCs w:val="21"/>
                <w:highlight w:val="none"/>
              </w:rPr>
            </w:pPr>
            <w:r>
              <w:rPr>
                <w:rFonts w:cs="Times New Roman"/>
                <w:color w:val="auto"/>
                <w:sz w:val="21"/>
                <w:szCs w:val="21"/>
                <w:highlight w:val="none"/>
              </w:rPr>
              <w:t>＜b或＜1.0</w:t>
            </w:r>
          </w:p>
        </w:tc>
        <w:tc>
          <w:tcPr>
            <w:tcW w:w="1637" w:type="pct"/>
            <w:tcBorders>
              <w:top w:val="single" w:sz="4" w:space="0" w:color="auto"/>
              <w:left w:val="single" w:sz="4" w:space="0" w:color="auto"/>
              <w:bottom w:val="single" w:sz="4" w:space="0" w:color="auto"/>
              <w:right w:val="single" w:sz="4" w:space="0" w:color="auto"/>
            </w:tcBorders>
            <w:vAlign w:val="center"/>
          </w:tcPr>
          <w:p>
            <w:pPr>
              <w:pStyle w:val="38"/>
              <w:ind w:firstLineChars="0" w:firstLine="0"/>
              <w:jc w:val="center"/>
              <w:rPr>
                <w:rFonts w:cs="Times New Roman"/>
                <w:color w:val="auto"/>
                <w:sz w:val="21"/>
                <w:szCs w:val="21"/>
                <w:highlight w:val="none"/>
              </w:rPr>
            </w:pPr>
            <w:r>
              <w:rPr>
                <w:rFonts w:cs="Times New Roman"/>
                <w:color w:val="auto"/>
                <w:sz w:val="21"/>
                <w:szCs w:val="21"/>
                <w:highlight w:val="none"/>
              </w:rPr>
              <w:t>灌浆不饱满</w:t>
            </w:r>
          </w:p>
        </w:tc>
        <w:tc>
          <w:tcPr>
            <w:tcW w:w="2028" w:type="pct"/>
            <w:tcBorders>
              <w:top w:val="single" w:sz="4" w:space="0" w:color="auto"/>
              <w:left w:val="single" w:sz="4" w:space="0" w:color="auto"/>
              <w:bottom w:val="single" w:sz="4" w:space="0" w:color="auto"/>
              <w:right w:val="single" w:sz="12" w:space="0" w:color="auto"/>
            </w:tcBorders>
            <w:vAlign w:val="center"/>
          </w:tcPr>
          <w:p>
            <w:pPr>
              <w:pStyle w:val="38"/>
              <w:ind w:firstLineChars="0" w:firstLine="0"/>
              <w:jc w:val="center"/>
              <w:rPr>
                <w:rFonts w:cs="Times New Roman"/>
                <w:color w:val="auto"/>
                <w:sz w:val="21"/>
                <w:szCs w:val="21"/>
                <w:highlight w:val="none"/>
              </w:rPr>
            </w:pPr>
            <w:r>
              <w:rPr>
                <w:rFonts w:cs="Times New Roman"/>
                <w:color w:val="auto"/>
                <w:sz w:val="21"/>
                <w:szCs w:val="21"/>
                <w:highlight w:val="none"/>
              </w:rPr>
              <w:t>不合格</w:t>
            </w:r>
          </w:p>
        </w:tc>
      </w:tr>
      <w:tr>
        <w:tc>
          <w:tcPr>
            <w:tcW w:w="1334" w:type="pct"/>
            <w:tcBorders>
              <w:top w:val="single" w:sz="4" w:space="0" w:color="auto"/>
              <w:left w:val="single" w:sz="12" w:space="0" w:color="auto"/>
              <w:bottom w:val="single" w:sz="12" w:space="0" w:color="auto"/>
              <w:right w:val="single" w:sz="4" w:space="0" w:color="auto"/>
            </w:tcBorders>
            <w:vAlign w:val="center"/>
          </w:tcPr>
          <w:p>
            <w:pPr>
              <w:pStyle w:val="38"/>
              <w:ind w:firstLineChars="0" w:firstLine="0"/>
              <w:jc w:val="center"/>
              <w:rPr>
                <w:rFonts w:cs="Times New Roman"/>
                <w:color w:val="auto"/>
                <w:sz w:val="21"/>
                <w:szCs w:val="21"/>
                <w:highlight w:val="none"/>
              </w:rPr>
            </w:pPr>
            <w:r>
              <w:rPr>
                <w:rFonts w:cs="Times New Roman"/>
                <w:color w:val="auto"/>
                <w:sz w:val="21"/>
                <w:szCs w:val="21"/>
                <w:highlight w:val="none"/>
              </w:rPr>
              <w:t>介于a和b之间</w:t>
            </w:r>
          </w:p>
        </w:tc>
        <w:tc>
          <w:tcPr>
            <w:tcW w:w="1637" w:type="pct"/>
            <w:tcBorders>
              <w:top w:val="single" w:sz="4" w:space="0" w:color="auto"/>
              <w:left w:val="single" w:sz="4" w:space="0" w:color="auto"/>
              <w:bottom w:val="single" w:sz="12" w:space="0" w:color="auto"/>
              <w:right w:val="single" w:sz="4" w:space="0" w:color="auto"/>
            </w:tcBorders>
            <w:vAlign w:val="center"/>
          </w:tcPr>
          <w:p>
            <w:pPr>
              <w:pStyle w:val="38"/>
              <w:ind w:firstLineChars="0" w:firstLine="0"/>
              <w:jc w:val="center"/>
              <w:rPr>
                <w:rFonts w:cs="Times New Roman"/>
                <w:color w:val="auto"/>
                <w:sz w:val="21"/>
                <w:szCs w:val="21"/>
                <w:highlight w:val="none"/>
              </w:rPr>
            </w:pPr>
            <w:r>
              <w:rPr>
                <w:rFonts w:cs="Times New Roman"/>
                <w:color w:val="auto"/>
                <w:sz w:val="21"/>
                <w:szCs w:val="21"/>
                <w:highlight w:val="none"/>
              </w:rPr>
              <w:t>根据进一步校核结果判断</w:t>
            </w:r>
          </w:p>
        </w:tc>
        <w:tc>
          <w:tcPr>
            <w:tcW w:w="2028" w:type="pct"/>
            <w:tcBorders>
              <w:top w:val="single" w:sz="4" w:space="0" w:color="auto"/>
              <w:left w:val="single" w:sz="4" w:space="0" w:color="auto"/>
              <w:bottom w:val="single" w:sz="12" w:space="0" w:color="auto"/>
              <w:right w:val="single" w:sz="12" w:space="0" w:color="auto"/>
            </w:tcBorders>
            <w:vAlign w:val="center"/>
          </w:tcPr>
          <w:p>
            <w:pPr>
              <w:pStyle w:val="38"/>
              <w:ind w:firstLineChars="0" w:firstLine="0"/>
              <w:jc w:val="center"/>
              <w:rPr>
                <w:rFonts w:cs="Times New Roman"/>
                <w:color w:val="auto"/>
                <w:sz w:val="21"/>
                <w:szCs w:val="21"/>
                <w:highlight w:val="none"/>
              </w:rPr>
            </w:pPr>
            <w:r>
              <w:rPr>
                <w:rFonts w:cs="Times New Roman"/>
                <w:color w:val="auto"/>
                <w:sz w:val="21"/>
                <w:szCs w:val="21"/>
                <w:highlight w:val="none"/>
              </w:rPr>
              <w:t>进一步结合内窥镜校核结果进行判定</w:t>
            </w:r>
          </w:p>
        </w:tc>
      </w:tr>
    </w:tbl>
    <w:p>
      <w:pPr>
        <w:widowControl/>
        <w:spacing w:line="240" w:lineRule="auto"/>
        <w:ind w:firstLineChars="0" w:firstLine="0"/>
        <w:jc w:val="left"/>
        <w:textAlignment w:val="auto"/>
        <w:rPr>
          <w:rFonts w:cs="Times New Roman"/>
          <w:b/>
          <w:bCs/>
          <w:color w:val="auto"/>
          <w:kern w:val="44"/>
          <w:sz w:val="30"/>
          <w:szCs w:val="44"/>
          <w:highlight w:val="none"/>
        </w:rPr>
      </w:pPr>
      <w:bookmarkStart w:id="338" w:name="_Toc28793"/>
      <w:bookmarkStart w:id="339" w:name="_Toc1496"/>
      <w:bookmarkEnd w:id="325"/>
    </w:p>
    <w:p>
      <w:pPr>
        <w:widowControl/>
        <w:spacing w:line="240" w:lineRule="auto"/>
        <w:ind w:firstLineChars="0" w:firstLine="0"/>
        <w:jc w:val="left"/>
        <w:textAlignment w:val="auto"/>
        <w:rPr>
          <w:rFonts w:cs="Times New Roman"/>
          <w:b/>
          <w:bCs/>
          <w:color w:val="auto"/>
          <w:kern w:val="44"/>
          <w:sz w:val="30"/>
          <w:szCs w:val="44"/>
          <w:highlight w:val="none"/>
        </w:rPr>
      </w:pPr>
      <w:r>
        <w:rPr>
          <w:rFonts w:cs="Times New Roman"/>
          <w:b/>
          <w:bCs/>
          <w:color w:val="auto"/>
          <w:kern w:val="44"/>
          <w:sz w:val="30"/>
          <w:szCs w:val="44"/>
          <w:highlight w:val="none"/>
        </w:rPr>
        <w:br w:type="page"/>
      </w:r>
    </w:p>
    <w:p>
      <w:pPr>
        <w:widowControl/>
        <w:spacing w:line="240" w:lineRule="auto"/>
        <w:ind w:firstLineChars="0" w:firstLine="0"/>
        <w:jc w:val="left"/>
        <w:textAlignment w:val="auto"/>
        <w:rPr>
          <w:rFonts w:cs="Times New Roman"/>
          <w:b/>
          <w:bCs/>
          <w:color w:val="auto"/>
          <w:kern w:val="44"/>
          <w:sz w:val="30"/>
          <w:szCs w:val="44"/>
          <w:highlight w:val="none"/>
        </w:rPr>
      </w:pPr>
    </w:p>
    <w:p>
      <w:pPr>
        <w:pStyle w:val="1"/>
        <w:ind w:rightChars="17" w:right="41" w:firstLineChars="0" w:firstLine="0"/>
        <w:rPr>
          <w:rFonts w:cs="Times New Roman"/>
          <w:color w:val="auto"/>
          <w:highlight w:val="none"/>
        </w:rPr>
      </w:pPr>
      <w:bookmarkStart w:id="340" w:name="_Toc18953"/>
      <w:bookmarkStart w:id="341" w:name="_Toc10084"/>
      <w:bookmarkStart w:id="342" w:name="_Toc13385"/>
      <w:r>
        <w:rPr>
          <w:rFonts w:cs="Times New Roman"/>
          <w:color w:val="auto"/>
          <w:highlight w:val="none"/>
        </w:rPr>
        <w:t>1</w:t>
      </w:r>
      <w:bookmarkStart w:id="343" w:name="_Hlk126911017"/>
      <w:r>
        <w:rPr>
          <w:rFonts w:cs="Times New Roman"/>
          <w:color w:val="auto"/>
          <w:highlight w:val="none"/>
        </w:rPr>
        <w:t>2　非金属超声波法</w:t>
      </w:r>
      <w:bookmarkEnd w:id="338"/>
      <w:bookmarkEnd w:id="339"/>
      <w:bookmarkEnd w:id="340"/>
      <w:bookmarkEnd w:id="341"/>
      <w:bookmarkEnd w:id="342"/>
    </w:p>
    <w:p>
      <w:pPr>
        <w:pStyle w:val="2"/>
        <w:tabs>
          <w:tab w:val="left" w:pos="0"/>
        </w:tabs>
        <w:rPr>
          <w:rFonts w:ascii="Times New Roman" w:cs="Times New Roman" w:hAnsi="Times New Roman"/>
          <w:color w:val="auto"/>
          <w:highlight w:val="none"/>
        </w:rPr>
      </w:pPr>
      <w:bookmarkStart w:id="344" w:name="_Toc11111"/>
      <w:bookmarkStart w:id="345" w:name="_Toc1895"/>
      <w:bookmarkStart w:id="346" w:name="_Toc13760"/>
      <w:r>
        <w:rPr>
          <w:rFonts w:ascii="Times New Roman" w:cs="Times New Roman" w:hAnsi="Times New Roman"/>
          <w:color w:val="auto"/>
          <w:highlight w:val="none"/>
        </w:rPr>
        <w:t>12.1　一般规定</w:t>
      </w:r>
      <w:bookmarkEnd w:id="344"/>
      <w:bookmarkEnd w:id="345"/>
      <w:bookmarkEnd w:id="346"/>
    </w:p>
    <w:p>
      <w:pPr>
        <w:pStyle w:val="3"/>
        <w:tabs>
          <w:tab w:val="left" w:pos="0"/>
          <w:tab w:val="left" w:pos="567"/>
          <w:tab w:val="left" w:pos="709"/>
          <w:tab w:val="left" w:pos="1560"/>
        </w:tabs>
        <w:rPr>
          <w:rFonts w:cs="Times New Roman"/>
          <w:color w:val="auto"/>
          <w:highlight w:val="none"/>
        </w:rPr>
      </w:pPr>
      <w:bookmarkEnd w:id="343"/>
      <w:r>
        <w:rPr>
          <w:rFonts w:cs="Times New Roman"/>
          <w:b/>
          <w:color w:val="auto"/>
          <w:highlight w:val="none"/>
        </w:rPr>
        <w:t>12.1.1　</w:t>
      </w:r>
      <w:bookmarkStart w:id="347" w:name="_Hlk130802160"/>
      <w:r>
        <w:rPr>
          <w:rFonts w:cs="Times New Roman"/>
          <w:color w:val="auto"/>
          <w:szCs w:val="24"/>
          <w:highlight w:val="none"/>
        </w:rPr>
        <w:t>非金属</w:t>
      </w:r>
      <w:r>
        <w:rPr>
          <w:rFonts w:cs="Times New Roman"/>
          <w:color w:val="auto"/>
          <w:highlight w:val="none"/>
        </w:rPr>
        <w:t>超声波法</w:t>
      </w:r>
      <w:r>
        <w:rPr>
          <w:rFonts w:cs="Times New Roman" w:hint="eastAsia"/>
          <w:color w:val="auto"/>
          <w:lang w:val="en-US" w:eastAsia="zh-CN"/>
          <w:highlight w:val="none"/>
        </w:rPr>
        <w:t>可</w:t>
      </w:r>
      <w:r>
        <w:rPr>
          <w:rFonts w:cs="Times New Roman"/>
          <w:color w:val="auto"/>
          <w:highlight w:val="none"/>
        </w:rPr>
        <w:t>用于混凝土湿接缝内部缺陷</w:t>
      </w:r>
      <w:bookmarkEnd w:id="347"/>
      <w:r>
        <w:rPr>
          <w:rFonts w:cs="Times New Roman"/>
          <w:color w:val="auto"/>
          <w:highlight w:val="none"/>
        </w:rPr>
        <w:t>检测。</w:t>
      </w:r>
    </w:p>
    <w:p>
      <w:pPr>
        <w:pStyle w:val="19"/>
        <w:ind w:firstLineChars="0" w:firstLine="0"/>
        <w:rPr>
          <w:color w:val="auto"/>
          <w:highlight w:val="none"/>
        </w:rPr>
      </w:pPr>
      <w:r>
        <w:rPr>
          <w:rFonts w:eastAsia="仿宋" w:cs="Times New Roman" w:hint="eastAsia"/>
          <w:b/>
          <w:bCs/>
          <w:color w:val="auto"/>
          <w:shd w:val="pct10" w:color="auto" w:fill="FFFFFF"/>
          <w:lang w:val="en-US" w:eastAsia="zh-CN"/>
          <w:highlight w:val="none"/>
        </w:rPr>
        <w:t>条文说明</w:t>
      </w:r>
      <w:r>
        <w:rPr>
          <w:b/>
          <w:color w:val="auto"/>
          <w:szCs w:val="21"/>
          <w:shd w:val="pct10" w:color="auto" w:fill="FFFFFF"/>
          <w:highlight w:val="none"/>
        </w:rPr>
        <w:t>12.1.</w:t>
      </w:r>
      <w:r>
        <w:rPr>
          <w:rFonts w:hint="eastAsia"/>
          <w:b/>
          <w:color w:val="auto"/>
          <w:szCs w:val="21"/>
          <w:shd w:val="pct10" w:color="auto" w:fill="FFFFFF"/>
          <w:lang w:val="en-US" w:eastAsia="zh-CN"/>
          <w:highlight w:val="none"/>
        </w:rPr>
        <w:t>1</w:t>
      </w:r>
      <w:r>
        <w:rPr>
          <w:b/>
          <w:color w:val="auto"/>
          <w:szCs w:val="21"/>
          <w:shd w:val="pct10" w:color="auto" w:fill="FFFFFF"/>
          <w:highlight w:val="none"/>
        </w:rPr>
        <w:t>　</w:t>
      </w:r>
      <w:r>
        <w:rPr>
          <w:color w:val="auto"/>
          <w:szCs w:val="21"/>
          <w:shd w:val="pct10" w:color="auto" w:fill="FFFFFF"/>
          <w:highlight w:val="none"/>
        </w:rPr>
        <w:t>湿接缝主要包含盖梁分节预制拼装湿接缝、预制箱梁湿接缝。</w:t>
      </w:r>
    </w:p>
    <w:p>
      <w:pPr>
        <w:pStyle w:val="3"/>
        <w:tabs>
          <w:tab w:val="left" w:pos="0"/>
          <w:tab w:val="left" w:pos="567"/>
          <w:tab w:val="left" w:pos="709"/>
          <w:tab w:val="left" w:pos="1560"/>
        </w:tabs>
        <w:rPr>
          <w:color w:val="auto"/>
          <w:highlight w:val="none"/>
        </w:rPr>
      </w:pPr>
      <w:r>
        <w:rPr>
          <w:rFonts w:cs="Times New Roman"/>
          <w:b/>
          <w:color w:val="auto"/>
          <w:highlight w:val="none"/>
        </w:rPr>
        <w:t>12.1.2　</w:t>
      </w:r>
      <w:r>
        <w:rPr>
          <w:rFonts w:cs="Times New Roman"/>
          <w:color w:val="auto"/>
          <w:highlight w:val="none"/>
        </w:rPr>
        <w:t>装配式桥梁构件连接湿接缝的检测，应根据检测类别、检测目的、检测项目、结合工程实际和现场具体条件选择适用的检测方法。</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12.1.3　</w:t>
      </w:r>
      <w:r>
        <w:rPr>
          <w:rFonts w:cs="Times New Roman"/>
          <w:color w:val="auto"/>
          <w:highlight w:val="none"/>
        </w:rPr>
        <w:t>检测结果存在疑义时，宜采用多种检测方法相互印证，综合判定。</w:t>
      </w:r>
    </w:p>
    <w:p>
      <w:pPr>
        <w:ind w:firstLineChars="0" w:firstLine="0"/>
        <w:jc w:val="center"/>
        <w:rPr>
          <w:rFonts w:cs="Times New Roman"/>
          <w:color w:val="auto"/>
          <w:highlight w:val="none"/>
        </w:rPr>
      </w:pPr>
    </w:p>
    <w:p>
      <w:pPr>
        <w:pStyle w:val="2"/>
        <w:tabs>
          <w:tab w:val="left" w:pos="0"/>
        </w:tabs>
        <w:rPr>
          <w:rFonts w:ascii="Times New Roman" w:cs="Times New Roman" w:hAnsi="Times New Roman"/>
          <w:color w:val="auto"/>
          <w:highlight w:val="none"/>
        </w:rPr>
      </w:pPr>
      <w:bookmarkStart w:id="348" w:name="_Toc18668"/>
      <w:bookmarkStart w:id="349" w:name="_Toc30404"/>
      <w:bookmarkStart w:id="350" w:name="_Toc13195"/>
      <w:bookmarkStart w:id="351" w:name="_Toc18406"/>
      <w:bookmarkStart w:id="352" w:name="_Toc23072"/>
      <w:bookmarkStart w:id="353" w:name="_Toc24728"/>
      <w:r>
        <w:rPr>
          <w:rFonts w:ascii="Times New Roman" w:cs="Times New Roman" w:hAnsi="Times New Roman"/>
          <w:color w:val="auto"/>
          <w:highlight w:val="none"/>
        </w:rPr>
        <w:t>12.2　检测设备</w:t>
      </w:r>
      <w:bookmarkEnd w:id="348"/>
      <w:bookmarkEnd w:id="349"/>
      <w:bookmarkEnd w:id="350"/>
      <w:bookmarkEnd w:id="351"/>
      <w:bookmarkEnd w:id="352"/>
      <w:bookmarkEnd w:id="353"/>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12.2.1　</w:t>
      </w:r>
      <w:r>
        <w:rPr>
          <w:rFonts w:cs="Times New Roman" w:hint="eastAsia"/>
          <w:b/>
          <w:color w:val="auto"/>
          <w:lang w:val="en-US" w:eastAsia="zh-CN"/>
          <w:highlight w:val="none"/>
        </w:rPr>
        <w:t>非金属</w:t>
      </w:r>
      <w:r>
        <w:rPr>
          <w:rFonts w:cs="Times New Roman"/>
          <w:color w:val="auto"/>
          <w:highlight w:val="none"/>
        </w:rPr>
        <w:t>超声波法检测设备应包括主机、发射换能器和接收换能器。</w:t>
      </w:r>
    </w:p>
    <w:p>
      <w:pPr>
        <w:pStyle w:val="19"/>
        <w:ind w:firstLineChars="0" w:firstLine="0"/>
        <w:rPr>
          <w:bCs/>
          <w:color w:val="auto"/>
          <w:szCs w:val="21"/>
          <w:shd w:val="pct10" w:color="auto" w:fill="FFFFFF"/>
          <w:highlight w:val="none"/>
        </w:rPr>
      </w:pPr>
      <w:r>
        <w:rPr>
          <w:rFonts w:eastAsia="仿宋" w:cs="Times New Roman" w:hint="eastAsia"/>
          <w:b/>
          <w:bCs/>
          <w:color w:val="auto"/>
          <w:shd w:val="pct10" w:color="auto" w:fill="FFFFFF"/>
          <w:lang w:val="en-US" w:eastAsia="zh-CN"/>
          <w:highlight w:val="none"/>
        </w:rPr>
        <w:t>条文说明</w:t>
      </w:r>
      <w:r>
        <w:rPr>
          <w:b/>
          <w:color w:val="auto"/>
          <w:szCs w:val="21"/>
          <w:shd w:val="pct10" w:color="auto" w:fill="FFFFFF"/>
          <w:highlight w:val="none"/>
        </w:rPr>
        <w:t>12.2.1　</w:t>
      </w:r>
      <w:r>
        <w:rPr>
          <w:bCs/>
          <w:color w:val="auto"/>
          <w:szCs w:val="21"/>
          <w:shd w:val="pct10" w:color="auto" w:fill="FFFFFF"/>
          <w:highlight w:val="none"/>
        </w:rPr>
        <w:t>非金属超声检测仪如图</w:t>
      </w:r>
      <w:r>
        <w:rPr>
          <w:rFonts w:hint="eastAsia"/>
          <w:bCs/>
          <w:color w:val="auto"/>
          <w:szCs w:val="21"/>
          <w:shd w:val="pct10" w:color="auto" w:fill="FFFFFF"/>
          <w:lang w:val="en-US"/>
          <w:highlight w:val="none"/>
        </w:rPr>
        <w:t>11</w:t>
      </w:r>
      <w:r>
        <w:rPr>
          <w:bCs/>
          <w:color w:val="auto"/>
          <w:szCs w:val="21"/>
          <w:shd w:val="pct10" w:color="auto" w:fill="FFFFFF"/>
          <w:highlight w:val="none"/>
        </w:rPr>
        <w:t>所示，测量超声波在湿接缝中的传播速度（简称声速）、首波幅度（简称波幅）和接收信号主频率（简称主频）等声学参数，并根据这些参数及其相对变化，判定湿接缝中的缺陷情况。</w:t>
      </w:r>
    </w:p>
    <w:p>
      <w:pPr>
        <w:pStyle w:val="38"/>
        <w:spacing w:after="0"/>
        <w:ind w:firstLineChars="0" w:firstLine="0"/>
        <w:jc w:val="center"/>
        <w:rPr>
          <w:rFonts w:cs="Times New Roman"/>
          <w:color w:val="auto"/>
          <w:shd w:val="pct10" w:color="auto" w:fill="FFFFFF"/>
          <w:highlight w:val="none"/>
        </w:rPr>
      </w:pPr>
      <w:r>
        <w:rPr>
          <w:rFonts w:cs="Times New Roman"/>
          <w:color w:val="auto"/>
          <w:highlight w:val="none"/>
        </w:rPr>
        <w:drawing>
          <wp:inline distT="0" distB="0" distL="0" distR="0">
            <wp:extent cx="3134360" cy="2065332"/>
            <wp:effectExtent l="0" t="0" r="0" b="0"/>
            <wp:docPr id="688168619" name="图片 3" descr="电脑萤幕画面&#10;&#10;低可信度描述已自动生成"/>
            <wp:cNvGraphicFramePr>
              <a:graphicFrameLocks noChangeAspect="1"/>
            </wp:cNvGraphicFramePr>
            <a:graphic>
              <a:graphicData uri="http://schemas.openxmlformats.org/drawingml/2006/picture">
                <pic:pic>
                  <pic:nvPicPr>
                    <pic:cNvPr id="94" name="图片 3 94"/>
                    <pic:cNvPicPr/>
                  </pic:nvPicPr>
                  <pic:blipFill>
                    <a:blip r:embed="rId73"/>
                    <a:stretch>
                      <a:fillRect/>
                    </a:stretch>
                  </pic:blipFill>
                  <pic:spPr>
                    <a:xfrm rot="0">
                      <a:off x="0" y="0"/>
                      <a:ext cx="3134360" cy="2065332"/>
                    </a:xfrm>
                    <a:prstGeom prst="rect"/>
                    <a:noFill/>
                    <a:ln w="9525" cmpd="sng" cap="flat">
                      <a:noFill/>
                      <a:prstDash val="solid"/>
                      <a:miter/>
                    </a:ln>
                  </pic:spPr>
                </pic:pic>
              </a:graphicData>
            </a:graphic>
          </wp:inline>
        </w:drawing>
      </w:r>
    </w:p>
    <w:p>
      <w:pPr>
        <w:pStyle w:val="38"/>
        <w:spacing w:after="0"/>
        <w:ind w:firstLineChars="0" w:firstLine="0"/>
        <w:jc w:val="center"/>
        <w:rPr>
          <w:rFonts w:cs="Times New Roman"/>
          <w:color w:val="auto"/>
          <w:shd w:val="pct10" w:color="auto" w:fill="FFFFFF"/>
          <w:highlight w:val="none"/>
        </w:rPr>
      </w:pPr>
    </w:p>
    <w:p>
      <w:pPr>
        <w:jc w:val="center"/>
        <w:rPr>
          <w:color w:val="auto"/>
          <w:highlight w:val="none"/>
        </w:rPr>
      </w:pPr>
      <w:r>
        <w:rPr>
          <w:rFonts w:cs="Times New Roman"/>
          <w:b/>
          <w:bCs/>
          <w:color w:val="auto"/>
          <w:shd w:val="pct10" w:color="auto" w:fill="FFFFFF"/>
          <w:highlight w:val="none"/>
        </w:rPr>
        <w:t>图</w:t>
      </w:r>
      <w:r>
        <w:rPr>
          <w:rFonts w:cs="Times New Roman" w:hint="eastAsia"/>
          <w:b/>
          <w:bCs/>
          <w:color w:val="auto"/>
          <w:shd w:val="pct10" w:color="auto" w:fill="FFFFFF"/>
          <w:lang w:val="en-US" w:eastAsia="zh-CN"/>
          <w:highlight w:val="none"/>
        </w:rPr>
        <w:t>12-1</w:t>
      </w:r>
      <w:r>
        <w:rPr>
          <w:rFonts w:cs="Times New Roman"/>
          <w:b/>
          <w:bCs/>
          <w:color w:val="auto"/>
          <w:shd w:val="pct10" w:color="auto" w:fill="FFFFFF"/>
          <w:highlight w:val="none"/>
        </w:rPr>
        <w:t>　非金属超声检测仪</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12.2.2　</w:t>
      </w:r>
      <w:r>
        <w:rPr>
          <w:rFonts w:cs="Times New Roman"/>
          <w:color w:val="auto"/>
          <w:highlight w:val="none"/>
        </w:rPr>
        <w:t>超声波检测仪应符合下列规定：</w:t>
      </w:r>
    </w:p>
    <w:p>
      <w:pPr>
        <w:rPr>
          <w:rFonts w:cs="Times New Roman"/>
          <w:color w:val="auto"/>
          <w:highlight w:val="none"/>
        </w:rPr>
      </w:pPr>
      <w:r>
        <w:rPr>
          <w:rFonts w:cs="Times New Roman"/>
          <w:b/>
          <w:bCs/>
          <w:color w:val="auto"/>
          <w:szCs w:val="32"/>
          <w:highlight w:val="none"/>
        </w:rPr>
        <w:t>1　</w:t>
      </w:r>
      <w:r>
        <w:rPr>
          <w:rFonts w:cs="Times New Roman"/>
          <w:color w:val="auto"/>
          <w:highlight w:val="none"/>
        </w:rPr>
        <w:t>应具有波形清晰、显示稳定的示波装置；</w:t>
      </w:r>
    </w:p>
    <w:p>
      <w:pPr>
        <w:rPr>
          <w:rFonts w:cs="Times New Roman"/>
          <w:color w:val="auto"/>
          <w:highlight w:val="none"/>
        </w:rPr>
      </w:pPr>
      <w:r>
        <w:rPr>
          <w:rFonts w:cs="Times New Roman"/>
          <w:b/>
          <w:bCs/>
          <w:color w:val="auto"/>
          <w:szCs w:val="32"/>
          <w:highlight w:val="none"/>
        </w:rPr>
        <w:t>2　</w:t>
      </w:r>
      <w:r>
        <w:rPr>
          <w:rFonts w:cs="Times New Roman"/>
          <w:color w:val="auto"/>
          <w:highlight w:val="none"/>
        </w:rPr>
        <w:t>应具有手动游标测读和自动测读方式。当自动测读时，在同一测试条件下，l h内每隔5min，测读一次声时的差异不应大于±2个采样点；</w:t>
      </w:r>
    </w:p>
    <w:p>
      <w:pPr>
        <w:rPr>
          <w:rFonts w:cs="Times New Roman"/>
          <w:color w:val="auto"/>
          <w:highlight w:val="none"/>
        </w:rPr>
      </w:pPr>
      <w:r>
        <w:rPr>
          <w:rFonts w:cs="Times New Roman"/>
          <w:b/>
          <w:bCs/>
          <w:color w:val="auto"/>
          <w:szCs w:val="32"/>
          <w:highlight w:val="none"/>
        </w:rPr>
        <w:t>3　</w:t>
      </w:r>
      <w:r>
        <w:rPr>
          <w:rFonts w:cs="Times New Roman"/>
          <w:color w:val="auto"/>
          <w:highlight w:val="none"/>
        </w:rPr>
        <w:t>波形显示幅度分辨率不应低于1/256，并</w:t>
      </w:r>
      <w:r>
        <w:rPr>
          <w:rFonts w:cs="Times New Roman" w:hint="eastAsia"/>
          <w:color w:val="auto"/>
          <w:highlight w:val="none"/>
        </w:rPr>
        <w:t>应</w:t>
      </w:r>
      <w:r>
        <w:rPr>
          <w:rFonts w:cs="Times New Roman"/>
          <w:color w:val="auto"/>
          <w:highlight w:val="none"/>
        </w:rPr>
        <w:t>具有可显示、存储和输出打印数字化波形的功能，波形最大存储长度不宜小于4k Bytes；</w:t>
      </w:r>
    </w:p>
    <w:p>
      <w:pPr>
        <w:rPr>
          <w:rFonts w:cs="Times New Roman"/>
          <w:color w:val="auto"/>
          <w:highlight w:val="none"/>
        </w:rPr>
      </w:pPr>
      <w:r>
        <w:rPr>
          <w:rFonts w:cs="Times New Roman"/>
          <w:b/>
          <w:bCs/>
          <w:color w:val="auto"/>
          <w:szCs w:val="32"/>
          <w:highlight w:val="none"/>
        </w:rPr>
        <w:t>4　</w:t>
      </w:r>
      <w:r>
        <w:rPr>
          <w:rFonts w:cs="Times New Roman"/>
          <w:color w:val="auto"/>
          <w:highlight w:val="none"/>
        </w:rPr>
        <w:t>自动测读方式下，在显示的波形上应有光标指示声时、波幅的测读位置；</w:t>
      </w:r>
    </w:p>
    <w:p>
      <w:pPr>
        <w:rPr>
          <w:rFonts w:cs="Times New Roman"/>
          <w:color w:val="auto"/>
          <w:highlight w:val="none"/>
        </w:rPr>
      </w:pPr>
      <w:r>
        <w:rPr>
          <w:rFonts w:cs="Times New Roman"/>
          <w:b/>
          <w:bCs/>
          <w:color w:val="auto"/>
          <w:szCs w:val="32"/>
          <w:highlight w:val="none"/>
        </w:rPr>
        <w:t>5　</w:t>
      </w:r>
      <w:r>
        <w:rPr>
          <w:rFonts w:cs="Times New Roman"/>
          <w:color w:val="auto"/>
          <w:highlight w:val="none"/>
        </w:rPr>
        <w:t>应具有幅度谱分析功能；</w:t>
      </w:r>
    </w:p>
    <w:p>
      <w:pPr>
        <w:rPr>
          <w:rFonts w:cs="Times New Roman"/>
          <w:color w:val="auto"/>
          <w:highlight w:val="none"/>
        </w:rPr>
      </w:pPr>
      <w:r>
        <w:rPr>
          <w:rFonts w:cs="Times New Roman"/>
          <w:b/>
          <w:bCs/>
          <w:color w:val="auto"/>
          <w:szCs w:val="32"/>
          <w:highlight w:val="none"/>
        </w:rPr>
        <w:t>6　</w:t>
      </w:r>
      <w:r>
        <w:rPr>
          <w:rFonts w:cs="Times New Roman"/>
          <w:color w:val="auto"/>
          <w:highlight w:val="none"/>
        </w:rPr>
        <w:t>应具有数据分析且显示异常数据点的功能。</w:t>
      </w:r>
    </w:p>
    <w:p>
      <w:pPr>
        <w:rPr>
          <w:rFonts w:cs="Times New Roman" w:hint="eastAsia"/>
          <w:color w:val="auto"/>
          <w:kern w:val="0"/>
          <w:szCs w:val="21"/>
          <w:highlight w:val="none"/>
        </w:rPr>
      </w:pPr>
      <w:r>
        <w:rPr>
          <w:rFonts w:cs="Times New Roman" w:hint="eastAsia"/>
          <w:b/>
          <w:bCs/>
          <w:color w:val="auto"/>
          <w:szCs w:val="32"/>
          <w:highlight w:val="none"/>
        </w:rPr>
        <w:t>7</w:t>
      </w:r>
      <w:r>
        <w:rPr>
          <w:rFonts w:cs="Times New Roman"/>
          <w:b/>
          <w:bCs/>
          <w:color w:val="auto"/>
          <w:szCs w:val="32"/>
          <w:highlight w:val="none"/>
        </w:rPr>
        <w:t>　</w:t>
      </w:r>
      <w:r>
        <w:rPr>
          <w:rFonts w:cs="Times New Roman"/>
          <w:color w:val="auto"/>
          <w:highlight w:val="none"/>
        </w:rPr>
        <w:t>超声波检测仪</w:t>
      </w:r>
      <w:r>
        <w:rPr>
          <w:rFonts w:cs="Times New Roman" w:hint="eastAsia"/>
          <w:color w:val="auto"/>
          <w:highlight w:val="none"/>
        </w:rPr>
        <w:t>应能在</w:t>
      </w:r>
      <w:r>
        <w:rPr>
          <w:rFonts w:cs="Times New Roman"/>
          <w:color w:val="auto"/>
          <w:kern w:val="0"/>
          <w:szCs w:val="21"/>
          <w:highlight w:val="none"/>
        </w:rPr>
        <w:t>-20</w:t>
      </w:r>
      <w:r>
        <w:rPr>
          <w:rFonts w:cs="Times New Roman"/>
          <w:color w:val="auto"/>
          <w:kern w:val="0"/>
          <w:position w:val="-10"/>
          <w:szCs w:val="21"/>
          <w:highlight w:val="none"/>
        </w:rPr>
        <w:object>
          <v:shape id="_x0000_i1047" type="#_x0000_t75" filled="f" style="width:13.75pt;height:16.3pt;" o:ole="">
            <v:imagedata r:id="rId74" o:title="image45"/>
            <o:lock aspectratio="t"/>
            <w10:anchorLock/>
          </v:shape>
          <o:OLEObject Type="Embed" ProgID="Equation.AxMath" ShapeID="_x0000_i1047" DrawAspect="Content" ObjectID="_1393063373" r:id="rId75"/>
        </w:object>
      </w:r>
      <w:r>
        <w:rPr>
          <w:rFonts w:cs="Times New Roman"/>
          <w:color w:val="auto"/>
          <w:kern w:val="0"/>
          <w:szCs w:val="21"/>
          <w:highlight w:val="none"/>
        </w:rPr>
        <w:t>~80</w:t>
      </w:r>
      <w:r>
        <w:rPr>
          <w:rFonts w:cs="Times New Roman"/>
          <w:color w:val="auto"/>
          <w:kern w:val="0"/>
          <w:position w:val="-10"/>
          <w:szCs w:val="21"/>
          <w:highlight w:val="none"/>
        </w:rPr>
        <w:object>
          <v:shape id="_x0000_i1048" type="#_x0000_t75" filled="f" style="width:13.75pt;height:16.3pt;" o:ole="">
            <v:imagedata r:id="rId76" o:title="image45"/>
            <o:lock aspectratio="t"/>
            <w10:anchorLock/>
          </v:shape>
          <o:OLEObject Type="Embed" ProgID="Equation.AxMath" ShapeID="_x0000_i1048" DrawAspect="Content" ObjectID="_1393063374" r:id="rId77"/>
        </w:object>
      </w:r>
      <w:r>
        <w:rPr>
          <w:rFonts w:cs="Times New Roman"/>
          <w:color w:val="auto"/>
          <w:highlight w:val="none"/>
        </w:rPr>
        <w:t>的温度环境条件下正常工作</w:t>
      </w:r>
      <w:r>
        <w:rPr>
          <w:rFonts w:cs="Times New Roman" w:hint="eastAsia"/>
          <w:color w:val="auto"/>
          <w:highlight w:val="none"/>
        </w:rPr>
        <w:t>，</w:t>
      </w:r>
      <w:r>
        <w:rPr>
          <w:rFonts w:cs="Times New Roman"/>
          <w:color w:val="auto"/>
          <w:kern w:val="0"/>
          <w:szCs w:val="21"/>
          <w:highlight w:val="none"/>
        </w:rPr>
        <w:t>不</w:t>
      </w:r>
      <w:r>
        <w:rPr>
          <w:rFonts w:cs="Times New Roman" w:hint="eastAsia"/>
          <w:color w:val="auto"/>
          <w:kern w:val="0"/>
          <w:szCs w:val="21"/>
          <w:highlight w:val="none"/>
        </w:rPr>
        <w:t>宜</w:t>
      </w:r>
      <w:r>
        <w:rPr>
          <w:rFonts w:cs="Times New Roman"/>
          <w:color w:val="auto"/>
          <w:kern w:val="0"/>
          <w:szCs w:val="21"/>
          <w:highlight w:val="none"/>
        </w:rPr>
        <w:t>有振动和冲击</w:t>
      </w:r>
      <w:r>
        <w:rPr>
          <w:rFonts w:cs="Times New Roman" w:hint="eastAsia"/>
          <w:color w:val="auto"/>
          <w:kern w:val="0"/>
          <w:szCs w:val="21"/>
          <w:highlight w:val="none"/>
        </w:rPr>
        <w:t>。</w:t>
      </w:r>
    </w:p>
    <w:p>
      <w:pPr>
        <w:pStyle w:val="19"/>
        <w:ind w:firstLineChars="0" w:firstLine="0"/>
        <w:rPr>
          <w:color w:val="auto"/>
          <w:shd w:val="pct10" w:color="auto" w:fill="FFFFFF"/>
          <w:highlight w:val="none"/>
        </w:rPr>
      </w:pPr>
      <w:r>
        <w:rPr>
          <w:rFonts w:eastAsia="仿宋" w:cs="Times New Roman" w:hint="eastAsia"/>
          <w:b/>
          <w:bCs/>
          <w:color w:val="auto"/>
          <w:shd w:val="pct10" w:color="auto" w:fill="FFFFFF"/>
          <w:lang w:val="en-US" w:eastAsia="zh-CN"/>
          <w:highlight w:val="none"/>
        </w:rPr>
        <w:t>条文说明</w:t>
      </w:r>
      <w:r>
        <w:rPr>
          <w:b/>
          <w:color w:val="auto"/>
          <w:szCs w:val="21"/>
          <w:shd w:val="pct10" w:color="auto" w:fill="FFFFFF"/>
          <w:lang w:val="en-US"/>
          <w:highlight w:val="none"/>
        </w:rPr>
        <w:t>12.2.2　</w:t>
      </w:r>
      <w:r>
        <w:rPr>
          <w:color w:val="auto"/>
          <w:shd w:val="pct10" w:color="auto" w:fill="FFFFFF"/>
          <w:highlight w:val="none"/>
        </w:rPr>
        <w:t>手动游标测读是手动调节示波屏上的游标信号，使其前沿对准接收波的初至点，此时的声时读数即为手动游标读数；自动测读是仪器内部对接收波进行放大、整形，使其成方波，以方波的前沿去关闭计时器，仪器上即显示出时间读数。</w:t>
      </w:r>
      <w:r>
        <w:rPr>
          <w:rFonts w:hint="eastAsia"/>
          <w:color w:val="auto"/>
          <w:shd w:val="pct10" w:color="auto" w:fill="FFFFFF"/>
          <w:lang w:val="en-US"/>
          <w:highlight w:val="none"/>
        </w:rPr>
        <w:t>超声波检测仪在正常工作期间，</w:t>
      </w:r>
      <w:r>
        <w:rPr>
          <w:color w:val="auto"/>
          <w:shd w:val="pct10" w:color="auto" w:fill="FFFFFF"/>
          <w:highlight w:val="none"/>
        </w:rPr>
        <w:t>不</w:t>
      </w:r>
      <w:r>
        <w:rPr>
          <w:rFonts w:hint="eastAsia"/>
          <w:color w:val="auto"/>
          <w:shd w:val="pct10" w:color="auto" w:fill="FFFFFF"/>
          <w:lang w:val="en-US"/>
          <w:highlight w:val="none"/>
        </w:rPr>
        <w:t>能</w:t>
      </w:r>
      <w:r>
        <w:rPr>
          <w:color w:val="auto"/>
          <w:shd w:val="pct10" w:color="auto" w:fill="FFFFFF"/>
          <w:highlight w:val="none"/>
        </w:rPr>
        <w:t>有</w:t>
      </w:r>
      <w:r>
        <w:rPr>
          <w:rFonts w:hint="eastAsia"/>
          <w:color w:val="auto"/>
          <w:shd w:val="pct10" w:color="auto" w:fill="FFFFFF"/>
          <w:lang w:val="en-US"/>
          <w:highlight w:val="none"/>
        </w:rPr>
        <w:t>较大的</w:t>
      </w:r>
      <w:r>
        <w:rPr>
          <w:color w:val="auto"/>
          <w:shd w:val="pct10" w:color="auto" w:fill="FFFFFF"/>
          <w:highlight w:val="none"/>
        </w:rPr>
        <w:t>振动和冲击</w:t>
      </w:r>
      <w:r>
        <w:rPr>
          <w:rFonts w:hint="eastAsia"/>
          <w:color w:val="auto"/>
          <w:shd w:val="pct10" w:color="auto" w:fill="FFFFFF"/>
          <w:highlight w:val="none"/>
        </w:rPr>
        <w:t>。</w:t>
      </w:r>
    </w:p>
    <w:p>
      <w:pPr>
        <w:rPr>
          <w:rFonts w:cs="Times New Roman" w:hint="eastAsia"/>
          <w:color w:val="auto"/>
          <w:kern w:val="0"/>
          <w:szCs w:val="21"/>
          <w:highlight w:val="none"/>
        </w:rPr>
      </w:pP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12.2.3　</w:t>
      </w:r>
      <w:r>
        <w:rPr>
          <w:rFonts w:cs="Times New Roman"/>
          <w:color w:val="auto"/>
          <w:highlight w:val="none"/>
        </w:rPr>
        <w:t>换能器应符合下列规定：</w:t>
      </w:r>
    </w:p>
    <w:p>
      <w:pPr>
        <w:rPr>
          <w:rFonts w:cs="Times New Roman"/>
          <w:color w:val="auto"/>
          <w:highlight w:val="none"/>
        </w:rPr>
      </w:pPr>
      <w:r>
        <w:rPr>
          <w:rFonts w:cs="Times New Roman"/>
          <w:b/>
          <w:bCs/>
          <w:color w:val="auto"/>
          <w:szCs w:val="32"/>
          <w:highlight w:val="none"/>
        </w:rPr>
        <w:t>1　</w:t>
      </w:r>
      <w:r>
        <w:rPr>
          <w:rFonts w:cs="Times New Roman"/>
          <w:color w:val="auto"/>
          <w:highlight w:val="none"/>
        </w:rPr>
        <w:t>在平面测试中</w:t>
      </w:r>
      <w:r>
        <w:rPr>
          <w:rFonts w:cs="Times New Roman" w:hint="eastAsia"/>
          <w:color w:val="auto"/>
          <w:highlight w:val="none"/>
        </w:rPr>
        <w:t>宜</w:t>
      </w:r>
      <w:r>
        <w:rPr>
          <w:rFonts w:cs="Times New Roman"/>
          <w:color w:val="auto"/>
          <w:highlight w:val="none"/>
        </w:rPr>
        <w:t>采用厚度振动式换能器，钻孔测试中</w:t>
      </w:r>
      <w:r>
        <w:rPr>
          <w:rFonts w:cs="Times New Roman" w:hint="eastAsia"/>
          <w:color w:val="auto"/>
          <w:highlight w:val="none"/>
        </w:rPr>
        <w:t>宜</w:t>
      </w:r>
      <w:r>
        <w:rPr>
          <w:rFonts w:cs="Times New Roman"/>
          <w:color w:val="auto"/>
          <w:highlight w:val="none"/>
        </w:rPr>
        <w:t>采用径向振动式换能器；</w:t>
      </w:r>
    </w:p>
    <w:p>
      <w:pPr>
        <w:rPr>
          <w:rFonts w:cs="Times New Roman"/>
          <w:color w:val="auto"/>
          <w:highlight w:val="none"/>
        </w:rPr>
      </w:pPr>
      <w:r>
        <w:rPr>
          <w:rFonts w:cs="Times New Roman"/>
          <w:b/>
          <w:bCs/>
          <w:color w:val="auto"/>
          <w:szCs w:val="32"/>
          <w:highlight w:val="none"/>
        </w:rPr>
        <w:t>2　</w:t>
      </w:r>
      <w:r>
        <w:rPr>
          <w:rFonts w:cs="Times New Roman"/>
          <w:color w:val="auto"/>
          <w:highlight w:val="none"/>
        </w:rPr>
        <w:t>厚度振动式换能器的频率宜采用20kHz~250kHz</w:t>
      </w:r>
      <w:r>
        <w:rPr>
          <w:rFonts w:cs="Times New Roman" w:hint="eastAsia"/>
          <w:color w:val="auto"/>
          <w:highlight w:val="none"/>
        </w:rPr>
        <w:t>；</w:t>
      </w:r>
      <w:r>
        <w:rPr>
          <w:rFonts w:cs="Times New Roman"/>
          <w:color w:val="auto"/>
          <w:highlight w:val="none"/>
        </w:rPr>
        <w:t>径向振动式换能器的频率宜采用20kHz~60kHz，直径不宜大于32mm</w:t>
      </w:r>
      <w:r>
        <w:rPr>
          <w:rFonts w:cs="Times New Roman" w:hint="eastAsia"/>
          <w:color w:val="auto"/>
          <w:highlight w:val="none"/>
        </w:rPr>
        <w:t>；</w:t>
      </w:r>
    </w:p>
    <w:p>
      <w:pPr>
        <w:rPr>
          <w:rFonts w:cs="Times New Roman"/>
          <w:color w:val="auto"/>
          <w:highlight w:val="none"/>
        </w:rPr>
      </w:pPr>
      <w:r>
        <w:rPr>
          <w:rFonts w:cs="Times New Roman"/>
          <w:b/>
          <w:bCs/>
          <w:color w:val="auto"/>
          <w:szCs w:val="32"/>
          <w:highlight w:val="none"/>
        </w:rPr>
        <w:t>3　</w:t>
      </w:r>
      <w:r>
        <w:rPr>
          <w:rFonts w:cs="Times New Roman"/>
          <w:color w:val="auto"/>
          <w:highlight w:val="none"/>
        </w:rPr>
        <w:t>当接收信号较弱时，宜选用带前置放大器的接收换能器；</w:t>
      </w:r>
    </w:p>
    <w:p>
      <w:pPr>
        <w:rPr>
          <w:rFonts w:cs="Times New Roman"/>
          <w:color w:val="auto"/>
          <w:highlight w:val="none"/>
        </w:rPr>
      </w:pPr>
      <w:r>
        <w:rPr>
          <w:rFonts w:cs="Times New Roman"/>
          <w:b/>
          <w:bCs/>
          <w:color w:val="auto"/>
          <w:szCs w:val="32"/>
          <w:highlight w:val="none"/>
        </w:rPr>
        <w:t>4　</w:t>
      </w:r>
      <w:r>
        <w:rPr>
          <w:rFonts w:cs="Times New Roman"/>
          <w:color w:val="auto"/>
          <w:highlight w:val="none"/>
        </w:rPr>
        <w:t>换能器的实测主频与标称频率相差不应大于±10%。</w:t>
      </w:r>
    </w:p>
    <w:p>
      <w:pPr>
        <w:pStyle w:val="19"/>
        <w:ind w:firstLineChars="0" w:firstLine="0"/>
        <w:rPr>
          <w:color w:val="auto"/>
          <w:shd w:val="pct10" w:color="auto" w:fill="FFFFFF"/>
          <w:highlight w:val="none"/>
        </w:rPr>
      </w:pPr>
      <w:r>
        <w:rPr>
          <w:rFonts w:eastAsia="仿宋" w:cs="Times New Roman" w:hint="eastAsia"/>
          <w:b/>
          <w:bCs/>
          <w:color w:val="auto"/>
          <w:shd w:val="pct10" w:color="auto" w:fill="FFFFFF"/>
          <w:lang w:val="en-US" w:eastAsia="zh-CN"/>
          <w:highlight w:val="none"/>
        </w:rPr>
        <w:t>条文说明</w:t>
      </w:r>
      <w:r>
        <w:rPr>
          <w:b/>
          <w:color w:val="auto"/>
          <w:szCs w:val="21"/>
          <w:shd w:val="pct10" w:color="auto" w:fill="FFFFFF"/>
          <w:lang w:val="en-US"/>
          <w:highlight w:val="none"/>
        </w:rPr>
        <w:t>12.2.3　</w:t>
      </w:r>
      <w:r>
        <w:rPr>
          <w:color w:val="auto"/>
          <w:shd w:val="pct10" w:color="auto" w:fill="FFFFFF"/>
          <w:highlight w:val="none"/>
        </w:rPr>
        <w:t>常用换能器具有厚度振动方式和径向振动方式两种类型，在平面测试中</w:t>
      </w:r>
      <w:r>
        <w:rPr>
          <w:rFonts w:hint="eastAsia"/>
          <w:color w:val="auto"/>
          <w:shd w:val="pct10" w:color="auto" w:fill="FFFFFF"/>
          <w:lang w:val="en-US"/>
          <w:highlight w:val="none"/>
        </w:rPr>
        <w:t>一般</w:t>
      </w:r>
      <w:r>
        <w:rPr>
          <w:color w:val="auto"/>
          <w:shd w:val="pct10" w:color="auto" w:fill="FFFFFF"/>
          <w:highlight w:val="none"/>
        </w:rPr>
        <w:t>采用厚度振动式换能器，钻孔测试中</w:t>
      </w:r>
      <w:r>
        <w:rPr>
          <w:rFonts w:hint="eastAsia"/>
          <w:color w:val="auto"/>
          <w:shd w:val="pct10" w:color="auto" w:fill="FFFFFF"/>
          <w:lang w:val="en-US"/>
          <w:highlight w:val="none"/>
        </w:rPr>
        <w:t>一般</w:t>
      </w:r>
      <w:r>
        <w:rPr>
          <w:color w:val="auto"/>
          <w:shd w:val="pct10" w:color="auto" w:fill="FFFFFF"/>
          <w:highlight w:val="none"/>
        </w:rPr>
        <w:t>采用径向振动式换能器；</w:t>
      </w:r>
    </w:p>
    <w:p>
      <w:pPr>
        <w:rPr>
          <w:rFonts w:cs="Times New Roman"/>
          <w:color w:val="auto"/>
          <w:highlight w:val="none"/>
        </w:rPr>
      </w:pPr>
    </w:p>
    <w:p>
      <w:pPr>
        <w:pStyle w:val="2"/>
        <w:tabs>
          <w:tab w:val="left" w:pos="0"/>
        </w:tabs>
        <w:rPr>
          <w:rFonts w:ascii="Times New Roman" w:cs="Times New Roman" w:hAnsi="Times New Roman"/>
          <w:color w:val="auto"/>
          <w:highlight w:val="none"/>
        </w:rPr>
      </w:pPr>
      <w:bookmarkStart w:id="354" w:name="_Toc30163"/>
      <w:bookmarkStart w:id="355" w:name="_Toc32663"/>
      <w:bookmarkStart w:id="356" w:name="_Toc7941"/>
      <w:bookmarkStart w:id="357" w:name="_Toc23206"/>
      <w:bookmarkStart w:id="358" w:name="_Toc29160"/>
      <w:bookmarkStart w:id="359" w:name="_Toc21001"/>
      <w:r>
        <w:rPr>
          <w:rFonts w:ascii="Times New Roman" w:cs="Times New Roman" w:hAnsi="Times New Roman"/>
          <w:color w:val="auto"/>
          <w:highlight w:val="none"/>
        </w:rPr>
        <w:t>12.3　检测</w:t>
      </w:r>
      <w:bookmarkEnd w:id="354"/>
      <w:bookmarkEnd w:id="355"/>
      <w:bookmarkEnd w:id="356"/>
      <w:bookmarkEnd w:id="357"/>
      <w:bookmarkEnd w:id="358"/>
      <w:bookmarkEnd w:id="359"/>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12.3.1　</w:t>
      </w:r>
      <w:r>
        <w:rPr>
          <w:rFonts w:cs="Times New Roman"/>
          <w:color w:val="auto"/>
          <w:highlight w:val="none"/>
        </w:rPr>
        <w:t>采用</w:t>
      </w:r>
      <w:r>
        <w:rPr>
          <w:rFonts w:cs="Times New Roman"/>
          <w:color w:val="auto"/>
          <w:szCs w:val="24"/>
          <w:highlight w:val="none"/>
        </w:rPr>
        <w:t>非金属</w:t>
      </w:r>
      <w:r>
        <w:rPr>
          <w:rFonts w:cs="Times New Roman"/>
          <w:color w:val="auto"/>
          <w:highlight w:val="none"/>
        </w:rPr>
        <w:t>超声波法检测湿接缝前应进行</w:t>
      </w:r>
      <w:r>
        <w:rPr>
          <w:rFonts w:cs="Times New Roman" w:hint="eastAsia"/>
          <w:color w:val="auto"/>
          <w:highlight w:val="none"/>
        </w:rPr>
        <w:t>下列</w:t>
      </w:r>
      <w:r>
        <w:rPr>
          <w:rFonts w:cs="Times New Roman"/>
          <w:color w:val="auto"/>
          <w:highlight w:val="none"/>
        </w:rPr>
        <w:t>准备工作：</w:t>
      </w:r>
    </w:p>
    <w:p>
      <w:pPr>
        <w:rPr>
          <w:rFonts w:cs="Times New Roman"/>
          <w:color w:val="auto"/>
          <w:highlight w:val="none"/>
        </w:rPr>
      </w:pPr>
      <w:r>
        <w:rPr>
          <w:rFonts w:cs="Times New Roman"/>
          <w:b/>
          <w:bCs/>
          <w:color w:val="auto"/>
          <w:szCs w:val="32"/>
          <w:highlight w:val="none"/>
        </w:rPr>
        <w:t>1　</w:t>
      </w:r>
      <w:r>
        <w:rPr>
          <w:rFonts w:cs="Times New Roman"/>
          <w:color w:val="auto"/>
          <w:highlight w:val="none"/>
        </w:rPr>
        <w:t>根据检测要求和现场操作条件，确定缺陷测试部位，对怀疑存在内部缺陷的区域宜进行全数检测；</w:t>
      </w:r>
    </w:p>
    <w:p>
      <w:pPr>
        <w:rPr>
          <w:rFonts w:cs="Times New Roman"/>
          <w:color w:val="auto"/>
          <w:highlight w:val="none"/>
        </w:rPr>
      </w:pPr>
      <w:r>
        <w:rPr>
          <w:rFonts w:cs="Times New Roman"/>
          <w:b/>
          <w:bCs/>
          <w:color w:val="auto"/>
          <w:szCs w:val="32"/>
          <w:highlight w:val="none"/>
        </w:rPr>
        <w:t>2　</w:t>
      </w:r>
      <w:r>
        <w:rPr>
          <w:rFonts w:cs="Times New Roman"/>
          <w:color w:val="auto"/>
          <w:highlight w:val="none"/>
        </w:rPr>
        <w:t>清洁、整平测位表面，当测位表面清洁平整度不足时，可用砂轮磨平或用高强度快凝砂浆抹平；抹平砂浆应与待测面良好粘结；</w:t>
      </w:r>
    </w:p>
    <w:p>
      <w:pPr>
        <w:rPr>
          <w:rFonts w:cs="Times New Roman"/>
          <w:color w:val="auto"/>
          <w:highlight w:val="none"/>
        </w:rPr>
      </w:pPr>
      <w:r>
        <w:rPr>
          <w:rFonts w:cs="Times New Roman"/>
          <w:b/>
          <w:bCs/>
          <w:color w:val="auto"/>
          <w:szCs w:val="32"/>
          <w:highlight w:val="none"/>
        </w:rPr>
        <w:t>3　</w:t>
      </w:r>
      <w:r>
        <w:rPr>
          <w:rFonts w:cs="Times New Roman"/>
          <w:color w:val="auto"/>
          <w:highlight w:val="none"/>
        </w:rPr>
        <w:t>根据测距大小和湿接缝外观质量情况，设置超声检测仪的发射电压、采样频率等参数，检测同一测位时，仪器参数宜保持不变；</w:t>
      </w:r>
    </w:p>
    <w:p>
      <w:pPr>
        <w:rPr>
          <w:rFonts w:cs="Times New Roman"/>
          <w:color w:val="auto"/>
          <w:highlight w:val="none"/>
        </w:rPr>
      </w:pPr>
      <w:r>
        <w:rPr>
          <w:rFonts w:cs="Times New Roman"/>
          <w:b/>
          <w:bCs/>
          <w:color w:val="auto"/>
          <w:szCs w:val="32"/>
          <w:highlight w:val="none"/>
        </w:rPr>
        <w:t>4　</w:t>
      </w:r>
      <w:r>
        <w:rPr>
          <w:rFonts w:cs="Times New Roman"/>
          <w:color w:val="auto"/>
          <w:highlight w:val="none"/>
        </w:rPr>
        <w:t>通过耦合剂</w:t>
      </w:r>
      <w:r>
        <w:rPr>
          <w:rFonts w:cs="Times New Roman" w:hint="eastAsia"/>
          <w:color w:val="auto"/>
          <w:highlight w:val="none"/>
        </w:rPr>
        <w:t>将</w:t>
      </w:r>
      <w:r>
        <w:rPr>
          <w:rFonts w:cs="Times New Roman"/>
          <w:color w:val="auto"/>
          <w:highlight w:val="none"/>
        </w:rPr>
        <w:t>换能器与测位表面紧密结合，耦合层内不应夹杂泥沙或空气。</w:t>
      </w:r>
    </w:p>
    <w:p>
      <w:pPr>
        <w:pStyle w:val="19"/>
        <w:ind w:firstLineChars="0" w:firstLine="0"/>
        <w:rPr>
          <w:color w:val="auto"/>
          <w:szCs w:val="21"/>
          <w:shd w:val="pct10" w:color="auto" w:fill="FFFFFF"/>
          <w:highlight w:val="none"/>
        </w:rPr>
      </w:pPr>
      <w:r>
        <w:rPr>
          <w:rFonts w:eastAsia="仿宋" w:cs="Times New Roman" w:hint="eastAsia"/>
          <w:b/>
          <w:bCs/>
          <w:color w:val="auto"/>
          <w:shd w:val="pct10" w:color="auto" w:fill="FFFFFF"/>
          <w:lang w:val="en-US" w:eastAsia="zh-CN"/>
          <w:highlight w:val="none"/>
        </w:rPr>
        <w:t>条文说明</w:t>
      </w:r>
      <w:r>
        <w:rPr>
          <w:b/>
          <w:color w:val="auto"/>
          <w:szCs w:val="21"/>
          <w:shd w:val="pct10" w:color="auto" w:fill="FFFFFF"/>
          <w:highlight w:val="none"/>
        </w:rPr>
        <w:t>12.3.1　</w:t>
      </w:r>
      <w:r>
        <w:rPr>
          <w:color w:val="auto"/>
          <w:szCs w:val="21"/>
          <w:shd w:val="pct10" w:color="auto" w:fill="FFFFFF"/>
          <w:highlight w:val="none"/>
        </w:rPr>
        <w:t>湿接缝内部缺陷或结合面质量不佳一般都是独立的事件，不具备批量检测的条件，宜对怀疑存在缺陷的区域进行全数检测，当不具备全数检测条件时，</w:t>
      </w:r>
      <w:r>
        <w:rPr>
          <w:rFonts w:hint="eastAsia"/>
          <w:color w:val="auto"/>
          <w:szCs w:val="21"/>
          <w:shd w:val="pct10" w:color="auto" w:fill="FFFFFF"/>
          <w:highlight w:val="none"/>
        </w:rPr>
        <w:t>可以</w:t>
      </w:r>
      <w:r>
        <w:rPr>
          <w:color w:val="auto"/>
          <w:szCs w:val="21"/>
          <w:shd w:val="pct10" w:color="auto" w:fill="FFFFFF"/>
          <w:highlight w:val="none"/>
        </w:rPr>
        <w:t>根据约定抽样原则选择</w:t>
      </w:r>
      <w:r>
        <w:rPr>
          <w:rFonts w:hint="eastAsia"/>
          <w:color w:val="auto"/>
          <w:szCs w:val="21"/>
          <w:shd w:val="pct10" w:color="auto" w:fill="FFFFFF"/>
          <w:highlight w:val="none"/>
        </w:rPr>
        <w:t>重要部位或外观缺陷严重的</w:t>
      </w:r>
      <w:r>
        <w:rPr>
          <w:color w:val="auto"/>
          <w:szCs w:val="21"/>
          <w:shd w:val="pct10" w:color="auto" w:fill="FFFFFF"/>
          <w:highlight w:val="none"/>
        </w:rPr>
        <w:t>部位进行检测</w:t>
      </w:r>
      <w:r>
        <w:rPr>
          <w:rFonts w:hint="eastAsia"/>
          <w:color w:val="auto"/>
          <w:szCs w:val="21"/>
          <w:shd w:val="pct10" w:color="auto" w:fill="FFFFFF"/>
          <w:highlight w:val="none"/>
        </w:rPr>
        <w:t>。</w:t>
      </w:r>
    </w:p>
    <w:p>
      <w:pPr>
        <w:rPr>
          <w:rFonts w:cs="Times New Roman"/>
          <w:color w:val="auto"/>
          <w:highlight w:val="none"/>
        </w:rPr>
      </w:pP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12.3.2　</w:t>
      </w:r>
      <w:r>
        <w:rPr>
          <w:rFonts w:cs="Times New Roman"/>
          <w:color w:val="auto"/>
          <w:highlight w:val="none"/>
        </w:rPr>
        <w:t>采用</w:t>
      </w:r>
      <w:bookmarkStart w:id="360" w:name="_Hlk130850346"/>
      <w:r>
        <w:rPr>
          <w:rFonts w:cs="Times New Roman"/>
          <w:color w:val="auto"/>
          <w:szCs w:val="24"/>
          <w:highlight w:val="none"/>
        </w:rPr>
        <w:t>非金属</w:t>
      </w:r>
      <w:r>
        <w:rPr>
          <w:rFonts w:cs="Times New Roman"/>
          <w:color w:val="auto"/>
          <w:highlight w:val="none"/>
        </w:rPr>
        <w:t>超声波法检测，</w:t>
      </w:r>
      <w:bookmarkEnd w:id="360"/>
      <w:r>
        <w:rPr>
          <w:rFonts w:cs="Times New Roman"/>
          <w:color w:val="auto"/>
          <w:highlight w:val="none"/>
        </w:rPr>
        <w:t>应符合现行国家标准《混凝土结构现场检测技术标准》GB/T 50784的</w:t>
      </w:r>
      <w:r>
        <w:rPr>
          <w:rFonts w:cs="Times New Roman" w:hint="eastAsia"/>
          <w:color w:val="auto"/>
          <w:highlight w:val="none"/>
        </w:rPr>
        <w:t>有关</w:t>
      </w:r>
      <w:r>
        <w:rPr>
          <w:rFonts w:cs="Times New Roman"/>
          <w:color w:val="auto"/>
          <w:highlight w:val="none"/>
        </w:rPr>
        <w:t>规定。测点布置应符合下列规定：</w:t>
      </w:r>
    </w:p>
    <w:p>
      <w:pPr>
        <w:rPr>
          <w:rFonts w:cs="Times New Roman"/>
          <w:color w:val="auto"/>
          <w:highlight w:val="none"/>
        </w:rPr>
      </w:pPr>
      <w:r>
        <w:rPr>
          <w:rFonts w:cs="Times New Roman"/>
          <w:b/>
          <w:bCs/>
          <w:color w:val="auto"/>
          <w:szCs w:val="32"/>
          <w:highlight w:val="none"/>
        </w:rPr>
        <w:t>1　</w:t>
      </w:r>
      <w:r>
        <w:rPr>
          <w:rFonts w:cs="Times New Roman"/>
          <w:color w:val="auto"/>
          <w:highlight w:val="none"/>
        </w:rPr>
        <w:t>测点在湿接缝上应均匀布置；</w:t>
      </w:r>
    </w:p>
    <w:p>
      <w:pPr>
        <w:rPr>
          <w:rFonts w:cs="Times New Roman"/>
          <w:color w:val="auto"/>
          <w:highlight w:val="none"/>
        </w:rPr>
      </w:pPr>
      <w:r>
        <w:rPr>
          <w:rFonts w:cs="Times New Roman"/>
          <w:b/>
          <w:bCs/>
          <w:color w:val="auto"/>
          <w:szCs w:val="32"/>
          <w:highlight w:val="none"/>
        </w:rPr>
        <w:t>2</w:t>
      </w:r>
      <w:r>
        <w:rPr>
          <w:rFonts w:cs="Times New Roman"/>
          <w:color w:val="auto"/>
          <w:highlight w:val="none"/>
        </w:rPr>
        <w:t>　测点上应有清晰的编号；</w:t>
      </w:r>
    </w:p>
    <w:p>
      <w:pPr>
        <w:rPr>
          <w:rFonts w:cs="Times New Roman"/>
          <w:color w:val="auto"/>
          <w:highlight w:val="none"/>
        </w:rPr>
      </w:pPr>
      <w:r>
        <w:rPr>
          <w:rFonts w:cs="Times New Roman"/>
          <w:b/>
          <w:bCs/>
          <w:color w:val="auto"/>
          <w:szCs w:val="32"/>
          <w:highlight w:val="none"/>
        </w:rPr>
        <w:t>3</w:t>
      </w:r>
      <w:r>
        <w:rPr>
          <w:rFonts w:cs="Times New Roman"/>
          <w:color w:val="auto"/>
          <w:highlight w:val="none"/>
        </w:rPr>
        <w:t>　测点间距不应大于1m，湿接缝中部应布置测点；</w:t>
      </w:r>
    </w:p>
    <w:p>
      <w:pPr>
        <w:rPr>
          <w:rFonts w:cs="Times New Roman"/>
          <w:color w:val="auto"/>
          <w:highlight w:val="none"/>
        </w:rPr>
      </w:pPr>
      <w:r>
        <w:rPr>
          <w:rFonts w:cs="Times New Roman"/>
          <w:b/>
          <w:bCs/>
          <w:color w:val="auto"/>
          <w:szCs w:val="32"/>
          <w:highlight w:val="none"/>
        </w:rPr>
        <w:t>4</w:t>
      </w:r>
      <w:r>
        <w:rPr>
          <w:rFonts w:cs="Times New Roman"/>
          <w:color w:val="auto"/>
          <w:highlight w:val="none"/>
        </w:rPr>
        <w:t>　每个湿接缝检测区域测点数不应少于9个。</w:t>
      </w:r>
    </w:p>
    <w:p>
      <w:pPr>
        <w:pStyle w:val="3"/>
        <w:tabs>
          <w:tab w:val="left" w:pos="0"/>
          <w:tab w:val="left" w:pos="567"/>
          <w:tab w:val="left" w:pos="709"/>
          <w:tab w:val="left" w:pos="1560"/>
        </w:tabs>
        <w:rPr>
          <w:rFonts w:cs="Times New Roman"/>
          <w:color w:val="auto"/>
          <w:highlight w:val="none"/>
        </w:rPr>
      </w:pPr>
      <w:r>
        <w:rPr>
          <w:rFonts w:cs="Times New Roman"/>
          <w:b/>
          <w:color w:val="auto"/>
          <w:kern w:val="0"/>
          <w:szCs w:val="21"/>
          <w:highlight w:val="none"/>
        </w:rPr>
        <w:t>12.3.</w:t>
      </w:r>
      <w:r>
        <w:rPr>
          <w:rFonts w:cs="Times New Roman" w:hint="eastAsia"/>
          <w:b/>
          <w:color w:val="auto"/>
          <w:kern w:val="0"/>
          <w:szCs w:val="21"/>
          <w:highlight w:val="none"/>
        </w:rPr>
        <w:t>3</w:t>
      </w:r>
      <w:r>
        <w:rPr>
          <w:rFonts w:cs="Times New Roman"/>
          <w:b/>
          <w:color w:val="auto"/>
          <w:kern w:val="0"/>
          <w:szCs w:val="21"/>
          <w:highlight w:val="none"/>
        </w:rPr>
        <w:t>　</w:t>
      </w:r>
      <w:r>
        <w:rPr>
          <w:rFonts w:cs="Times New Roman"/>
          <w:color w:val="auto"/>
          <w:highlight w:val="none"/>
        </w:rPr>
        <w:t>非金属超声波法检测湿接缝应符合下列规定：</w:t>
      </w:r>
    </w:p>
    <w:p>
      <w:pPr>
        <w:rPr>
          <w:rFonts w:ascii="Times New Roman" w:eastAsia="宋体" w:cs="Times New Roman" w:hAnsi="Times New Roman"/>
          <w:color w:val="auto"/>
          <w:highlight w:val="none"/>
        </w:rPr>
      </w:pPr>
      <w:r>
        <w:rPr>
          <w:rFonts w:ascii="Times New Roman" w:eastAsia="宋体" w:cs="Times New Roman" w:hAnsi="Times New Roman" w:hint="eastAsia"/>
          <w:color w:val="auto"/>
          <w:lang w:val="en-US" w:eastAsia="zh-CN"/>
          <w:highlight w:val="none"/>
        </w:rPr>
        <w:t xml:space="preserve">1 </w:t>
      </w:r>
      <w:r>
        <w:rPr>
          <w:rFonts w:ascii="Times New Roman" w:eastAsia="宋体" w:cs="Times New Roman" w:hAnsi="Times New Roman"/>
          <w:color w:val="auto"/>
          <w:highlight w:val="none"/>
        </w:rPr>
        <w:t>被测部位应具有一对或两对相互平行的测试面，且测线应能穿过被检测区域；</w:t>
      </w:r>
    </w:p>
    <w:p>
      <w:pPr>
        <w:rPr>
          <w:rFonts w:cs="Times New Roman"/>
          <w:b w:val="0"/>
          <w:bCs w:val="0"/>
          <w:color w:val="auto"/>
          <w:kern w:val="2"/>
          <w:szCs w:val="22"/>
          <w:highlight w:val="none"/>
        </w:rPr>
      </w:pPr>
      <w:r>
        <w:rPr>
          <w:rFonts w:cs="Times New Roman"/>
          <w:b w:val="0"/>
          <w:color w:val="auto"/>
          <w:kern w:val="2"/>
          <w:szCs w:val="22"/>
          <w:highlight w:val="none"/>
        </w:rPr>
        <w:t>2</w:t>
      </w:r>
      <w:r>
        <w:rPr>
          <w:rFonts w:ascii="Times New Roman" w:eastAsia="宋体" w:cs="Times New Roman" w:hAnsi="Times New Roman" w:hint="eastAsia"/>
          <w:b w:val="0"/>
          <w:color w:val="auto"/>
          <w:kern w:val="2"/>
          <w:szCs w:val="22"/>
          <w:lang w:eastAsia="zh-CN"/>
          <w:highlight w:val="none"/>
        </w:rPr>
        <w:t xml:space="preserve"> </w:t>
      </w:r>
      <w:r>
        <w:rPr>
          <w:rFonts w:cs="Times New Roman"/>
          <w:color w:val="auto"/>
          <w:highlight w:val="none"/>
        </w:rPr>
        <w:t>测试范围应大于拟测区域；</w:t>
      </w:r>
    </w:p>
    <w:p>
      <w:pPr>
        <w:rPr>
          <w:rFonts w:cs="Times New Roman"/>
          <w:color w:val="auto"/>
          <w:highlight w:val="none"/>
        </w:rPr>
      </w:pPr>
      <w:r>
        <w:rPr>
          <w:rFonts w:cs="Times New Roman"/>
          <w:b w:val="0"/>
          <w:bCs w:val="0"/>
          <w:color w:val="auto"/>
          <w:kern w:val="2"/>
          <w:szCs w:val="22"/>
          <w:highlight w:val="none"/>
        </w:rPr>
        <w:t>3</w:t>
      </w:r>
      <w:r>
        <w:rPr>
          <w:rFonts w:ascii="Times New Roman" w:eastAsia="宋体" w:cs="Times New Roman" w:hAnsi="Times New Roman" w:hint="eastAsia"/>
          <w:b w:val="0"/>
          <w:bCs w:val="0"/>
          <w:color w:val="auto"/>
          <w:kern w:val="2"/>
          <w:szCs w:val="22"/>
          <w:lang w:eastAsia="zh-CN"/>
          <w:highlight w:val="none"/>
        </w:rPr>
        <w:t xml:space="preserve"> </w:t>
      </w:r>
      <w:r>
        <w:rPr>
          <w:rFonts w:cs="Times New Roman"/>
          <w:color w:val="auto"/>
          <w:highlight w:val="none"/>
        </w:rPr>
        <w:t>总测点数不应少于30个，且其中同条件的正常混凝土对比测点数不应少于总测点数的60%，且不应少于20个。</w:t>
      </w:r>
    </w:p>
    <w:p>
      <w:pPr>
        <w:pStyle w:val="3"/>
        <w:tabs>
          <w:tab w:val="left" w:pos="0"/>
          <w:tab w:val="left" w:pos="567"/>
          <w:tab w:val="left" w:pos="709"/>
          <w:tab w:val="left" w:pos="1560"/>
        </w:tabs>
        <w:rPr>
          <w:rFonts w:cs="Times New Roman"/>
          <w:color w:val="auto"/>
          <w:highlight w:val="none"/>
        </w:rPr>
      </w:pPr>
      <w:r>
        <w:rPr>
          <w:rFonts w:cs="Times New Roman"/>
          <w:b/>
          <w:color w:val="auto"/>
          <w:kern w:val="0"/>
          <w:szCs w:val="21"/>
          <w:highlight w:val="none"/>
        </w:rPr>
        <w:t>12.3.</w:t>
      </w:r>
      <w:r>
        <w:rPr>
          <w:rFonts w:cs="Times New Roman" w:hint="eastAsia"/>
          <w:b/>
          <w:color w:val="auto"/>
          <w:kern w:val="0"/>
          <w:szCs w:val="21"/>
          <w:highlight w:val="none"/>
        </w:rPr>
        <w:t>4</w:t>
      </w:r>
      <w:r>
        <w:rPr>
          <w:rFonts w:cs="Times New Roman"/>
          <w:b/>
          <w:color w:val="auto"/>
          <w:kern w:val="0"/>
          <w:szCs w:val="21"/>
          <w:highlight w:val="none"/>
        </w:rPr>
        <w:t>　</w:t>
      </w:r>
      <w:r>
        <w:rPr>
          <w:rFonts w:cs="Times New Roman"/>
          <w:color w:val="auto"/>
          <w:highlight w:val="none"/>
        </w:rPr>
        <w:t>采用</w:t>
      </w:r>
      <w:r>
        <w:rPr>
          <w:rFonts w:cs="Times New Roman" w:hint="eastAsia"/>
          <w:color w:val="auto"/>
          <w:lang w:val="en-US" w:eastAsia="zh-CN"/>
          <w:highlight w:val="none"/>
        </w:rPr>
        <w:t>非金属</w:t>
      </w:r>
      <w:r>
        <w:rPr>
          <w:rFonts w:cs="Times New Roman"/>
          <w:color w:val="auto"/>
          <w:highlight w:val="none"/>
        </w:rPr>
        <w:t>超声波法检测湿接缝时应符合下列规定：</w:t>
      </w:r>
    </w:p>
    <w:p>
      <w:pPr>
        <w:rPr>
          <w:rFonts w:cs="Times New Roman"/>
          <w:color w:val="auto"/>
          <w:highlight w:val="none"/>
        </w:rPr>
      </w:pPr>
      <w:r>
        <w:rPr>
          <w:rFonts w:cs="Times New Roman"/>
          <w:b/>
          <w:bCs/>
          <w:color w:val="auto"/>
          <w:kern w:val="0"/>
          <w:szCs w:val="21"/>
          <w:highlight w:val="none"/>
        </w:rPr>
        <w:t>1　</w:t>
      </w:r>
      <w:r>
        <w:rPr>
          <w:rFonts w:cs="Times New Roman"/>
          <w:color w:val="auto"/>
          <w:highlight w:val="none"/>
        </w:rPr>
        <w:t>在满足首波幅度测读精度的条件下，应选择较高频率的换能器；</w:t>
      </w:r>
    </w:p>
    <w:p>
      <w:pPr>
        <w:rPr>
          <w:rFonts w:cs="Times New Roman"/>
          <w:color w:val="auto"/>
          <w:highlight w:val="none"/>
        </w:rPr>
      </w:pPr>
      <w:r>
        <w:rPr>
          <w:rFonts w:cs="Times New Roman"/>
          <w:b/>
          <w:bCs/>
          <w:color w:val="auto"/>
          <w:kern w:val="0"/>
          <w:szCs w:val="21"/>
          <w:highlight w:val="none"/>
        </w:rPr>
        <w:t>2　</w:t>
      </w:r>
      <w:r>
        <w:rPr>
          <w:rFonts w:cs="Times New Roman"/>
          <w:color w:val="auto"/>
          <w:highlight w:val="none"/>
        </w:rPr>
        <w:t>检测时应避免超声传播路径与内部钢筋轴线平行，当无法避免时，应使测线与此钢筋的最小距离不小于超声测距的1/6；</w:t>
      </w:r>
    </w:p>
    <w:p>
      <w:pPr>
        <w:rPr>
          <w:rFonts w:cs="Times New Roman"/>
          <w:color w:val="auto"/>
          <w:highlight w:val="none"/>
        </w:rPr>
      </w:pPr>
      <w:r>
        <w:rPr>
          <w:rFonts w:cs="Times New Roman"/>
          <w:b/>
          <w:bCs/>
          <w:color w:val="auto"/>
          <w:kern w:val="0"/>
          <w:szCs w:val="21"/>
          <w:highlight w:val="none"/>
        </w:rPr>
        <w:t>3　</w:t>
      </w:r>
      <w:r>
        <w:rPr>
          <w:rFonts w:cs="Times New Roman"/>
          <w:color w:val="auto"/>
          <w:highlight w:val="none"/>
        </w:rPr>
        <w:t>应读取并记录声时、波幅和主频值，并宜存取波形；</w:t>
      </w:r>
    </w:p>
    <w:p>
      <w:pPr>
        <w:rPr>
          <w:rFonts w:cs="Times New Roman"/>
          <w:color w:val="auto"/>
          <w:highlight w:val="none"/>
        </w:rPr>
      </w:pPr>
      <w:r>
        <w:rPr>
          <w:rFonts w:cs="Times New Roman"/>
          <w:b/>
          <w:bCs/>
          <w:color w:val="auto"/>
          <w:kern w:val="0"/>
          <w:szCs w:val="21"/>
          <w:highlight w:val="none"/>
        </w:rPr>
        <w:t>4　</w:t>
      </w:r>
      <w:r>
        <w:rPr>
          <w:rFonts w:cs="Times New Roman"/>
          <w:color w:val="auto"/>
          <w:highlight w:val="none"/>
        </w:rPr>
        <w:t>测量后将非金属超声仪界面切换至分析界面，当某测点显示为异常数据点时，应找原因，并应进行复测校核或加密测点补测。</w:t>
      </w:r>
    </w:p>
    <w:p>
      <w:pPr>
        <w:autoSpaceDE w:val="0"/>
        <w:autoSpaceDN w:val="0"/>
        <w:adjustRightInd w:val="0"/>
        <w:snapToGrid w:val="0"/>
        <w:ind w:firstLineChars="0" w:firstLine="0"/>
        <w:rPr>
          <w:rFonts w:eastAsia="仿宋" w:cs="Times New Roman"/>
          <w:color w:val="auto"/>
          <w:kern w:val="0"/>
          <w:szCs w:val="21"/>
          <w:shd w:val="pct10" w:color="auto" w:fill="FFFFFF"/>
          <w:highlight w:val="none"/>
        </w:rPr>
      </w:pPr>
      <w:r>
        <w:rPr>
          <w:rFonts w:eastAsia="仿宋" w:cs="Times New Roman" w:hint="eastAsia"/>
          <w:b/>
          <w:bCs/>
          <w:color w:val="auto"/>
          <w:shd w:val="pct10" w:color="auto" w:fill="FFFFFF"/>
          <w:lang w:val="en-US" w:eastAsia="zh-CN"/>
          <w:highlight w:val="none"/>
        </w:rPr>
        <w:t>条文说明</w:t>
      </w:r>
      <w:r>
        <w:rPr>
          <w:rFonts w:eastAsia="仿宋" w:cs="Times New Roman"/>
          <w:b/>
          <w:bCs/>
          <w:color w:val="auto"/>
          <w:kern w:val="0"/>
          <w:szCs w:val="21"/>
          <w:shd w:val="pct10" w:color="auto" w:fill="FFFFFF"/>
          <w:highlight w:val="none"/>
        </w:rPr>
        <w:t>12.3.4　</w:t>
      </w:r>
      <w:r>
        <w:rPr>
          <w:rFonts w:eastAsia="仿宋" w:cs="Times New Roman"/>
          <w:color w:val="auto"/>
          <w:kern w:val="0"/>
          <w:szCs w:val="21"/>
          <w:shd w:val="pct10" w:color="auto" w:fill="FFFFFF"/>
          <w:highlight w:val="none"/>
        </w:rPr>
        <w:t>超声在介质中传播会出现衰减现象，衰减不仅与测距有关，也与频率有关；超声传播路径中的缺陷会导致声波产生反射、散射、绕射等现象，从而改变接收波的声时、波幅、主频，引起波形变化。本条对声学参数的测量提出要求，目的是为了排除干扰，保证检测的精确度。声学参数测读可按下列方法操作：</w:t>
      </w:r>
    </w:p>
    <w:p>
      <w:pPr>
        <w:autoSpaceDE w:val="0"/>
        <w:autoSpaceDN w:val="0"/>
        <w:adjustRightInd w:val="0"/>
        <w:snapToGrid w:val="0"/>
        <w:rPr>
          <w:rFonts w:eastAsia="仿宋" w:cs="Times New Roman"/>
          <w:color w:val="auto"/>
          <w:kern w:val="0"/>
          <w:szCs w:val="21"/>
          <w:shd w:val="pct10" w:color="auto" w:fill="FFFFFF"/>
          <w:highlight w:val="none"/>
        </w:rPr>
      </w:pPr>
      <w:r>
        <w:rPr>
          <w:rFonts w:eastAsia="仿宋" w:cs="Times New Roman" w:hint="eastAsia"/>
          <w:color w:val="auto"/>
          <w:kern w:val="0"/>
          <w:szCs w:val="21"/>
          <w:shd w:val="pct10" w:color="auto" w:fill="FFFFFF"/>
          <w:highlight w:val="none"/>
        </w:rPr>
        <w:t xml:space="preserve">1 </w:t>
      </w:r>
      <w:r>
        <w:rPr>
          <w:rFonts w:eastAsia="仿宋" w:cs="Times New Roman"/>
          <w:color w:val="auto"/>
          <w:kern w:val="0"/>
          <w:szCs w:val="21"/>
          <w:shd w:val="pct10" w:color="auto" w:fill="FFFFFF"/>
          <w:highlight w:val="none"/>
        </w:rPr>
        <w:t>声学参数自动测读：停止采样后即可自动读取声时、波幅、主频值。当声时自动测读光标所对应的位置与首波前沿基线弯曲的起始点有差异或者波幅自动测读光标所对应的位置与首波峰顶（或谷底）有差异时，应重新采样或改为手动游标读数；</w:t>
      </w:r>
    </w:p>
    <w:p>
      <w:pPr>
        <w:autoSpaceDE w:val="0"/>
        <w:autoSpaceDN w:val="0"/>
        <w:adjustRightInd w:val="0"/>
        <w:snapToGrid w:val="0"/>
        <w:rPr>
          <w:rFonts w:eastAsia="仿宋" w:cs="Times New Roman"/>
          <w:color w:val="auto"/>
          <w:kern w:val="0"/>
          <w:szCs w:val="21"/>
          <w:shd w:val="pct10" w:color="auto" w:fill="FFFFFF"/>
          <w:highlight w:val="none"/>
        </w:rPr>
      </w:pPr>
      <w:r>
        <w:rPr>
          <w:rFonts w:eastAsia="仿宋" w:cs="Times New Roman" w:hint="eastAsia"/>
          <w:color w:val="auto"/>
          <w:kern w:val="0"/>
          <w:szCs w:val="21"/>
          <w:shd w:val="pct10" w:color="auto" w:fill="FFFFFF"/>
          <w:highlight w:val="none"/>
        </w:rPr>
        <w:t xml:space="preserve">2 </w:t>
      </w:r>
      <w:r>
        <w:rPr>
          <w:rFonts w:eastAsia="仿宋" w:cs="Times New Roman"/>
          <w:color w:val="auto"/>
          <w:kern w:val="0"/>
          <w:szCs w:val="21"/>
          <w:shd w:val="pct10" w:color="auto" w:fill="FFFFFF"/>
          <w:highlight w:val="none"/>
        </w:rPr>
        <w:t>声学参数手动测量：先将仪器设置为手动判读状态，停止采样后调节手动声时游标至首波前沿基线弯曲的起始位置，同时调节幅度游标使其与首波峰顶（或谷底）相切，读取声时和波幅值；再将声时光标分别调至首波及其相邻波的波谷（或波峰），读取声时差值</w:t>
      </w:r>
      <w:r>
        <w:rPr>
          <w:rFonts w:eastAsia="仿宋" w:cs="Times New Roman"/>
          <w:color w:val="auto"/>
          <w:sz w:val="20"/>
          <w:szCs w:val="20"/>
          <w:shd w:val="pct10" w:color="auto" w:fill="FFFFFF"/>
          <w:highlight w:val="none"/>
        </w:rPr>
        <w:t>Δ</w:t>
      </w:r>
      <w:r>
        <w:rPr>
          <w:rFonts w:eastAsia="仿宋" w:cs="Times New Roman"/>
          <w:i/>
          <w:iCs/>
          <w:color w:val="auto"/>
          <w:kern w:val="0"/>
          <w:szCs w:val="21"/>
          <w:shd w:val="pct10" w:color="auto" w:fill="FFFFFF"/>
          <w:highlight w:val="none"/>
        </w:rPr>
        <w:t>t</w:t>
      </w:r>
      <w:r>
        <w:rPr>
          <w:rFonts w:eastAsia="仿宋" w:cs="Times New Roman"/>
          <w:color w:val="auto"/>
          <w:kern w:val="0"/>
          <w:szCs w:val="21"/>
          <w:shd w:val="pct10" w:color="auto" w:fill="FFFFFF"/>
          <w:highlight w:val="none"/>
        </w:rPr>
        <w:t>（μs），取1000/</w:t>
      </w:r>
      <w:r>
        <w:rPr>
          <w:rFonts w:eastAsia="仿宋" w:cs="Times New Roman"/>
          <w:color w:val="auto"/>
          <w:sz w:val="20"/>
          <w:szCs w:val="20"/>
          <w:shd w:val="pct10" w:color="auto" w:fill="FFFFFF"/>
          <w:highlight w:val="none"/>
        </w:rPr>
        <w:t>Δ</w:t>
      </w:r>
      <w:r>
        <w:rPr>
          <w:rFonts w:eastAsia="仿宋" w:cs="Times New Roman"/>
          <w:i/>
          <w:iCs/>
          <w:color w:val="auto"/>
          <w:kern w:val="0"/>
          <w:szCs w:val="21"/>
          <w:shd w:val="pct10" w:color="auto" w:fill="FFFFFF"/>
          <w:highlight w:val="none"/>
        </w:rPr>
        <w:t>t</w:t>
      </w:r>
      <w:r>
        <w:rPr>
          <w:rFonts w:eastAsia="仿宋" w:cs="Times New Roman"/>
          <w:color w:val="auto"/>
          <w:kern w:val="0"/>
          <w:szCs w:val="21"/>
          <w:shd w:val="pct10" w:color="auto" w:fill="FFFFFF"/>
          <w:highlight w:val="none"/>
        </w:rPr>
        <w:t>即为首波的主频（kHz）；</w:t>
      </w:r>
    </w:p>
    <w:p>
      <w:pPr>
        <w:autoSpaceDE w:val="0"/>
        <w:autoSpaceDN w:val="0"/>
        <w:adjustRightInd w:val="0"/>
        <w:snapToGrid w:val="0"/>
        <w:rPr>
          <w:rFonts w:eastAsia="仿宋" w:cs="Times New Roman"/>
          <w:color w:val="auto"/>
          <w:kern w:val="0"/>
          <w:szCs w:val="21"/>
          <w:shd w:val="pct10" w:color="auto" w:fill="FFFFFF"/>
          <w:highlight w:val="none"/>
        </w:rPr>
      </w:pPr>
      <w:r>
        <w:rPr>
          <w:rFonts w:eastAsia="仿宋" w:cs="Times New Roman" w:hint="eastAsia"/>
          <w:color w:val="auto"/>
          <w:kern w:val="0"/>
          <w:szCs w:val="21"/>
          <w:shd w:val="pct10" w:color="auto" w:fill="FFFFFF"/>
          <w:highlight w:val="none"/>
        </w:rPr>
        <w:t xml:space="preserve">3 </w:t>
      </w:r>
      <w:r>
        <w:rPr>
          <w:rFonts w:eastAsia="仿宋" w:cs="Times New Roman"/>
          <w:color w:val="auto"/>
          <w:kern w:val="0"/>
          <w:szCs w:val="21"/>
          <w:shd w:val="pct10" w:color="auto" w:fill="FFFFFF"/>
          <w:highlight w:val="none"/>
        </w:rPr>
        <w:t>波形记录：对于有分析价值的波形，应予以存储。</w:t>
      </w:r>
    </w:p>
    <w:p>
      <w:pPr>
        <w:rPr>
          <w:rFonts w:cs="Times New Roman"/>
          <w:color w:val="auto"/>
          <w:highlight w:val="none"/>
        </w:rPr>
      </w:pPr>
    </w:p>
    <w:p>
      <w:pPr>
        <w:pStyle w:val="3"/>
        <w:tabs>
          <w:tab w:val="left" w:pos="0"/>
          <w:tab w:val="left" w:pos="567"/>
          <w:tab w:val="left" w:pos="709"/>
          <w:tab w:val="left" w:pos="1560"/>
        </w:tabs>
        <w:rPr>
          <w:rFonts w:cs="Times New Roman"/>
          <w:color w:val="auto"/>
          <w:highlight w:val="none"/>
        </w:rPr>
      </w:pPr>
      <w:r>
        <w:rPr>
          <w:rFonts w:cs="Times New Roman"/>
          <w:b/>
          <w:color w:val="auto"/>
          <w:kern w:val="0"/>
          <w:szCs w:val="21"/>
          <w:highlight w:val="none"/>
        </w:rPr>
        <w:t>12.3.</w:t>
      </w:r>
      <w:r>
        <w:rPr>
          <w:rFonts w:cs="Times New Roman" w:hint="eastAsia"/>
          <w:b/>
          <w:color w:val="auto"/>
          <w:kern w:val="0"/>
          <w:szCs w:val="21"/>
          <w:highlight w:val="none"/>
        </w:rPr>
        <w:t>5</w:t>
      </w:r>
      <w:r>
        <w:rPr>
          <w:rFonts w:cs="Times New Roman"/>
          <w:b/>
          <w:color w:val="auto"/>
          <w:kern w:val="0"/>
          <w:szCs w:val="21"/>
          <w:highlight w:val="none"/>
        </w:rPr>
        <w:t>　</w:t>
      </w:r>
      <w:r>
        <w:rPr>
          <w:rFonts w:cs="Times New Roman"/>
          <w:color w:val="auto"/>
          <w:highlight w:val="none"/>
        </w:rPr>
        <w:t>同一灌浆工艺、同类预制构件的湿接缝抽检不少于湿接缝总数的10%，且不少于3个。</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12.3.</w:t>
      </w:r>
      <w:r>
        <w:rPr>
          <w:rFonts w:cs="Times New Roman" w:hint="eastAsia"/>
          <w:b/>
          <w:color w:val="auto"/>
          <w:highlight w:val="none"/>
        </w:rPr>
        <w:t>6</w:t>
      </w:r>
      <w:r>
        <w:rPr>
          <w:rFonts w:cs="Times New Roman"/>
          <w:b/>
          <w:color w:val="auto"/>
          <w:highlight w:val="none"/>
        </w:rPr>
        <w:t>　</w:t>
      </w:r>
      <w:r>
        <w:rPr>
          <w:rFonts w:cs="Times New Roman"/>
          <w:color w:val="auto"/>
          <w:highlight w:val="none"/>
        </w:rPr>
        <w:t>非金属超声波检测法的检测记录可按本标准附录J进行。</w:t>
      </w:r>
    </w:p>
    <w:p>
      <w:pPr>
        <w:pStyle w:val="2"/>
        <w:tabs>
          <w:tab w:val="left" w:pos="0"/>
        </w:tabs>
        <w:rPr>
          <w:rFonts w:ascii="Times New Roman" w:cs="Times New Roman" w:hAnsi="Times New Roman"/>
          <w:color w:val="auto"/>
          <w:highlight w:val="none"/>
        </w:rPr>
      </w:pPr>
      <w:bookmarkStart w:id="361" w:name="_Toc19737"/>
      <w:bookmarkStart w:id="362" w:name="_Toc29308"/>
      <w:bookmarkStart w:id="363" w:name="_Toc29133"/>
      <w:bookmarkStart w:id="364" w:name="_Toc6134"/>
      <w:bookmarkStart w:id="365" w:name="_Toc22389"/>
      <w:bookmarkStart w:id="366" w:name="_Toc26805"/>
      <w:r>
        <w:rPr>
          <w:rFonts w:ascii="Times New Roman" w:cs="Times New Roman" w:hAnsi="Times New Roman"/>
          <w:color w:val="auto"/>
          <w:highlight w:val="none"/>
        </w:rPr>
        <w:t>12.4　评定</w:t>
      </w:r>
      <w:bookmarkEnd w:id="361"/>
      <w:bookmarkEnd w:id="362"/>
      <w:bookmarkEnd w:id="363"/>
      <w:bookmarkEnd w:id="364"/>
      <w:bookmarkEnd w:id="365"/>
      <w:bookmarkEnd w:id="366"/>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12.4.1　</w:t>
      </w:r>
      <w:r>
        <w:rPr>
          <w:rFonts w:cs="Times New Roman"/>
          <w:color w:val="auto"/>
          <w:highlight w:val="none"/>
        </w:rPr>
        <w:t>湿接缝经复测校核或加密测点补测后仍存在数据异常点，则</w:t>
      </w:r>
      <w:r>
        <w:rPr>
          <w:rFonts w:cs="Times New Roman" w:hint="eastAsia"/>
          <w:color w:val="auto"/>
          <w:highlight w:val="none"/>
        </w:rPr>
        <w:t>应</w:t>
      </w:r>
      <w:r>
        <w:rPr>
          <w:rFonts w:cs="Times New Roman"/>
          <w:color w:val="auto"/>
          <w:highlight w:val="none"/>
        </w:rPr>
        <w:t>判定湿接缝存在内部缺陷或结合面质量不佳。</w:t>
      </w:r>
    </w:p>
    <w:p>
      <w:pPr>
        <w:rPr>
          <w:color w:val="auto"/>
          <w:highlight w:val="none"/>
        </w:rPr>
      </w:pPr>
    </w:p>
    <w:p>
      <w:pPr>
        <w:pStyle w:val="3"/>
        <w:tabs>
          <w:tab w:val="left" w:pos="0"/>
          <w:tab w:val="left" w:pos="567"/>
          <w:tab w:val="left" w:pos="709"/>
          <w:tab w:val="left" w:pos="1560"/>
        </w:tabs>
        <w:rPr>
          <w:rFonts w:cs="Times New Roman"/>
          <w:color w:val="auto"/>
          <w:szCs w:val="24"/>
          <w:highlight w:val="none"/>
        </w:rPr>
      </w:pPr>
      <w:r>
        <w:rPr>
          <w:rFonts w:cs="Times New Roman"/>
          <w:b/>
          <w:color w:val="auto"/>
          <w:highlight w:val="none"/>
        </w:rPr>
        <w:t>12.4.2　</w:t>
      </w:r>
      <w:r>
        <w:rPr>
          <w:rFonts w:cs="Times New Roman"/>
          <w:color w:val="auto"/>
          <w:highlight w:val="none"/>
        </w:rPr>
        <w:t>当超声检测结果异常时，湿接缝</w:t>
      </w:r>
      <w:r>
        <w:rPr>
          <w:rFonts w:cs="Times New Roman" w:hint="eastAsia"/>
          <w:color w:val="auto"/>
          <w:highlight w:val="none"/>
        </w:rPr>
        <w:t>应</w:t>
      </w:r>
      <w:r>
        <w:rPr>
          <w:rFonts w:cs="Times New Roman"/>
          <w:color w:val="auto"/>
          <w:highlight w:val="none"/>
        </w:rPr>
        <w:t>评定为不合格</w:t>
      </w:r>
      <w:r>
        <w:rPr>
          <w:rFonts w:cs="Times New Roman"/>
          <w:color w:val="auto"/>
          <w:szCs w:val="24"/>
          <w:highlight w:val="none"/>
        </w:rPr>
        <w:t>。</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12.4.3　</w:t>
      </w:r>
      <w:r>
        <w:rPr>
          <w:rFonts w:cs="Times New Roman" w:hint="eastAsia"/>
          <w:color w:val="auto"/>
          <w:highlight w:val="none"/>
        </w:rPr>
        <w:t>应</w:t>
      </w:r>
      <w:r>
        <w:rPr>
          <w:rFonts w:cs="Times New Roman"/>
          <w:color w:val="auto"/>
          <w:kern w:val="0"/>
          <w:szCs w:val="21"/>
          <w:highlight w:val="none"/>
        </w:rPr>
        <w:t>对凿除重做的湿接缝</w:t>
      </w:r>
      <w:r>
        <w:rPr>
          <w:rFonts w:cs="Times New Roman"/>
          <w:color w:val="auto"/>
          <w:highlight w:val="none"/>
        </w:rPr>
        <w:t>进行复测，直至无缺陷，并</w:t>
      </w:r>
      <w:r>
        <w:rPr>
          <w:rFonts w:cs="Times New Roman" w:hint="eastAsia"/>
          <w:color w:val="auto"/>
          <w:highlight w:val="none"/>
        </w:rPr>
        <w:t>应</w:t>
      </w:r>
      <w:r>
        <w:rPr>
          <w:rFonts w:cs="Times New Roman"/>
          <w:color w:val="auto"/>
          <w:highlight w:val="none"/>
        </w:rPr>
        <w:t>在检测记录表备注栏中做复测记录。</w:t>
      </w:r>
    </w:p>
    <w:p>
      <w:pPr>
        <w:rPr>
          <w:color w:val="auto"/>
          <w:highlight w:val="none"/>
        </w:rPr>
      </w:pPr>
    </w:p>
    <w:p>
      <w:pPr>
        <w:widowControl/>
        <w:spacing w:line="240" w:lineRule="auto"/>
        <w:ind w:firstLineChars="0" w:firstLine="0"/>
        <w:jc w:val="left"/>
        <w:textAlignment w:val="auto"/>
        <w:rPr>
          <w:rFonts w:cs="Times New Roman"/>
          <w:color w:val="auto"/>
          <w:highlight w:val="none"/>
        </w:rPr>
      </w:pPr>
      <w:bookmarkStart w:id="367" w:name="_Toc31585"/>
      <w:bookmarkStart w:id="368" w:name="_Toc9824"/>
      <w:bookmarkStart w:id="369" w:name="_Toc8197"/>
      <w:r>
        <w:rPr>
          <w:rFonts w:cs="Times New Roman"/>
          <w:b/>
          <w:bCs/>
          <w:color w:val="auto"/>
          <w:highlight w:val="none"/>
        </w:rPr>
        <w:br w:type="page"/>
      </w:r>
    </w:p>
    <w:p>
      <w:pPr>
        <w:pStyle w:val="1"/>
        <w:ind w:rightChars="17" w:right="41" w:firstLineChars="0" w:firstLine="0"/>
        <w:rPr>
          <w:rFonts w:cs="Times New Roman"/>
          <w:color w:val="auto"/>
          <w:highlight w:val="none"/>
        </w:rPr>
      </w:pPr>
      <w:bookmarkStart w:id="370" w:name="_Toc26057"/>
      <w:bookmarkStart w:id="371" w:name="_Toc24809"/>
      <w:r>
        <w:rPr>
          <w:rFonts w:cs="Times New Roman"/>
          <w:color w:val="auto"/>
          <w:highlight w:val="none"/>
        </w:rPr>
        <w:t>13　冲击回波法</w:t>
      </w:r>
      <w:bookmarkEnd w:id="367"/>
      <w:bookmarkEnd w:id="368"/>
      <w:bookmarkEnd w:id="369"/>
      <w:bookmarkEnd w:id="370"/>
      <w:bookmarkEnd w:id="371"/>
    </w:p>
    <w:p>
      <w:pPr>
        <w:pStyle w:val="2"/>
        <w:tabs>
          <w:tab w:val="left" w:pos="0"/>
        </w:tabs>
        <w:rPr>
          <w:rFonts w:ascii="Times New Roman" w:cs="Times New Roman" w:hAnsi="Times New Roman"/>
          <w:color w:val="auto"/>
          <w:highlight w:val="none"/>
        </w:rPr>
      </w:pPr>
      <w:bookmarkStart w:id="372" w:name="_Toc4580"/>
      <w:bookmarkStart w:id="373" w:name="_Toc10218"/>
      <w:bookmarkStart w:id="374" w:name="_Toc16943"/>
      <w:bookmarkStart w:id="375" w:name="_Toc18411"/>
      <w:bookmarkStart w:id="376" w:name="_Toc3093"/>
      <w:bookmarkStart w:id="377" w:name="_Toc21691"/>
      <w:r>
        <w:rPr>
          <w:rFonts w:ascii="Times New Roman" w:cs="Times New Roman" w:hAnsi="Times New Roman"/>
          <w:color w:val="auto"/>
          <w:highlight w:val="none"/>
        </w:rPr>
        <w:t>13.1　一般规定</w:t>
      </w:r>
      <w:bookmarkEnd w:id="372"/>
      <w:bookmarkEnd w:id="373"/>
      <w:bookmarkEnd w:id="374"/>
      <w:bookmarkEnd w:id="375"/>
      <w:bookmarkEnd w:id="376"/>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13.1.1　</w:t>
      </w:r>
      <w:r>
        <w:rPr>
          <w:rFonts w:cs="Times New Roman"/>
          <w:color w:val="auto"/>
          <w:highlight w:val="none"/>
        </w:rPr>
        <w:t>冲击回波法</w:t>
      </w:r>
      <w:r>
        <w:rPr>
          <w:rFonts w:cs="Times New Roman" w:hint="eastAsia"/>
          <w:color w:val="auto"/>
          <w:highlight w:val="none"/>
        </w:rPr>
        <w:t>可</w:t>
      </w:r>
      <w:r>
        <w:rPr>
          <w:rFonts w:cs="Times New Roman"/>
          <w:color w:val="auto"/>
          <w:highlight w:val="none"/>
        </w:rPr>
        <w:t>用于装配式桥梁构件后张预应力孔道的压浆密实度检测。</w:t>
      </w:r>
    </w:p>
    <w:p>
      <w:pPr>
        <w:pStyle w:val="38"/>
        <w:ind w:firstLineChars="0" w:firstLine="0"/>
        <w:rPr>
          <w:rFonts w:eastAsia="仿宋" w:cs="Times New Roman"/>
          <w:color w:val="auto"/>
          <w:szCs w:val="24"/>
          <w:shd w:val="clear" w:color="FFFFFF" w:fill="D9D9D9"/>
          <w:highlight w:val="none"/>
        </w:rPr>
      </w:pPr>
      <w:r>
        <w:rPr>
          <w:rFonts w:eastAsia="仿宋" w:cs="Times New Roman" w:hint="eastAsia"/>
          <w:b/>
          <w:bCs/>
          <w:color w:val="auto"/>
          <w:szCs w:val="24"/>
          <w:shd w:val="clear" w:color="FFFFFF" w:fill="D9D9D9"/>
          <w:lang w:val="en-US" w:eastAsia="zh-CN"/>
          <w:highlight w:val="none"/>
        </w:rPr>
        <w:t>条文说明</w:t>
      </w:r>
      <w:r>
        <w:rPr>
          <w:rFonts w:eastAsia="仿宋" w:cs="Times New Roman"/>
          <w:b/>
          <w:bCs/>
          <w:color w:val="auto"/>
          <w:szCs w:val="24"/>
          <w:shd w:val="clear" w:color="FFFFFF" w:fill="D9D9D9"/>
          <w:highlight w:val="none"/>
        </w:rPr>
        <w:t>13.1.1　</w:t>
      </w:r>
      <w:r>
        <w:rPr>
          <w:rFonts w:eastAsia="仿宋" w:cs="Times New Roman"/>
          <w:color w:val="auto"/>
          <w:szCs w:val="24"/>
          <w:shd w:val="clear" w:color="FFFFFF" w:fill="D9D9D9"/>
          <w:highlight w:val="none"/>
        </w:rPr>
        <w:t>冲击回波法包含冲击回波等效波速法和冲击回波共振偏移法。冲击回波等效波速法适用于厚度</w:t>
      </w:r>
      <w:r>
        <w:rPr>
          <w:rFonts w:eastAsia="仿宋" w:cs="Times New Roman" w:hint="eastAsia"/>
          <w:color w:val="auto"/>
          <w:szCs w:val="24"/>
          <w:shd w:val="clear" w:color="FFFFFF" w:fill="D9D9D9"/>
          <w:highlight w:val="none"/>
        </w:rPr>
        <w:t>不大于</w:t>
      </w:r>
      <w:r>
        <w:rPr>
          <w:rFonts w:eastAsia="仿宋" w:cs="Times New Roman"/>
          <w:color w:val="auto"/>
          <w:szCs w:val="24"/>
          <w:shd w:val="clear" w:color="FFFFFF" w:fill="D9D9D9"/>
          <w:highlight w:val="none"/>
        </w:rPr>
        <w:t>80cm且底端反射明显的构件，冲击回波共振偏移法适用于厚度</w:t>
      </w:r>
      <w:r>
        <w:rPr>
          <w:rFonts w:eastAsia="仿宋" w:cs="Times New Roman" w:hint="eastAsia"/>
          <w:color w:val="auto"/>
          <w:szCs w:val="24"/>
          <w:shd w:val="clear" w:color="FFFFFF" w:fill="D9D9D9"/>
          <w:highlight w:val="none"/>
        </w:rPr>
        <w:t>大于</w:t>
      </w:r>
      <w:r>
        <w:rPr>
          <w:rFonts w:eastAsia="仿宋" w:cs="Times New Roman"/>
          <w:color w:val="auto"/>
          <w:szCs w:val="24"/>
          <w:shd w:val="clear" w:color="FFFFFF" w:fill="D9D9D9"/>
          <w:highlight w:val="none"/>
        </w:rPr>
        <w:t>80cm且底端反射不明显的构件。</w:t>
      </w:r>
    </w:p>
    <w:p>
      <w:pPr>
        <w:rPr>
          <w:color w:val="auto"/>
          <w:highlight w:val="none"/>
        </w:rPr>
      </w:pP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13.1.2　</w:t>
      </w:r>
      <w:r>
        <w:rPr>
          <w:rFonts w:cs="Times New Roman"/>
          <w:color w:val="auto"/>
          <w:highlight w:val="none"/>
        </w:rPr>
        <w:t>检测结果存在疑义时，可采用钻孔内窥镜法进行验证。</w:t>
      </w:r>
    </w:p>
    <w:p>
      <w:pPr>
        <w:pStyle w:val="2"/>
        <w:tabs>
          <w:tab w:val="left" w:pos="0"/>
        </w:tabs>
        <w:rPr>
          <w:rFonts w:ascii="Times New Roman" w:cs="Times New Roman" w:hAnsi="Times New Roman"/>
          <w:color w:val="auto"/>
          <w:highlight w:val="none"/>
        </w:rPr>
      </w:pPr>
      <w:bookmarkStart w:id="378" w:name="_Toc18640"/>
      <w:bookmarkStart w:id="379" w:name="_Toc24017"/>
      <w:bookmarkStart w:id="380" w:name="_Toc5594"/>
      <w:bookmarkStart w:id="381" w:name="_Toc20829"/>
      <w:bookmarkStart w:id="382" w:name="_Toc13796"/>
      <w:r>
        <w:rPr>
          <w:rFonts w:ascii="Times New Roman" w:cs="Times New Roman" w:hAnsi="Times New Roman"/>
          <w:color w:val="auto"/>
          <w:highlight w:val="none"/>
        </w:rPr>
        <w:t>13.2　检测设备</w:t>
      </w:r>
      <w:bookmarkEnd w:id="378"/>
      <w:bookmarkEnd w:id="379"/>
      <w:bookmarkEnd w:id="380"/>
      <w:bookmarkEnd w:id="381"/>
      <w:bookmarkEnd w:id="382"/>
    </w:p>
    <w:p>
      <w:pPr>
        <w:pStyle w:val="3"/>
        <w:tabs>
          <w:tab w:val="left" w:pos="0"/>
          <w:tab w:val="left" w:pos="567"/>
          <w:tab w:val="left" w:pos="709"/>
          <w:tab w:val="left" w:pos="1560"/>
        </w:tabs>
        <w:rPr>
          <w:rFonts w:cs="Times New Roman"/>
          <w:color w:val="auto"/>
          <w:highlight w:val="none"/>
        </w:rPr>
      </w:pPr>
      <w:r>
        <w:rPr>
          <w:rFonts w:cs="Times New Roman"/>
          <w:b/>
          <w:color w:val="auto"/>
          <w:szCs w:val="24"/>
          <w:highlight w:val="none"/>
        </w:rPr>
        <w:t>13.2.1　</w:t>
      </w:r>
      <w:r>
        <w:rPr>
          <w:rFonts w:cs="Times New Roman"/>
          <w:color w:val="auto"/>
          <w:highlight w:val="none"/>
        </w:rPr>
        <w:t>冲击回波法检测设备应</w:t>
      </w:r>
      <w:r>
        <w:rPr>
          <w:rFonts w:cs="Times New Roman" w:hint="eastAsia"/>
          <w:color w:val="auto"/>
          <w:highlight w:val="none"/>
        </w:rPr>
        <w:t>由</w:t>
      </w:r>
      <w:r>
        <w:rPr>
          <w:rFonts w:cs="Times New Roman"/>
          <w:color w:val="auto"/>
          <w:highlight w:val="none"/>
        </w:rPr>
        <w:t>激振装置、拾振装置、信号采集系统、采集软件和分析软件等</w:t>
      </w:r>
      <w:r>
        <w:rPr>
          <w:rFonts w:cs="Times New Roman" w:hint="eastAsia"/>
          <w:color w:val="auto"/>
          <w:highlight w:val="none"/>
        </w:rPr>
        <w:t>（</w:t>
      </w:r>
      <w:r>
        <w:rPr>
          <w:rFonts w:cs="Times New Roman"/>
          <w:color w:val="auto"/>
          <w:highlight w:val="none"/>
        </w:rPr>
        <w:t>图</w:t>
      </w:r>
      <w:r>
        <w:rPr>
          <w:rFonts w:cs="Times New Roman"/>
          <w:color w:val="auto"/>
          <w:szCs w:val="24"/>
          <w:highlight w:val="none"/>
        </w:rPr>
        <w:t>13.2.1</w:t>
      </w:r>
      <w:r>
        <w:rPr>
          <w:rFonts w:cs="Times New Roman" w:hint="eastAsia"/>
          <w:color w:val="auto"/>
          <w:highlight w:val="none"/>
        </w:rPr>
        <w:t>）</w:t>
      </w:r>
      <w:r>
        <w:rPr>
          <w:rFonts w:cs="Times New Roman"/>
          <w:color w:val="auto"/>
          <w:highlight w:val="none"/>
        </w:rPr>
        <w:t>。</w:t>
      </w:r>
    </w:p>
    <w:p>
      <w:pPr>
        <w:pStyle w:val="19"/>
        <w:ind w:firstLineChars="0" w:firstLine="0"/>
        <w:jc w:val="center"/>
        <w:rPr>
          <w:color w:val="auto"/>
          <w:highlight w:val="none"/>
        </w:rPr>
      </w:pPr>
    </w:p>
    <w:p>
      <w:pPr>
        <w:pStyle w:val="19"/>
        <w:ind w:firstLineChars="0" w:firstLine="0"/>
        <w:jc w:val="center"/>
        <w:rPr>
          <w:color w:val="auto"/>
          <w:highlight w:val="none"/>
        </w:rPr>
      </w:pPr>
      <w:r>
        <w:rPr>
          <w:color w:val="auto"/>
          <w:highlight w:val="none"/>
        </w:rPr>
        <w:drawing>
          <wp:inline distT="0" distB="0" distL="114300" distR="114300">
            <wp:extent cx="4789170" cy="1440180"/>
            <wp:effectExtent l="0" t="0" r="0" b="0"/>
            <wp:docPr id="688168620" name="图片 2"/>
            <wp:cNvGraphicFramePr>
              <a:graphicFrameLocks noChangeAspect="1"/>
            </wp:cNvGraphicFramePr>
            <a:graphic>
              <a:graphicData uri="http://schemas.openxmlformats.org/drawingml/2006/picture">
                <pic:pic>
                  <pic:nvPicPr>
                    <pic:cNvPr id="99" name="图片 2 99"/>
                    <pic:cNvPicPr/>
                  </pic:nvPicPr>
                  <pic:blipFill>
                    <a:blip r:embed="rId78"/>
                    <a:stretch>
                      <a:fillRect/>
                    </a:stretch>
                  </pic:blipFill>
                  <pic:spPr>
                    <a:xfrm rot="0">
                      <a:off x="0" y="0"/>
                      <a:ext cx="4789170" cy="1440180"/>
                    </a:xfrm>
                    <a:prstGeom prst="rect"/>
                    <a:noFill/>
                    <a:ln cmpd="sng" cap="flat">
                      <a:noFill/>
                      <a:prstDash val="solid"/>
                      <a:round/>
                    </a:ln>
                  </pic:spPr>
                </pic:pic>
              </a:graphicData>
            </a:graphic>
          </wp:inline>
        </w:drawing>
      </w:r>
    </w:p>
    <w:p>
      <w:pPr>
        <w:ind w:firstLineChars="0" w:firstLine="0"/>
        <w:jc w:val="center"/>
        <w:rPr>
          <w:rStyle w:val="125"/>
          <w:b w:val="0"/>
          <w:bCs/>
          <w:color w:val="auto"/>
          <w:highlight w:val="none"/>
        </w:rPr>
      </w:pPr>
      <w:r>
        <w:rPr>
          <w:rStyle w:val="125"/>
          <w:rFonts w:hint="eastAsia"/>
          <w:b w:val="0"/>
          <w:bCs/>
          <w:color w:val="auto"/>
          <w:highlight w:val="none"/>
        </w:rPr>
        <w:t>1—拾振点 2—预应力孔道 3—预应力筋</w:t>
      </w:r>
    </w:p>
    <w:p>
      <w:pPr>
        <w:pStyle w:val="19"/>
        <w:ind w:firstLineChars="0" w:firstLine="0"/>
        <w:jc w:val="center"/>
        <w:rPr>
          <w:rStyle w:val="125"/>
          <w:rFonts w:cs="Times New Roman"/>
          <w:color w:val="auto"/>
          <w:lang w:val="en-US"/>
          <w:highlight w:val="none"/>
        </w:rPr>
      </w:pPr>
      <w:r>
        <w:rPr>
          <w:rStyle w:val="125"/>
          <w:rFonts w:cs="Times New Roman"/>
          <w:color w:val="auto"/>
          <w:lang w:val="en-US"/>
          <w:highlight w:val="none"/>
        </w:rPr>
        <w:t>图13.2.1　冲击回波法检测示意图</w:t>
      </w:r>
    </w:p>
    <w:p>
      <w:pPr>
        <w:pStyle w:val="3"/>
        <w:tabs>
          <w:tab w:val="left" w:pos="0"/>
          <w:tab w:val="left" w:pos="567"/>
          <w:tab w:val="left" w:pos="709"/>
          <w:tab w:val="left" w:pos="1560"/>
        </w:tabs>
        <w:rPr>
          <w:rFonts w:cs="Times New Roman"/>
          <w:color w:val="auto"/>
          <w:highlight w:val="none"/>
        </w:rPr>
      </w:pPr>
      <w:r>
        <w:rPr>
          <w:rFonts w:cs="Times New Roman"/>
          <w:b/>
          <w:color w:val="auto"/>
          <w:szCs w:val="24"/>
          <w:highlight w:val="none"/>
        </w:rPr>
        <w:t>13.2.2　</w:t>
      </w:r>
      <w:r>
        <w:rPr>
          <w:rFonts w:cs="Times New Roman"/>
          <w:color w:val="auto"/>
          <w:highlight w:val="none"/>
        </w:rPr>
        <w:t>检测设备应由计量</w:t>
      </w:r>
      <w:r>
        <w:rPr>
          <w:rFonts w:cs="Times New Roman" w:hint="eastAsia"/>
          <w:color w:val="auto"/>
          <w:highlight w:val="none"/>
        </w:rPr>
        <w:t>校准</w:t>
      </w:r>
      <w:r>
        <w:rPr>
          <w:rFonts w:cs="Times New Roman"/>
          <w:color w:val="auto"/>
          <w:highlight w:val="none"/>
        </w:rPr>
        <w:t>机构定期校准，校准</w:t>
      </w:r>
      <w:r>
        <w:rPr>
          <w:rFonts w:cs="Times New Roman" w:hint="eastAsia"/>
          <w:color w:val="auto"/>
          <w:highlight w:val="none"/>
        </w:rPr>
        <w:t>有效期</w:t>
      </w:r>
      <w:r>
        <w:rPr>
          <w:rFonts w:cs="Times New Roman"/>
          <w:color w:val="auto"/>
          <w:highlight w:val="none"/>
        </w:rPr>
        <w:t>不应大于6个月。</w:t>
      </w:r>
    </w:p>
    <w:p>
      <w:pPr>
        <w:pStyle w:val="3"/>
        <w:tabs>
          <w:tab w:val="left" w:pos="0"/>
          <w:tab w:val="left" w:pos="567"/>
          <w:tab w:val="left" w:pos="709"/>
          <w:tab w:val="left" w:pos="1560"/>
        </w:tabs>
        <w:rPr>
          <w:rFonts w:cs="Times New Roman"/>
          <w:color w:val="auto"/>
          <w:highlight w:val="none"/>
        </w:rPr>
      </w:pPr>
      <w:r>
        <w:rPr>
          <w:rFonts w:cs="Times New Roman"/>
          <w:b/>
          <w:color w:val="auto"/>
          <w:szCs w:val="24"/>
          <w:highlight w:val="none"/>
        </w:rPr>
        <w:t>13.2.3　</w:t>
      </w:r>
      <w:r>
        <w:rPr>
          <w:rFonts w:cs="Times New Roman"/>
          <w:color w:val="auto"/>
          <w:highlight w:val="none"/>
        </w:rPr>
        <w:t>检测设备应能在0℃～45℃的温度环境条件下正常工作，检测环境应无机械振动和强振幅电噪声。</w:t>
      </w:r>
    </w:p>
    <w:p>
      <w:pPr>
        <w:pStyle w:val="3"/>
        <w:tabs>
          <w:tab w:val="left" w:pos="0"/>
          <w:tab w:val="left" w:pos="567"/>
          <w:tab w:val="left" w:pos="709"/>
          <w:tab w:val="left" w:pos="1560"/>
        </w:tabs>
        <w:rPr>
          <w:rFonts w:cs="Times New Roman"/>
          <w:color w:val="auto"/>
          <w:highlight w:val="none"/>
        </w:rPr>
      </w:pPr>
      <w:r>
        <w:rPr>
          <w:rFonts w:cs="Times New Roman"/>
          <w:b/>
          <w:color w:val="auto"/>
          <w:szCs w:val="24"/>
          <w:highlight w:val="none"/>
        </w:rPr>
        <w:t>13.2.4　</w:t>
      </w:r>
      <w:r>
        <w:rPr>
          <w:rFonts w:cs="Times New Roman"/>
          <w:color w:val="auto"/>
          <w:highlight w:val="none"/>
        </w:rPr>
        <w:t>激振装置应符合下列规定：</w:t>
      </w:r>
    </w:p>
    <w:p>
      <w:pPr>
        <w:rPr>
          <w:rFonts w:cs="Times New Roman"/>
          <w:color w:val="auto"/>
          <w:highlight w:val="none"/>
        </w:rPr>
      </w:pPr>
      <w:r>
        <w:rPr>
          <w:rFonts w:cs="Times New Roman"/>
          <w:b/>
          <w:bCs/>
          <w:color w:val="auto"/>
          <w:kern w:val="0"/>
          <w:szCs w:val="21"/>
          <w:highlight w:val="none"/>
        </w:rPr>
        <w:t>1　</w:t>
      </w:r>
      <w:r>
        <w:rPr>
          <w:rFonts w:cs="Times New Roman"/>
          <w:color w:val="auto"/>
          <w:highlight w:val="none"/>
        </w:rPr>
        <w:t>激振装置应能产生低频率高能量的弹性波；</w:t>
      </w:r>
    </w:p>
    <w:p>
      <w:pPr>
        <w:rPr>
          <w:rFonts w:cs="Times New Roman"/>
          <w:color w:val="auto"/>
          <w:highlight w:val="none"/>
        </w:rPr>
      </w:pPr>
      <w:r>
        <w:rPr>
          <w:rFonts w:cs="Times New Roman"/>
          <w:b/>
          <w:bCs/>
          <w:color w:val="auto"/>
          <w:kern w:val="0"/>
          <w:szCs w:val="21"/>
          <w:highlight w:val="none"/>
        </w:rPr>
        <w:t>2　</w:t>
      </w:r>
      <w:r>
        <w:rPr>
          <w:rFonts w:cs="Times New Roman"/>
          <w:color w:val="auto"/>
          <w:highlight w:val="none"/>
        </w:rPr>
        <w:t>激振应采用瞬态激振方式；</w:t>
      </w:r>
    </w:p>
    <w:p>
      <w:pPr>
        <w:rPr>
          <w:rFonts w:cs="Times New Roman"/>
          <w:color w:val="auto"/>
          <w:highlight w:val="none"/>
        </w:rPr>
      </w:pPr>
      <w:r>
        <w:rPr>
          <w:rFonts w:cs="Times New Roman"/>
          <w:b/>
          <w:bCs/>
          <w:color w:val="auto"/>
          <w:kern w:val="0"/>
          <w:szCs w:val="21"/>
          <w:highlight w:val="none"/>
        </w:rPr>
        <w:t>3　</w:t>
      </w:r>
      <w:r>
        <w:rPr>
          <w:rFonts w:cs="Times New Roman"/>
          <w:color w:val="auto"/>
          <w:highlight w:val="none"/>
        </w:rPr>
        <w:t>应根据构件厚度、激振频率特性等条件按表13.2.4选择激振锤。</w:t>
      </w:r>
    </w:p>
    <w:p>
      <w:pPr>
        <w:pStyle w:val="16"/>
        <w:rPr>
          <w:rFonts w:cs="Times New Roman"/>
          <w:color w:val="auto"/>
          <w:highlight w:val="none"/>
        </w:rPr>
      </w:pPr>
      <w:r>
        <w:rPr>
          <w:rFonts w:cs="Times New Roman"/>
          <w:color w:val="auto"/>
          <w:highlight w:val="none"/>
        </w:rPr>
        <w:t>表13.2.4　检测激振锤的选取</w:t>
      </w:r>
      <w:r>
        <w:rPr>
          <w:rFonts w:cs="Times New Roman" w:hint="eastAsia"/>
          <w:color w:val="auto"/>
          <w:highlight w:val="none"/>
        </w:rPr>
        <w:t>（m</w:t>
      </w:r>
      <w:r>
        <w:rPr>
          <w:rFonts w:cs="Times New Roman"/>
          <w:color w:val="auto"/>
          <w:highlight w:val="none"/>
        </w:rPr>
        <w:t>m</w:t>
      </w:r>
      <w:r>
        <w:rPr>
          <w:rFonts w:cs="Times New Roman" w:hint="eastAsia"/>
          <w:color w:val="auto"/>
          <w:highlight w:val="none"/>
        </w:rPr>
        <w:t>）</w:t>
      </w:r>
    </w:p>
    <w:tbl>
      <w:tblPr>
        <w:jc w:val="left"/>
        <w:tblInd w:w="0" w:type="dxa"/>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Look w:val="0600" w:firstRow="0" w:lastRow="0" w:firstColumn="0" w:lastColumn="0" w:noHBand="1" w:noVBand="1"/>
      </w:tblPr>
      <w:tblGrid>
        <w:gridCol w:w="2107"/>
        <w:gridCol w:w="1506"/>
        <w:gridCol w:w="1807"/>
        <w:gridCol w:w="1808"/>
        <w:gridCol w:w="1814"/>
      </w:tblGrid>
      <w:tr>
        <w:trPr>
          <w:trHeight w:val="397"/>
        </w:trPr>
        <w:tc>
          <w:tcPr>
            <w:tcW w:w="1165" w:type="pct"/>
            <w:tcBorders>
              <w:tl2br w:val="nil"/>
              <w:tr2bl w:val="nil"/>
            </w:tcBorders>
            <w:vAlign w:val="center"/>
          </w:tcPr>
          <w:p>
            <w:pPr>
              <w:pStyle w:val="38"/>
              <w:spacing w:after="0" w:line="240" w:lineRule="auto"/>
              <w:ind w:firstLineChars="0" w:firstLine="0"/>
              <w:jc w:val="center"/>
              <w:rPr>
                <w:rFonts w:cs="Times New Roman"/>
                <w:b/>
                <w:bCs/>
                <w:color w:val="auto"/>
                <w:sz w:val="22"/>
                <w:szCs w:val="21"/>
                <w:highlight w:val="none"/>
              </w:rPr>
            </w:pPr>
            <w:r>
              <w:rPr>
                <w:rFonts w:cs="Times New Roman"/>
                <w:b/>
                <w:bCs/>
                <w:color w:val="auto"/>
                <w:sz w:val="22"/>
                <w:szCs w:val="21"/>
                <w:highlight w:val="none"/>
              </w:rPr>
              <w:t>构件厚度</w:t>
            </w:r>
          </w:p>
        </w:tc>
        <w:tc>
          <w:tcPr>
            <w:tcW w:w="833" w:type="pct"/>
            <w:tcBorders>
              <w:tl2br w:val="nil"/>
              <w:tr2bl w:val="nil"/>
            </w:tcBorders>
            <w:vAlign w:val="center"/>
          </w:tcPr>
          <w:p>
            <w:pPr>
              <w:pStyle w:val="38"/>
              <w:spacing w:after="0" w:line="240" w:lineRule="auto"/>
              <w:ind w:firstLineChars="0" w:firstLine="0"/>
              <w:jc w:val="center"/>
              <w:rPr>
                <w:rFonts w:cs="Times New Roman"/>
                <w:color w:val="auto"/>
                <w:sz w:val="22"/>
                <w:szCs w:val="21"/>
                <w:highlight w:val="none"/>
              </w:rPr>
            </w:pPr>
            <w:r>
              <w:rPr>
                <w:rFonts w:cs="Times New Roman"/>
                <w:color w:val="auto"/>
                <w:sz w:val="22"/>
                <w:szCs w:val="21"/>
                <w:highlight w:val="none"/>
              </w:rPr>
              <w:t>＜200</w:t>
            </w:r>
          </w:p>
        </w:tc>
        <w:tc>
          <w:tcPr>
            <w:tcW w:w="999" w:type="pct"/>
            <w:tcBorders>
              <w:tl2br w:val="nil"/>
              <w:tr2bl w:val="nil"/>
            </w:tcBorders>
            <w:vAlign w:val="center"/>
          </w:tcPr>
          <w:p>
            <w:pPr>
              <w:pStyle w:val="38"/>
              <w:spacing w:after="0" w:line="240" w:lineRule="auto"/>
              <w:ind w:firstLineChars="0" w:firstLine="0"/>
              <w:jc w:val="center"/>
              <w:rPr>
                <w:rFonts w:cs="Times New Roman"/>
                <w:color w:val="auto"/>
                <w:sz w:val="22"/>
                <w:szCs w:val="21"/>
                <w:highlight w:val="none"/>
              </w:rPr>
            </w:pPr>
            <w:r>
              <w:rPr>
                <w:rFonts w:cs="Times New Roman"/>
                <w:color w:val="auto"/>
                <w:sz w:val="22"/>
                <w:szCs w:val="21"/>
                <w:highlight w:val="none"/>
              </w:rPr>
              <w:t>200</w:t>
            </w:r>
            <w:r>
              <w:rPr>
                <w:rFonts w:cs="Times New Roman" w:hint="eastAsia"/>
                <w:color w:val="auto"/>
                <w:sz w:val="22"/>
                <w:szCs w:val="21"/>
                <w:highlight w:val="none"/>
              </w:rPr>
              <w:t>～</w:t>
            </w:r>
            <w:r>
              <w:rPr>
                <w:rFonts w:cs="Times New Roman"/>
                <w:color w:val="auto"/>
                <w:sz w:val="22"/>
                <w:szCs w:val="21"/>
                <w:highlight w:val="none"/>
              </w:rPr>
              <w:t>400</w:t>
            </w:r>
          </w:p>
        </w:tc>
        <w:tc>
          <w:tcPr>
            <w:tcW w:w="1000" w:type="pct"/>
            <w:tcBorders>
              <w:tl2br w:val="nil"/>
              <w:tr2bl w:val="nil"/>
            </w:tcBorders>
            <w:vAlign w:val="center"/>
          </w:tcPr>
          <w:p>
            <w:pPr>
              <w:pStyle w:val="38"/>
              <w:spacing w:after="0" w:line="240" w:lineRule="auto"/>
              <w:ind w:firstLineChars="0" w:firstLine="0"/>
              <w:jc w:val="center"/>
              <w:rPr>
                <w:rFonts w:cs="Times New Roman"/>
                <w:color w:val="auto"/>
                <w:sz w:val="22"/>
                <w:szCs w:val="21"/>
                <w:highlight w:val="none"/>
              </w:rPr>
            </w:pPr>
            <w:r>
              <w:rPr>
                <w:rFonts w:cs="Times New Roman"/>
                <w:color w:val="auto"/>
                <w:sz w:val="22"/>
                <w:szCs w:val="21"/>
                <w:highlight w:val="none"/>
              </w:rPr>
              <w:t>400</w:t>
            </w:r>
            <w:r>
              <w:rPr>
                <w:rFonts w:cs="Times New Roman" w:hint="eastAsia"/>
                <w:color w:val="auto"/>
                <w:sz w:val="22"/>
                <w:szCs w:val="21"/>
                <w:highlight w:val="none"/>
              </w:rPr>
              <w:t>～</w:t>
            </w:r>
            <w:r>
              <w:rPr>
                <w:rFonts w:cs="Times New Roman"/>
                <w:color w:val="auto"/>
                <w:sz w:val="22"/>
                <w:szCs w:val="21"/>
                <w:highlight w:val="none"/>
              </w:rPr>
              <w:t>600</w:t>
            </w:r>
          </w:p>
        </w:tc>
        <w:tc>
          <w:tcPr>
            <w:tcW w:w="1003" w:type="pct"/>
            <w:tcBorders>
              <w:tl2br w:val="nil"/>
              <w:tr2bl w:val="nil"/>
            </w:tcBorders>
            <w:vAlign w:val="center"/>
          </w:tcPr>
          <w:p>
            <w:pPr>
              <w:pStyle w:val="38"/>
              <w:spacing w:after="0" w:line="240" w:lineRule="auto"/>
              <w:ind w:firstLineChars="0" w:firstLine="0"/>
              <w:jc w:val="center"/>
              <w:rPr>
                <w:rFonts w:cs="Times New Roman"/>
                <w:color w:val="auto"/>
                <w:sz w:val="22"/>
                <w:szCs w:val="21"/>
                <w:highlight w:val="none"/>
              </w:rPr>
            </w:pPr>
            <w:r>
              <w:rPr>
                <w:rFonts w:cs="Times New Roman"/>
                <w:color w:val="auto"/>
                <w:sz w:val="22"/>
                <w:szCs w:val="21"/>
                <w:highlight w:val="none"/>
              </w:rPr>
              <w:t>＞600</w:t>
            </w:r>
          </w:p>
        </w:tc>
      </w:tr>
      <w:tr>
        <w:trPr>
          <w:trHeight w:val="397"/>
        </w:trPr>
        <w:tc>
          <w:tcPr>
            <w:tcW w:w="1165" w:type="pct"/>
            <w:tcBorders>
              <w:tl2br w:val="nil"/>
              <w:tr2bl w:val="nil"/>
            </w:tcBorders>
            <w:vAlign w:val="center"/>
          </w:tcPr>
          <w:p>
            <w:pPr>
              <w:pStyle w:val="38"/>
              <w:spacing w:after="0" w:line="240" w:lineRule="auto"/>
              <w:ind w:firstLineChars="0" w:firstLine="0"/>
              <w:jc w:val="center"/>
              <w:rPr>
                <w:rFonts w:cs="Times New Roman"/>
                <w:b/>
                <w:bCs/>
                <w:color w:val="auto"/>
                <w:sz w:val="22"/>
                <w:szCs w:val="21"/>
                <w:highlight w:val="none"/>
              </w:rPr>
            </w:pPr>
            <w:r>
              <w:rPr>
                <w:rFonts w:cs="Times New Roman"/>
                <w:b/>
                <w:bCs/>
                <w:color w:val="auto"/>
                <w:sz w:val="22"/>
                <w:szCs w:val="21"/>
                <w:highlight w:val="none"/>
              </w:rPr>
              <w:t>首选激振锤</w:t>
            </w:r>
          </w:p>
        </w:tc>
        <w:tc>
          <w:tcPr>
            <w:tcW w:w="833" w:type="pct"/>
            <w:tcBorders>
              <w:tl2br w:val="nil"/>
              <w:tr2bl w:val="nil"/>
            </w:tcBorders>
            <w:vAlign w:val="center"/>
          </w:tcPr>
          <w:p>
            <w:pPr>
              <w:pStyle w:val="38"/>
              <w:spacing w:after="0" w:line="240" w:lineRule="auto"/>
              <w:ind w:firstLineChars="0" w:firstLine="0"/>
              <w:jc w:val="center"/>
              <w:rPr>
                <w:rFonts w:cs="Times New Roman"/>
                <w:color w:val="auto"/>
                <w:sz w:val="22"/>
                <w:szCs w:val="21"/>
                <w:highlight w:val="none"/>
              </w:rPr>
            </w:pPr>
            <w:r>
              <w:rPr>
                <w:rFonts w:cs="Times New Roman"/>
                <w:color w:val="auto"/>
                <w:sz w:val="22"/>
                <w:szCs w:val="21"/>
                <w:highlight w:val="none"/>
              </w:rPr>
              <w:t>D10</w:t>
            </w:r>
          </w:p>
        </w:tc>
        <w:tc>
          <w:tcPr>
            <w:tcW w:w="999" w:type="pct"/>
            <w:tcBorders>
              <w:tl2br w:val="nil"/>
              <w:tr2bl w:val="nil"/>
            </w:tcBorders>
            <w:vAlign w:val="center"/>
          </w:tcPr>
          <w:p>
            <w:pPr>
              <w:pStyle w:val="38"/>
              <w:spacing w:after="0" w:line="240" w:lineRule="auto"/>
              <w:ind w:firstLineChars="0" w:firstLine="0"/>
              <w:jc w:val="center"/>
              <w:rPr>
                <w:rFonts w:cs="Times New Roman"/>
                <w:color w:val="auto"/>
                <w:sz w:val="22"/>
                <w:szCs w:val="21"/>
                <w:highlight w:val="none"/>
              </w:rPr>
            </w:pPr>
            <w:r>
              <w:rPr>
                <w:rFonts w:cs="Times New Roman"/>
                <w:color w:val="auto"/>
                <w:sz w:val="22"/>
                <w:szCs w:val="21"/>
                <w:highlight w:val="none"/>
              </w:rPr>
              <w:t>D17</w:t>
            </w:r>
          </w:p>
        </w:tc>
        <w:tc>
          <w:tcPr>
            <w:tcW w:w="1000" w:type="pct"/>
            <w:tcBorders>
              <w:tl2br w:val="nil"/>
              <w:tr2bl w:val="nil"/>
            </w:tcBorders>
            <w:vAlign w:val="center"/>
          </w:tcPr>
          <w:p>
            <w:pPr>
              <w:pStyle w:val="38"/>
              <w:spacing w:after="0" w:line="240" w:lineRule="auto"/>
              <w:ind w:firstLineChars="0" w:firstLine="0"/>
              <w:jc w:val="center"/>
              <w:rPr>
                <w:rFonts w:cs="Times New Roman"/>
                <w:color w:val="auto"/>
                <w:sz w:val="22"/>
                <w:szCs w:val="21"/>
                <w:highlight w:val="none"/>
              </w:rPr>
            </w:pPr>
            <w:r>
              <w:rPr>
                <w:rFonts w:cs="Times New Roman"/>
                <w:color w:val="auto"/>
                <w:sz w:val="22"/>
                <w:szCs w:val="21"/>
                <w:highlight w:val="none"/>
              </w:rPr>
              <w:t>D17</w:t>
            </w:r>
          </w:p>
        </w:tc>
        <w:tc>
          <w:tcPr>
            <w:tcW w:w="1003" w:type="pct"/>
            <w:tcBorders>
              <w:tl2br w:val="nil"/>
              <w:tr2bl w:val="nil"/>
            </w:tcBorders>
            <w:vAlign w:val="center"/>
          </w:tcPr>
          <w:p>
            <w:pPr>
              <w:pStyle w:val="38"/>
              <w:spacing w:after="0" w:line="240" w:lineRule="auto"/>
              <w:ind w:firstLineChars="0" w:firstLine="0"/>
              <w:jc w:val="center"/>
              <w:rPr>
                <w:rFonts w:cs="Times New Roman"/>
                <w:color w:val="auto"/>
                <w:sz w:val="22"/>
                <w:szCs w:val="21"/>
                <w:highlight w:val="none"/>
              </w:rPr>
            </w:pPr>
            <w:r>
              <w:rPr>
                <w:rFonts w:cs="Times New Roman"/>
                <w:color w:val="auto"/>
                <w:sz w:val="22"/>
                <w:szCs w:val="21"/>
                <w:highlight w:val="none"/>
              </w:rPr>
              <w:t>D30</w:t>
            </w:r>
          </w:p>
        </w:tc>
      </w:tr>
      <w:tr>
        <w:trPr>
          <w:trHeight w:val="397"/>
        </w:trPr>
        <w:tc>
          <w:tcPr>
            <w:tcW w:w="1165" w:type="pct"/>
            <w:tcBorders>
              <w:tl2br w:val="nil"/>
              <w:tr2bl w:val="nil"/>
            </w:tcBorders>
            <w:vAlign w:val="center"/>
          </w:tcPr>
          <w:p>
            <w:pPr>
              <w:pStyle w:val="38"/>
              <w:spacing w:after="0" w:line="240" w:lineRule="auto"/>
              <w:ind w:firstLineChars="0" w:firstLine="0"/>
              <w:jc w:val="center"/>
              <w:rPr>
                <w:rFonts w:cs="Times New Roman"/>
                <w:b/>
                <w:bCs/>
                <w:color w:val="auto"/>
                <w:sz w:val="22"/>
                <w:szCs w:val="21"/>
                <w:highlight w:val="none"/>
              </w:rPr>
            </w:pPr>
            <w:r>
              <w:rPr>
                <w:rFonts w:cs="Times New Roman"/>
                <w:b/>
                <w:bCs/>
                <w:color w:val="auto"/>
                <w:sz w:val="22"/>
                <w:szCs w:val="21"/>
                <w:highlight w:val="none"/>
              </w:rPr>
              <w:t>次选激振锤</w:t>
            </w:r>
          </w:p>
        </w:tc>
        <w:tc>
          <w:tcPr>
            <w:tcW w:w="833" w:type="pct"/>
            <w:tcBorders>
              <w:tl2br w:val="nil"/>
              <w:tr2bl w:val="nil"/>
            </w:tcBorders>
            <w:vAlign w:val="center"/>
          </w:tcPr>
          <w:p>
            <w:pPr>
              <w:pStyle w:val="38"/>
              <w:spacing w:after="0" w:line="240" w:lineRule="auto"/>
              <w:ind w:firstLineChars="0" w:firstLine="0"/>
              <w:jc w:val="center"/>
              <w:rPr>
                <w:rFonts w:cs="Times New Roman"/>
                <w:color w:val="auto"/>
                <w:sz w:val="22"/>
                <w:szCs w:val="21"/>
                <w:highlight w:val="none"/>
              </w:rPr>
            </w:pPr>
            <w:r>
              <w:rPr>
                <w:rFonts w:cs="Times New Roman"/>
                <w:color w:val="auto"/>
                <w:sz w:val="22"/>
                <w:szCs w:val="21"/>
                <w:highlight w:val="none"/>
              </w:rPr>
              <w:t>D17</w:t>
            </w:r>
          </w:p>
        </w:tc>
        <w:tc>
          <w:tcPr>
            <w:tcW w:w="999" w:type="pct"/>
            <w:tcBorders>
              <w:tl2br w:val="nil"/>
              <w:tr2bl w:val="nil"/>
            </w:tcBorders>
            <w:vAlign w:val="center"/>
          </w:tcPr>
          <w:p>
            <w:pPr>
              <w:pStyle w:val="38"/>
              <w:spacing w:after="0" w:line="240" w:lineRule="auto"/>
              <w:ind w:firstLineChars="0" w:firstLine="0"/>
              <w:jc w:val="center"/>
              <w:rPr>
                <w:rFonts w:cs="Times New Roman"/>
                <w:color w:val="auto"/>
                <w:sz w:val="22"/>
                <w:szCs w:val="21"/>
                <w:highlight w:val="none"/>
              </w:rPr>
            </w:pPr>
            <w:r>
              <w:rPr>
                <w:rFonts w:cs="Times New Roman"/>
                <w:color w:val="auto"/>
                <w:sz w:val="22"/>
                <w:szCs w:val="21"/>
                <w:highlight w:val="none"/>
              </w:rPr>
              <w:t>D10</w:t>
            </w:r>
          </w:p>
        </w:tc>
        <w:tc>
          <w:tcPr>
            <w:tcW w:w="1000" w:type="pct"/>
            <w:tcBorders>
              <w:tl2br w:val="nil"/>
              <w:tr2bl w:val="nil"/>
            </w:tcBorders>
            <w:vAlign w:val="center"/>
          </w:tcPr>
          <w:p>
            <w:pPr>
              <w:pStyle w:val="38"/>
              <w:spacing w:after="0" w:line="240" w:lineRule="auto"/>
              <w:ind w:firstLineChars="0" w:firstLine="0"/>
              <w:jc w:val="center"/>
              <w:rPr>
                <w:rFonts w:cs="Times New Roman"/>
                <w:color w:val="auto"/>
                <w:sz w:val="22"/>
                <w:szCs w:val="21"/>
                <w:highlight w:val="none"/>
              </w:rPr>
            </w:pPr>
            <w:r>
              <w:rPr>
                <w:rFonts w:cs="Times New Roman"/>
                <w:color w:val="auto"/>
                <w:sz w:val="22"/>
                <w:szCs w:val="21"/>
                <w:highlight w:val="none"/>
              </w:rPr>
              <w:t>D30</w:t>
            </w:r>
          </w:p>
        </w:tc>
        <w:tc>
          <w:tcPr>
            <w:tcW w:w="1003" w:type="pct"/>
            <w:tcBorders>
              <w:tl2br w:val="nil"/>
              <w:tr2bl w:val="nil"/>
            </w:tcBorders>
            <w:vAlign w:val="center"/>
          </w:tcPr>
          <w:p>
            <w:pPr>
              <w:pStyle w:val="38"/>
              <w:spacing w:after="0" w:line="240" w:lineRule="auto"/>
              <w:ind w:firstLineChars="0" w:firstLine="0"/>
              <w:jc w:val="center"/>
              <w:rPr>
                <w:rFonts w:cs="Times New Roman"/>
                <w:color w:val="auto"/>
                <w:sz w:val="22"/>
                <w:szCs w:val="21"/>
                <w:highlight w:val="none"/>
              </w:rPr>
            </w:pPr>
            <w:r>
              <w:rPr>
                <w:rFonts w:cs="Times New Roman"/>
                <w:color w:val="auto"/>
                <w:sz w:val="22"/>
                <w:szCs w:val="21"/>
                <w:highlight w:val="none"/>
              </w:rPr>
              <w:t>D50</w:t>
            </w:r>
          </w:p>
        </w:tc>
      </w:tr>
    </w:tbl>
    <w:p>
      <w:pPr>
        <w:pStyle w:val="3"/>
        <w:tabs>
          <w:tab w:val="left" w:pos="0"/>
          <w:tab w:val="left" w:pos="567"/>
          <w:tab w:val="left" w:pos="709"/>
          <w:tab w:val="left" w:pos="1560"/>
        </w:tabs>
        <w:ind w:firstLineChars="100" w:firstLine="200"/>
        <w:rPr>
          <w:rFonts w:cs="Times New Roman"/>
          <w:b/>
          <w:bCs w:val="0"/>
          <w:color w:val="auto"/>
          <w:sz w:val="20"/>
          <w:szCs w:val="20"/>
          <w:highlight w:val="none"/>
        </w:rPr>
      </w:pPr>
      <w:r>
        <w:rPr>
          <w:rFonts w:cs="Times New Roman"/>
          <w:b/>
          <w:bCs w:val="0"/>
          <w:color w:val="auto"/>
          <w:sz w:val="20"/>
          <w:szCs w:val="20"/>
          <w:highlight w:val="none"/>
        </w:rPr>
        <w:t>注：DXX中，D为激振锤名称代号，XX为激振锤直径</w:t>
      </w:r>
      <w:r>
        <w:rPr>
          <w:rFonts w:cs="Times New Roman" w:hint="eastAsia"/>
          <w:b/>
          <w:bCs w:val="0"/>
          <w:color w:val="auto"/>
          <w:sz w:val="20"/>
          <w:szCs w:val="20"/>
          <w:lang w:eastAsia="zh-CN"/>
          <w:highlight w:val="none"/>
        </w:rPr>
        <w:t>：</w:t>
      </w:r>
      <w:r>
        <w:rPr>
          <w:rFonts w:cs="Times New Roman" w:hint="eastAsia"/>
          <w:b/>
          <w:bCs w:val="0"/>
          <w:color w:val="auto"/>
          <w:sz w:val="20"/>
          <w:szCs w:val="20"/>
          <w:highlight w:val="none"/>
        </w:rPr>
        <w:t>构件</w:t>
      </w:r>
      <w:r>
        <w:rPr>
          <w:rFonts w:cs="Times New Roman"/>
          <w:b/>
          <w:bCs w:val="0"/>
          <w:color w:val="auto"/>
          <w:sz w:val="20"/>
          <w:szCs w:val="20"/>
          <w:highlight w:val="none"/>
        </w:rPr>
        <w:t>厚度</w:t>
      </w:r>
      <w:r>
        <w:rPr>
          <w:rFonts w:cs="Times New Roman" w:hint="eastAsia"/>
          <w:b/>
          <w:bCs w:val="0"/>
          <w:color w:val="auto"/>
          <w:sz w:val="20"/>
          <w:szCs w:val="20"/>
          <w:highlight w:val="none"/>
        </w:rPr>
        <w:t>为可</w:t>
      </w:r>
      <w:r>
        <w:rPr>
          <w:rFonts w:cs="Times New Roman"/>
          <w:b/>
          <w:bCs w:val="0"/>
          <w:color w:val="auto"/>
          <w:sz w:val="20"/>
          <w:szCs w:val="20"/>
          <w:highlight w:val="none"/>
        </w:rPr>
        <w:t>测试</w:t>
      </w:r>
      <w:r>
        <w:rPr>
          <w:rFonts w:cs="Times New Roman" w:hint="eastAsia"/>
          <w:b/>
          <w:bCs w:val="0"/>
          <w:color w:val="auto"/>
          <w:sz w:val="20"/>
          <w:szCs w:val="20"/>
          <w:highlight w:val="none"/>
        </w:rPr>
        <w:t>面厚度</w:t>
      </w:r>
      <w:r>
        <w:rPr>
          <w:rFonts w:cs="Times New Roman"/>
          <w:b/>
          <w:bCs w:val="0"/>
          <w:color w:val="auto"/>
          <w:sz w:val="20"/>
          <w:szCs w:val="20"/>
          <w:highlight w:val="none"/>
        </w:rPr>
        <w:t>。</w:t>
      </w:r>
    </w:p>
    <w:p>
      <w:pPr>
        <w:pStyle w:val="3"/>
        <w:tabs>
          <w:tab w:val="left" w:pos="0"/>
          <w:tab w:val="left" w:pos="567"/>
          <w:tab w:val="left" w:pos="709"/>
          <w:tab w:val="left" w:pos="1560"/>
        </w:tabs>
        <w:rPr>
          <w:rFonts w:cs="Times New Roman"/>
          <w:color w:val="auto"/>
          <w:highlight w:val="none"/>
        </w:rPr>
      </w:pPr>
      <w:r>
        <w:rPr>
          <w:rFonts w:cs="Times New Roman"/>
          <w:b/>
          <w:color w:val="auto"/>
          <w:szCs w:val="24"/>
          <w:highlight w:val="none"/>
        </w:rPr>
        <w:t>13.2.5　</w:t>
      </w:r>
      <w:r>
        <w:rPr>
          <w:rFonts w:cs="Times New Roman"/>
          <w:color w:val="auto"/>
          <w:highlight w:val="none"/>
        </w:rPr>
        <w:t>拾振装置应符合下列规定：</w:t>
      </w:r>
    </w:p>
    <w:p>
      <w:pPr>
        <w:rPr>
          <w:rFonts w:cs="Times New Roman"/>
          <w:color w:val="auto"/>
          <w:highlight w:val="none"/>
        </w:rPr>
      </w:pPr>
      <w:r>
        <w:rPr>
          <w:rFonts w:cs="Times New Roman"/>
          <w:b/>
          <w:bCs/>
          <w:color w:val="auto"/>
          <w:kern w:val="0"/>
          <w:szCs w:val="21"/>
          <w:highlight w:val="none"/>
        </w:rPr>
        <w:t>1　</w:t>
      </w:r>
      <w:r>
        <w:rPr>
          <w:rFonts w:cs="Times New Roman"/>
          <w:color w:val="auto"/>
          <w:highlight w:val="none"/>
        </w:rPr>
        <w:t>加速度传感器频带宽度宜为100Hz~20000Hz。</w:t>
      </w:r>
    </w:p>
    <w:p>
      <w:pPr>
        <w:rPr>
          <w:rFonts w:cs="Times New Roman"/>
          <w:color w:val="auto"/>
          <w:highlight w:val="none"/>
        </w:rPr>
      </w:pPr>
      <w:r>
        <w:rPr>
          <w:rFonts w:cs="Times New Roman"/>
          <w:b/>
          <w:bCs/>
          <w:color w:val="auto"/>
          <w:kern w:val="0"/>
          <w:szCs w:val="21"/>
          <w:highlight w:val="none"/>
        </w:rPr>
        <w:t>2　</w:t>
      </w:r>
      <w:r>
        <w:rPr>
          <w:rFonts w:cs="Times New Roman"/>
          <w:color w:val="auto"/>
          <w:highlight w:val="none"/>
        </w:rPr>
        <w:t>耦合装置宜采用带侧壁阻尼的磁性卡座或机械装置，阻尼比宜为0.2～0.5。</w:t>
      </w:r>
    </w:p>
    <w:p>
      <w:pPr>
        <w:pStyle w:val="3"/>
        <w:tabs>
          <w:tab w:val="left" w:pos="0"/>
          <w:tab w:val="left" w:pos="567"/>
          <w:tab w:val="left" w:pos="709"/>
          <w:tab w:val="left" w:pos="1560"/>
        </w:tabs>
        <w:rPr>
          <w:rFonts w:cs="Times New Roman"/>
          <w:color w:val="auto"/>
          <w:highlight w:val="none"/>
        </w:rPr>
      </w:pPr>
      <w:r>
        <w:rPr>
          <w:rFonts w:cs="Times New Roman"/>
          <w:b/>
          <w:color w:val="auto"/>
          <w:szCs w:val="24"/>
          <w:highlight w:val="none"/>
        </w:rPr>
        <w:t>13.2.6　</w:t>
      </w:r>
      <w:r>
        <w:rPr>
          <w:rFonts w:cs="Times New Roman"/>
          <w:color w:val="auto"/>
          <w:highlight w:val="none"/>
        </w:rPr>
        <w:t>信号采集系统应</w:t>
      </w:r>
      <w:r>
        <w:rPr>
          <w:rFonts w:cs="Times New Roman" w:hint="eastAsia"/>
          <w:color w:val="auto"/>
          <w:highlight w:val="none"/>
        </w:rPr>
        <w:t>符合下列规定</w:t>
      </w:r>
      <w:r>
        <w:rPr>
          <w:rFonts w:cs="Times New Roman"/>
          <w:color w:val="auto"/>
          <w:highlight w:val="none"/>
        </w:rPr>
        <w:t>：</w:t>
      </w:r>
    </w:p>
    <w:p>
      <w:pPr>
        <w:rPr>
          <w:rFonts w:cs="Times New Roman"/>
          <w:color w:val="auto"/>
          <w:highlight w:val="none"/>
        </w:rPr>
      </w:pPr>
      <w:r>
        <w:rPr>
          <w:rFonts w:cs="Times New Roman"/>
          <w:b/>
          <w:bCs/>
          <w:color w:val="auto"/>
          <w:kern w:val="0"/>
          <w:szCs w:val="21"/>
          <w:highlight w:val="none"/>
        </w:rPr>
        <w:t>1　</w:t>
      </w:r>
      <w:r>
        <w:rPr>
          <w:rFonts w:cs="Times New Roman"/>
          <w:color w:val="auto"/>
          <w:highlight w:val="none"/>
        </w:rPr>
        <w:t>信号增益宜采用电荷放大器，且增益倍率宜为1倍~100倍，放大器频带应大于传感器的有效频响范围；</w:t>
      </w:r>
    </w:p>
    <w:p>
      <w:pPr>
        <w:rPr>
          <w:rFonts w:cs="Times New Roman"/>
          <w:color w:val="auto"/>
          <w:highlight w:val="none"/>
        </w:rPr>
      </w:pPr>
      <w:r>
        <w:rPr>
          <w:rFonts w:cs="Times New Roman"/>
          <w:b/>
          <w:bCs/>
          <w:color w:val="auto"/>
          <w:kern w:val="0"/>
          <w:szCs w:val="21"/>
          <w:highlight w:val="none"/>
        </w:rPr>
        <w:t>2　</w:t>
      </w:r>
      <w:r>
        <w:rPr>
          <w:rFonts w:cs="Times New Roman"/>
          <w:color w:val="auto"/>
          <w:highlight w:val="none"/>
        </w:rPr>
        <w:t>模数转换(A/D)卡宜采用多通道，分辨率不</w:t>
      </w:r>
      <w:r>
        <w:rPr>
          <w:rFonts w:cs="Times New Roman" w:hint="eastAsia"/>
          <w:color w:val="auto"/>
          <w:highlight w:val="none"/>
        </w:rPr>
        <w:t>应</w:t>
      </w:r>
      <w:r>
        <w:rPr>
          <w:rFonts w:cs="Times New Roman"/>
          <w:color w:val="auto"/>
          <w:highlight w:val="none"/>
        </w:rPr>
        <w:t>低于16bit，最大采样频率不应小于500kHz。</w:t>
      </w:r>
    </w:p>
    <w:p>
      <w:pPr>
        <w:pStyle w:val="3"/>
        <w:tabs>
          <w:tab w:val="left" w:pos="0"/>
          <w:tab w:val="left" w:pos="567"/>
          <w:tab w:val="left" w:pos="709"/>
          <w:tab w:val="left" w:pos="1560"/>
        </w:tabs>
        <w:rPr>
          <w:rFonts w:cs="Times New Roman"/>
          <w:color w:val="auto"/>
          <w:highlight w:val="none"/>
        </w:rPr>
      </w:pPr>
      <w:r>
        <w:rPr>
          <w:rFonts w:cs="Times New Roman"/>
          <w:b/>
          <w:color w:val="auto"/>
          <w:szCs w:val="24"/>
          <w:highlight w:val="none"/>
        </w:rPr>
        <w:t>13.2.7　</w:t>
      </w:r>
      <w:r>
        <w:rPr>
          <w:rFonts w:cs="Times New Roman"/>
          <w:color w:val="auto"/>
          <w:highlight w:val="none"/>
        </w:rPr>
        <w:t>软件应具备下列功能：</w:t>
      </w:r>
    </w:p>
    <w:p>
      <w:pPr>
        <w:rPr>
          <w:rFonts w:cs="Times New Roman"/>
          <w:color w:val="auto"/>
          <w:highlight w:val="none"/>
        </w:rPr>
      </w:pPr>
      <w:r>
        <w:rPr>
          <w:rFonts w:cs="Times New Roman"/>
          <w:b/>
          <w:bCs/>
          <w:color w:val="auto"/>
          <w:kern w:val="0"/>
          <w:szCs w:val="21"/>
          <w:highlight w:val="none"/>
        </w:rPr>
        <w:t>1　</w:t>
      </w:r>
      <w:r>
        <w:rPr>
          <w:rFonts w:cs="Times New Roman"/>
          <w:color w:val="auto"/>
          <w:highlight w:val="none"/>
        </w:rPr>
        <w:t>采集软件</w:t>
      </w:r>
      <w:r>
        <w:rPr>
          <w:rFonts w:cs="Times New Roman" w:hint="eastAsia"/>
          <w:color w:val="auto"/>
          <w:highlight w:val="none"/>
        </w:rPr>
        <w:t>应具有</w:t>
      </w:r>
      <w:r>
        <w:rPr>
          <w:rFonts w:cs="Times New Roman"/>
          <w:color w:val="auto"/>
          <w:highlight w:val="none"/>
        </w:rPr>
        <w:t>滤波降噪、频响补偿、图像处理、图像输出等</w:t>
      </w:r>
      <w:r>
        <w:rPr>
          <w:rFonts w:cs="Times New Roman" w:hint="eastAsia"/>
          <w:color w:val="auto"/>
          <w:highlight w:val="none"/>
        </w:rPr>
        <w:t>功能</w:t>
      </w:r>
      <w:r>
        <w:rPr>
          <w:rFonts w:cs="Times New Roman"/>
          <w:color w:val="auto"/>
          <w:highlight w:val="none"/>
        </w:rPr>
        <w:t>；</w:t>
      </w:r>
    </w:p>
    <w:p>
      <w:pPr>
        <w:rPr>
          <w:rFonts w:cs="Times New Roman"/>
          <w:color w:val="auto"/>
          <w:highlight w:val="none"/>
        </w:rPr>
      </w:pPr>
      <w:r>
        <w:rPr>
          <w:rFonts w:cs="Times New Roman"/>
          <w:b/>
          <w:bCs/>
          <w:color w:val="auto"/>
          <w:kern w:val="0"/>
          <w:szCs w:val="21"/>
          <w:highlight w:val="none"/>
        </w:rPr>
        <w:t>2　</w:t>
      </w:r>
      <w:r>
        <w:rPr>
          <w:rFonts w:cs="Times New Roman"/>
          <w:color w:val="auto"/>
          <w:highlight w:val="none"/>
        </w:rPr>
        <w:t>分析软件应具有 快速傅立叶变换</w:t>
      </w:r>
      <w:r>
        <w:rPr>
          <w:rFonts w:cs="Times New Roman" w:hint="eastAsia"/>
          <w:color w:val="auto"/>
          <w:highlight w:val="none"/>
        </w:rPr>
        <w:t>（</w:t>
      </w:r>
      <w:r>
        <w:rPr>
          <w:rFonts w:cs="Times New Roman"/>
          <w:color w:val="auto"/>
          <w:highlight w:val="none"/>
        </w:rPr>
        <w:t>FFT</w:t>
      </w:r>
      <w:r>
        <w:rPr>
          <w:rFonts w:cs="Times New Roman" w:hint="eastAsia"/>
          <w:color w:val="auto"/>
          <w:highlight w:val="none"/>
        </w:rPr>
        <w:t>）</w:t>
      </w:r>
      <w:r>
        <w:rPr>
          <w:rFonts w:cs="Times New Roman"/>
          <w:color w:val="auto"/>
          <w:highlight w:val="none"/>
        </w:rPr>
        <w:t>、最大熵法</w:t>
      </w:r>
      <w:r>
        <w:rPr>
          <w:rFonts w:cs="Times New Roman" w:hint="eastAsia"/>
          <w:color w:val="auto"/>
          <w:highlight w:val="none"/>
        </w:rPr>
        <w:t>（</w:t>
      </w:r>
      <w:r>
        <w:rPr>
          <w:rFonts w:cs="Times New Roman"/>
          <w:color w:val="auto"/>
          <w:highlight w:val="none"/>
        </w:rPr>
        <w:t>MEM</w:t>
      </w:r>
      <w:r>
        <w:rPr>
          <w:rFonts w:cs="Times New Roman" w:hint="eastAsia"/>
          <w:color w:val="auto"/>
          <w:highlight w:val="none"/>
        </w:rPr>
        <w:t>）</w:t>
      </w:r>
      <w:r>
        <w:rPr>
          <w:rFonts w:cs="Times New Roman"/>
          <w:color w:val="auto"/>
          <w:highlight w:val="none"/>
        </w:rPr>
        <w:t>频谱分析功能。</w:t>
      </w:r>
    </w:p>
    <w:p>
      <w:pPr>
        <w:pStyle w:val="38"/>
        <w:ind w:firstLineChars="0" w:firstLine="0"/>
        <w:rPr>
          <w:rFonts w:cs="Times New Roman"/>
          <w:color w:val="auto"/>
          <w:highlight w:val="none"/>
        </w:rPr>
      </w:pPr>
      <w:r>
        <w:rPr>
          <w:rFonts w:cs="Times New Roman"/>
          <w:b/>
          <w:color w:val="auto"/>
          <w:szCs w:val="24"/>
          <w:highlight w:val="none"/>
        </w:rPr>
        <w:t>13.2.8　</w:t>
      </w:r>
      <w:r>
        <w:rPr>
          <w:rFonts w:cs="Times New Roman"/>
          <w:color w:val="auto"/>
          <w:szCs w:val="24"/>
          <w:highlight w:val="none"/>
        </w:rPr>
        <w:t>检测设备标定幅值非线性误差应在±5%以内；声信号测量相对误差应</w:t>
      </w:r>
      <w:r>
        <w:rPr>
          <w:rFonts w:cs="Times New Roman"/>
          <w:color w:val="auto"/>
          <w:highlight w:val="none"/>
        </w:rPr>
        <w:t>在±1%以内。</w:t>
      </w:r>
    </w:p>
    <w:p>
      <w:pPr>
        <w:pStyle w:val="2"/>
        <w:tabs>
          <w:tab w:val="left" w:pos="0"/>
        </w:tabs>
        <w:rPr>
          <w:rFonts w:ascii="Times New Roman" w:cs="Times New Roman" w:hAnsi="Times New Roman"/>
          <w:color w:val="auto"/>
          <w:highlight w:val="none"/>
        </w:rPr>
      </w:pPr>
      <w:bookmarkStart w:id="383" w:name="_Toc2113"/>
      <w:bookmarkStart w:id="384" w:name="_Toc27252"/>
      <w:bookmarkStart w:id="385" w:name="_Toc32260"/>
      <w:bookmarkStart w:id="386" w:name="_Toc5720"/>
      <w:bookmarkStart w:id="387" w:name="_Toc17009"/>
      <w:r>
        <w:rPr>
          <w:rFonts w:ascii="Times New Roman" w:cs="Times New Roman" w:hAnsi="Times New Roman"/>
          <w:color w:val="auto"/>
          <w:highlight w:val="none"/>
        </w:rPr>
        <w:t>13.3　检测</w:t>
      </w:r>
      <w:bookmarkEnd w:id="383"/>
      <w:bookmarkEnd w:id="384"/>
      <w:bookmarkEnd w:id="385"/>
      <w:bookmarkEnd w:id="386"/>
      <w:bookmarkEnd w:id="387"/>
    </w:p>
    <w:p>
      <w:pPr>
        <w:pStyle w:val="3"/>
        <w:tabs>
          <w:tab w:val="left" w:pos="0"/>
          <w:tab w:val="left" w:pos="567"/>
          <w:tab w:val="left" w:pos="709"/>
          <w:tab w:val="left" w:pos="1560"/>
        </w:tabs>
        <w:rPr>
          <w:rFonts w:cs="Times New Roman"/>
          <w:color w:val="auto"/>
          <w:highlight w:val="none"/>
        </w:rPr>
      </w:pPr>
      <w:r>
        <w:rPr>
          <w:rFonts w:cs="Times New Roman"/>
          <w:b/>
          <w:color w:val="auto"/>
          <w:szCs w:val="24"/>
          <w:highlight w:val="none"/>
        </w:rPr>
        <w:t>13.3.1　</w:t>
      </w:r>
      <w:r>
        <w:rPr>
          <w:rFonts w:cs="Times New Roman"/>
          <w:color w:val="auto"/>
          <w:highlight w:val="none"/>
        </w:rPr>
        <w:t>采用冲击回波法检测孔道压浆密实度的准备工作应</w:t>
      </w:r>
      <w:r>
        <w:rPr>
          <w:rFonts w:cs="Times New Roman" w:hint="eastAsia"/>
          <w:color w:val="auto"/>
          <w:highlight w:val="none"/>
        </w:rPr>
        <w:t>包括下列内容</w:t>
      </w:r>
      <w:r>
        <w:rPr>
          <w:rFonts w:cs="Times New Roman"/>
          <w:color w:val="auto"/>
          <w:highlight w:val="none"/>
        </w:rPr>
        <w:t>：</w:t>
      </w:r>
    </w:p>
    <w:p>
      <w:pPr>
        <w:rPr>
          <w:rFonts w:cs="Times New Roman"/>
          <w:color w:val="auto"/>
          <w:highlight w:val="none"/>
        </w:rPr>
      </w:pPr>
      <w:r>
        <w:rPr>
          <w:rFonts w:cs="Times New Roman"/>
          <w:b/>
          <w:bCs/>
          <w:color w:val="auto"/>
          <w:kern w:val="0"/>
          <w:szCs w:val="21"/>
          <w:highlight w:val="none"/>
        </w:rPr>
        <w:t>1　</w:t>
      </w:r>
      <w:r>
        <w:rPr>
          <w:rFonts w:cs="Times New Roman"/>
          <w:color w:val="auto"/>
          <w:highlight w:val="none"/>
        </w:rPr>
        <w:t>复核压浆孔道龄期及浆体强度；</w:t>
      </w:r>
    </w:p>
    <w:p>
      <w:pPr>
        <w:rPr>
          <w:rFonts w:cs="Times New Roman"/>
          <w:color w:val="auto"/>
          <w:highlight w:val="none"/>
        </w:rPr>
      </w:pPr>
      <w:r>
        <w:rPr>
          <w:rFonts w:cs="Times New Roman"/>
          <w:b/>
          <w:bCs/>
          <w:color w:val="auto"/>
          <w:kern w:val="0"/>
          <w:szCs w:val="21"/>
          <w:highlight w:val="none"/>
        </w:rPr>
        <w:t>2　</w:t>
      </w:r>
      <w:r>
        <w:rPr>
          <w:rFonts w:cs="Times New Roman"/>
          <w:color w:val="auto"/>
          <w:highlight w:val="none"/>
        </w:rPr>
        <w:t>清洁、整平测试面；</w:t>
      </w:r>
    </w:p>
    <w:p>
      <w:pPr>
        <w:rPr>
          <w:rFonts w:cs="Times New Roman"/>
          <w:color w:val="auto"/>
          <w:highlight w:val="none"/>
        </w:rPr>
      </w:pPr>
      <w:r>
        <w:rPr>
          <w:rFonts w:cs="Times New Roman"/>
          <w:b/>
          <w:bCs/>
          <w:color w:val="auto"/>
          <w:kern w:val="0"/>
          <w:szCs w:val="21"/>
          <w:highlight w:val="none"/>
        </w:rPr>
        <w:t>3　</w:t>
      </w:r>
      <w:r>
        <w:rPr>
          <w:rFonts w:cs="Times New Roman"/>
          <w:color w:val="auto"/>
          <w:highlight w:val="none"/>
        </w:rPr>
        <w:t>依据设计、施工资料或采用孔道定位设备，标识出孔道轴线；在标识的孔道轴线上布置测点，测点间距宜为100mm~200mm。</w:t>
      </w:r>
    </w:p>
    <w:p>
      <w:pPr>
        <w:pStyle w:val="3"/>
        <w:tabs>
          <w:tab w:val="left" w:pos="0"/>
          <w:tab w:val="left" w:pos="567"/>
          <w:tab w:val="left" w:pos="709"/>
          <w:tab w:val="left" w:pos="1560"/>
        </w:tabs>
        <w:rPr>
          <w:rFonts w:cs="Times New Roman"/>
          <w:color w:val="auto"/>
          <w:highlight w:val="none"/>
        </w:rPr>
      </w:pPr>
      <w:r>
        <w:rPr>
          <w:rFonts w:cs="Times New Roman"/>
          <w:b/>
          <w:color w:val="auto"/>
          <w:szCs w:val="24"/>
          <w:highlight w:val="none"/>
        </w:rPr>
        <w:t>13.3.2　</w:t>
      </w:r>
      <w:r>
        <w:rPr>
          <w:rFonts w:cs="Times New Roman"/>
          <w:color w:val="auto"/>
          <w:highlight w:val="none"/>
        </w:rPr>
        <w:t>冲击回波检测法应</w:t>
      </w:r>
      <w:r>
        <w:rPr>
          <w:rFonts w:hint="eastAsia"/>
          <w:color w:val="auto"/>
          <w:highlight w:val="none"/>
        </w:rPr>
        <w:t>满足下列条件</w:t>
      </w:r>
      <w:r>
        <w:rPr>
          <w:rFonts w:cs="Times New Roman"/>
          <w:color w:val="auto"/>
          <w:highlight w:val="none"/>
        </w:rPr>
        <w:t>：</w:t>
      </w:r>
    </w:p>
    <w:p>
      <w:pPr>
        <w:rPr>
          <w:rFonts w:cs="Times New Roman"/>
          <w:color w:val="auto"/>
          <w:highlight w:val="none"/>
        </w:rPr>
      </w:pPr>
      <w:r>
        <w:rPr>
          <w:rFonts w:cs="Times New Roman"/>
          <w:b/>
          <w:bCs/>
          <w:color w:val="auto"/>
          <w:kern w:val="0"/>
          <w:szCs w:val="21"/>
          <w:highlight w:val="none"/>
        </w:rPr>
        <w:t>1　</w:t>
      </w:r>
      <w:r>
        <w:rPr>
          <w:rFonts w:cs="Times New Roman"/>
          <w:color w:val="auto"/>
          <w:highlight w:val="none"/>
        </w:rPr>
        <w:t>压浆已完成，压浆施工龄期</w:t>
      </w:r>
      <w:r>
        <w:rPr>
          <w:rFonts w:cs="Times New Roman" w:hint="eastAsia"/>
          <w:color w:val="auto"/>
          <w:highlight w:val="none"/>
        </w:rPr>
        <w:t>已</w:t>
      </w:r>
      <w:r>
        <w:rPr>
          <w:rFonts w:cs="Times New Roman"/>
          <w:color w:val="auto"/>
          <w:highlight w:val="none"/>
        </w:rPr>
        <w:t>达到7d且浆体强度大于设计强度的80%；</w:t>
      </w:r>
    </w:p>
    <w:p>
      <w:pPr>
        <w:rPr>
          <w:rFonts w:cs="Times New Roman"/>
          <w:color w:val="auto"/>
          <w:highlight w:val="none"/>
        </w:rPr>
      </w:pPr>
      <w:r>
        <w:rPr>
          <w:rFonts w:cs="Times New Roman"/>
          <w:b/>
          <w:bCs/>
          <w:color w:val="auto"/>
          <w:kern w:val="0"/>
          <w:szCs w:val="21"/>
          <w:highlight w:val="none"/>
        </w:rPr>
        <w:t>2　</w:t>
      </w:r>
      <w:r>
        <w:rPr>
          <w:rFonts w:cs="Times New Roman"/>
          <w:color w:val="auto"/>
          <w:highlight w:val="none"/>
        </w:rPr>
        <w:t>测试环境无强磁场、大型设备施工等干扰；</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13.3.3　</w:t>
      </w:r>
      <w:r>
        <w:rPr>
          <w:rFonts w:cs="Times New Roman"/>
          <w:color w:val="auto"/>
          <w:highlight w:val="none"/>
        </w:rPr>
        <w:t>现场检测应符合下列规定：</w:t>
      </w:r>
    </w:p>
    <w:p>
      <w:pPr>
        <w:rPr>
          <w:rFonts w:cs="Times New Roman"/>
          <w:color w:val="auto"/>
          <w:highlight w:val="none"/>
        </w:rPr>
      </w:pPr>
      <w:r>
        <w:rPr>
          <w:rFonts w:cs="Times New Roman"/>
          <w:b/>
          <w:bCs/>
          <w:color w:val="auto"/>
          <w:kern w:val="0"/>
          <w:szCs w:val="21"/>
          <w:highlight w:val="none"/>
        </w:rPr>
        <w:t>1　</w:t>
      </w:r>
      <w:r>
        <w:rPr>
          <w:rFonts w:cs="Times New Roman"/>
          <w:color w:val="auto"/>
          <w:highlight w:val="none"/>
        </w:rPr>
        <w:t>现场检测应采用逐点式进行采集，并应根据被检梁板厚度按本标准表13.2.4选择适宜的激振锤</w:t>
      </w:r>
      <w:r>
        <w:rPr>
          <w:rFonts w:cs="Times New Roman" w:hint="eastAsia"/>
          <w:color w:val="auto"/>
          <w:highlight w:val="none"/>
        </w:rPr>
        <w:t>；</w:t>
      </w:r>
    </w:p>
    <w:p>
      <w:pPr>
        <w:rPr>
          <w:rFonts w:cs="Times New Roman"/>
          <w:color w:val="auto"/>
          <w:highlight w:val="none"/>
        </w:rPr>
      </w:pPr>
      <w:r>
        <w:rPr>
          <w:rFonts w:cs="Times New Roman"/>
          <w:b/>
          <w:bCs/>
          <w:color w:val="auto"/>
          <w:kern w:val="0"/>
          <w:szCs w:val="21"/>
          <w:highlight w:val="none"/>
        </w:rPr>
        <w:t>2　</w:t>
      </w:r>
      <w:r>
        <w:rPr>
          <w:rFonts w:cs="Times New Roman"/>
          <w:color w:val="auto"/>
          <w:highlight w:val="none"/>
        </w:rPr>
        <w:t>测点传感器受信面应与构件表面密切接触，激振方向应与被测构件表面垂直，激振点宜布置在孔道轴线上。</w:t>
      </w:r>
    </w:p>
    <w:p>
      <w:pPr>
        <w:rPr>
          <w:rFonts w:cs="Times New Roman"/>
          <w:color w:val="auto"/>
          <w:highlight w:val="none"/>
        </w:rPr>
      </w:pPr>
      <w:r>
        <w:rPr>
          <w:rFonts w:cs="Times New Roman"/>
          <w:b/>
          <w:bCs/>
          <w:color w:val="auto"/>
          <w:kern w:val="0"/>
          <w:szCs w:val="21"/>
          <w:highlight w:val="none"/>
        </w:rPr>
        <w:t>3　</w:t>
      </w:r>
      <w:r>
        <w:rPr>
          <w:rFonts w:cs="Times New Roman"/>
          <w:color w:val="auto"/>
          <w:highlight w:val="none"/>
        </w:rPr>
        <w:t>构件两端的锚</w:t>
      </w:r>
      <w:r>
        <w:rPr>
          <w:rFonts w:cs="Times New Roman" w:hint="eastAsia"/>
          <w:color w:val="auto"/>
          <w:highlight w:val="none"/>
        </w:rPr>
        <w:t>固</w:t>
      </w:r>
      <w:r>
        <w:rPr>
          <w:rFonts w:cs="Times New Roman"/>
          <w:color w:val="auto"/>
          <w:highlight w:val="none"/>
        </w:rPr>
        <w:t>区域、管道最高点位置应重点检测。</w:t>
      </w:r>
    </w:p>
    <w:p>
      <w:pPr>
        <w:pStyle w:val="3"/>
        <w:tabs>
          <w:tab w:val="left" w:pos="0"/>
          <w:tab w:val="left" w:pos="567"/>
          <w:tab w:val="left" w:pos="709"/>
          <w:tab w:val="left" w:pos="1560"/>
        </w:tabs>
        <w:rPr>
          <w:rFonts w:cs="Times New Roman"/>
          <w:b/>
          <w:color w:val="auto"/>
          <w:highlight w:val="none"/>
        </w:rPr>
      </w:pPr>
      <w:r>
        <w:rPr>
          <w:rFonts w:cs="Times New Roman"/>
          <w:b/>
          <w:color w:val="auto"/>
          <w:highlight w:val="none"/>
        </w:rPr>
        <w:t>13.3.4　</w:t>
      </w:r>
      <w:r>
        <w:rPr>
          <w:rFonts w:cs="Times New Roman"/>
          <w:color w:val="auto"/>
          <w:highlight w:val="none"/>
        </w:rPr>
        <w:t>检测频率应符合下列规定：</w:t>
      </w:r>
    </w:p>
    <w:p>
      <w:pPr>
        <w:rPr>
          <w:rFonts w:cs="Times New Roman"/>
          <w:color w:val="auto"/>
          <w:highlight w:val="none"/>
        </w:rPr>
      </w:pPr>
      <w:r>
        <w:rPr>
          <w:rFonts w:cs="Times New Roman"/>
          <w:b/>
          <w:bCs/>
          <w:color w:val="auto"/>
          <w:kern w:val="0"/>
          <w:szCs w:val="21"/>
          <w:highlight w:val="none"/>
        </w:rPr>
        <w:t>1　</w:t>
      </w:r>
      <w:r>
        <w:rPr>
          <w:rFonts w:cs="Times New Roman"/>
          <w:color w:val="auto"/>
          <w:highlight w:val="none"/>
        </w:rPr>
        <w:t>各种构件类型，首次施工、施工工艺改变、压浆材料或设备更换时，应对最初施工的3个构件进行压浆密实度检测；</w:t>
      </w:r>
    </w:p>
    <w:p>
      <w:pPr>
        <w:rPr>
          <w:rFonts w:cs="Times New Roman"/>
          <w:color w:val="auto"/>
          <w:highlight w:val="none"/>
        </w:rPr>
      </w:pPr>
      <w:r>
        <w:rPr>
          <w:rFonts w:cs="Times New Roman"/>
          <w:b/>
          <w:bCs/>
          <w:color w:val="auto"/>
          <w:kern w:val="0"/>
          <w:szCs w:val="21"/>
          <w:highlight w:val="none"/>
        </w:rPr>
        <w:t>2　</w:t>
      </w:r>
      <w:r>
        <w:rPr>
          <w:rFonts w:cs="Times New Roman"/>
          <w:color w:val="auto"/>
          <w:highlight w:val="none"/>
        </w:rPr>
        <w:t>压浆密实度抽检比例，每种构件类型不应少于构件总数的5%且不少于3个构件；</w:t>
      </w:r>
    </w:p>
    <w:p>
      <w:pPr>
        <w:rPr>
          <w:rFonts w:cs="Times New Roman"/>
          <w:color w:val="auto"/>
          <w:highlight w:val="none"/>
        </w:rPr>
      </w:pPr>
      <w:r>
        <w:rPr>
          <w:rFonts w:cs="Times New Roman"/>
          <w:b/>
          <w:bCs/>
          <w:color w:val="auto"/>
          <w:kern w:val="0"/>
          <w:szCs w:val="21"/>
          <w:highlight w:val="none"/>
        </w:rPr>
        <w:t>3　</w:t>
      </w:r>
      <w:r>
        <w:rPr>
          <w:rFonts w:cs="Times New Roman"/>
          <w:color w:val="auto"/>
          <w:highlight w:val="none"/>
        </w:rPr>
        <w:t>抽查的构件应对所有可检测的预应力孔道进行检测；</w:t>
      </w:r>
    </w:p>
    <w:p>
      <w:pPr>
        <w:rPr>
          <w:rFonts w:cs="Times New Roman"/>
          <w:color w:val="auto"/>
          <w:highlight w:val="none"/>
        </w:rPr>
      </w:pPr>
      <w:r>
        <w:rPr>
          <w:rFonts w:cs="Times New Roman"/>
          <w:b/>
          <w:bCs/>
          <w:color w:val="auto"/>
          <w:kern w:val="0"/>
          <w:szCs w:val="21"/>
          <w:highlight w:val="none"/>
        </w:rPr>
        <w:t>4　</w:t>
      </w:r>
      <w:r>
        <w:rPr>
          <w:rFonts w:cs="Times New Roman"/>
          <w:color w:val="auto"/>
          <w:highlight w:val="none"/>
        </w:rPr>
        <w:t>当检测的孔道不合格数超过抽检孔道总数的10%时，应双倍抽检，并开孔复查。</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13.3.5　</w:t>
      </w:r>
      <w:r>
        <w:rPr>
          <w:rFonts w:cs="Times New Roman"/>
          <w:color w:val="auto"/>
          <w:highlight w:val="none"/>
        </w:rPr>
        <w:t>冲击回波法</w:t>
      </w:r>
      <w:r>
        <w:rPr>
          <w:rFonts w:cs="Times New Roman" w:hint="eastAsia"/>
          <w:color w:val="auto"/>
          <w:highlight w:val="none"/>
        </w:rPr>
        <w:t>检测</w:t>
      </w:r>
      <w:r>
        <w:rPr>
          <w:rFonts w:cs="Times New Roman"/>
          <w:color w:val="auto"/>
          <w:highlight w:val="none"/>
        </w:rPr>
        <w:t>记录可按</w:t>
      </w:r>
      <w:r>
        <w:rPr>
          <w:rFonts w:cs="Times New Roman"/>
          <w:color w:val="auto"/>
          <w:szCs w:val="24"/>
          <w:highlight w:val="none"/>
        </w:rPr>
        <w:t>本标准</w:t>
      </w:r>
      <w:r>
        <w:rPr>
          <w:rFonts w:cs="Times New Roman"/>
          <w:color w:val="auto"/>
          <w:highlight w:val="none"/>
        </w:rPr>
        <w:t>附录K</w:t>
      </w:r>
      <w:r>
        <w:rPr>
          <w:rFonts w:cs="Times New Roman" w:hint="eastAsia"/>
          <w:color w:val="auto"/>
          <w:highlight w:val="none"/>
        </w:rPr>
        <w:t>进行</w:t>
      </w:r>
      <w:r>
        <w:rPr>
          <w:rFonts w:cs="Times New Roman"/>
          <w:color w:val="auto"/>
          <w:highlight w:val="none"/>
        </w:rPr>
        <w:t>。</w:t>
      </w:r>
    </w:p>
    <w:p>
      <w:pPr>
        <w:pStyle w:val="2"/>
        <w:tabs>
          <w:tab w:val="left" w:pos="0"/>
        </w:tabs>
        <w:rPr>
          <w:rFonts w:ascii="Times New Roman" w:cs="Times New Roman" w:hAnsi="Times New Roman"/>
          <w:color w:val="auto"/>
          <w:highlight w:val="none"/>
        </w:rPr>
      </w:pPr>
      <w:bookmarkStart w:id="388" w:name="_Toc13422"/>
      <w:bookmarkStart w:id="389" w:name="_Toc8009"/>
      <w:bookmarkStart w:id="390" w:name="_Toc20875"/>
      <w:bookmarkStart w:id="391" w:name="_Toc21770"/>
      <w:bookmarkStart w:id="392" w:name="_Toc6926"/>
      <w:r>
        <w:rPr>
          <w:rFonts w:ascii="Times New Roman" w:cs="Times New Roman" w:hAnsi="Times New Roman"/>
          <w:color w:val="auto"/>
          <w:highlight w:val="none"/>
        </w:rPr>
        <w:t>13.4　评定</w:t>
      </w:r>
      <w:bookmarkEnd w:id="388"/>
      <w:bookmarkEnd w:id="389"/>
      <w:bookmarkEnd w:id="390"/>
      <w:bookmarkEnd w:id="391"/>
      <w:bookmarkEnd w:id="392"/>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13.4.1　</w:t>
      </w:r>
      <w:r>
        <w:rPr>
          <w:rFonts w:cs="Times New Roman"/>
          <w:color w:val="auto"/>
          <w:highlight w:val="none"/>
        </w:rPr>
        <w:t>桥梁构件预应力孔道压浆密实度质量评定应采用最长压浆缺陷长度</w:t>
      </w:r>
      <w:r>
        <w:rPr>
          <w:rFonts w:cs="Times New Roman" w:hint="eastAsia"/>
          <w:color w:val="auto"/>
          <w:highlight w:val="none"/>
        </w:rPr>
        <w:t>（</w:t>
      </w:r>
      <w:r>
        <w:rPr>
          <w:rFonts w:cs="Times New Roman"/>
          <w:color w:val="auto"/>
          <w:position w:val="-12"/>
          <w:highlight w:val="none"/>
        </w:rPr>
        <w:object>
          <v:shape id="_x0000_i1049" type="#_x0000_t75" filled="f" style="width:23.0pt;height:18.0pt;" o:ole="">
            <v:imagedata r:id="rId79" o:title="image47"/>
            <o:lock aspectratio="t"/>
            <w10:anchorLock/>
          </v:shape>
          <o:OLEObject Type="Embed" ProgID="Equation.KSEE3" ShapeID="_x0000_i1049" DrawAspect="Content" ObjectID="_1393063375" r:id="rId80"/>
        </w:object>
      </w:r>
      <w:r>
        <w:rPr>
          <w:rFonts w:cs="Times New Roman" w:hint="eastAsia"/>
          <w:color w:val="auto"/>
          <w:highlight w:val="none"/>
        </w:rPr>
        <w:t>）</w:t>
      </w:r>
      <w:r>
        <w:rPr>
          <w:rFonts w:cs="Times New Roman"/>
          <w:color w:val="auto"/>
          <w:highlight w:val="none"/>
        </w:rPr>
        <w:t>与压浆密实度指数</w:t>
      </w:r>
      <w:r>
        <w:rPr>
          <w:rFonts w:cs="Times New Roman" w:hint="eastAsia"/>
          <w:color w:val="auto"/>
          <w:highlight w:val="none"/>
        </w:rPr>
        <w:t>（</w:t>
      </w:r>
      <w:r>
        <w:rPr>
          <w:rFonts w:cs="Times New Roman"/>
          <w:i/>
          <w:color w:val="auto"/>
          <w:highlight w:val="none"/>
        </w:rPr>
        <w:t>D</w:t>
      </w:r>
      <w:r>
        <w:rPr>
          <w:rFonts w:cs="Times New Roman" w:hint="eastAsia"/>
          <w:color w:val="auto"/>
          <w:highlight w:val="none"/>
        </w:rPr>
        <w:t>）</w:t>
      </w:r>
      <w:r>
        <w:rPr>
          <w:rFonts w:cs="Times New Roman"/>
          <w:color w:val="auto"/>
          <w:highlight w:val="none"/>
        </w:rPr>
        <w:t>两项指标综合判定。</w:t>
      </w:r>
    </w:p>
    <w:p>
      <w:pPr>
        <w:ind w:firstLineChars="0" w:firstLine="0"/>
        <w:jc w:val="center"/>
        <w:textAlignment w:val="center"/>
        <w:rPr>
          <w:rFonts w:eastAsia="仿宋" w:cs="Times New Roman"/>
          <w:bCs/>
          <w:color w:val="auto"/>
          <w:kern w:val="0"/>
          <w:szCs w:val="24"/>
          <w:shd w:val="clear" w:color="FFFFFF" w:fill="D9D9D9"/>
          <w:highlight w:val="none"/>
        </w:rPr>
      </w:pPr>
      <w:r>
        <w:rPr>
          <w:rFonts w:eastAsia="仿宋" w:cs="Times New Roman" w:hint="eastAsia"/>
          <w:b/>
          <w:bCs/>
          <w:color w:val="auto"/>
          <w:shd w:val="pct10" w:color="auto" w:fill="FFFFFF"/>
          <w:lang w:val="en-US" w:eastAsia="zh-CN"/>
          <w:highlight w:val="none"/>
        </w:rPr>
        <w:t>条文说明</w:t>
      </w:r>
      <w:r>
        <w:rPr>
          <w:rFonts w:eastAsia="仿宋" w:cs="Times New Roman"/>
          <w:b/>
          <w:bCs/>
          <w:color w:val="auto"/>
          <w:shd w:val="clear" w:color="FFFFFF" w:fill="D9D9D9"/>
          <w:highlight w:val="none"/>
        </w:rPr>
        <w:t>13.4.1　</w:t>
      </w:r>
      <w:r>
        <w:rPr>
          <w:rFonts w:eastAsia="仿宋" w:cs="Times New Roman"/>
          <w:bCs/>
          <w:color w:val="auto"/>
          <w:kern w:val="0"/>
          <w:szCs w:val="24"/>
          <w:shd w:val="clear" w:color="FFFFFF" w:fill="D9D9D9"/>
          <w:highlight w:val="none"/>
        </w:rPr>
        <w:t>最长压浆缺陷长</w:t>
      </w:r>
      <w:r>
        <w:rPr>
          <w:rFonts w:ascii="Times New Roman" w:eastAsia="仿宋" w:cs="Times New Roman" w:hAnsi="Times New Roman"/>
          <w:bCs/>
          <w:color w:val="auto"/>
          <w:kern w:val="0"/>
          <w:szCs w:val="24"/>
          <w:shd w:val="clear" w:color="FFFFFF" w:fill="D9D9D9"/>
          <w:highlight w:val="none"/>
        </w:rPr>
        <w:t>度</w:t>
      </w:r>
      <w:r>
        <w:rPr>
          <w:rFonts w:ascii="Times New Roman" w:eastAsia="仿宋" w:cs="Times New Roman" w:hAnsi="Times New Roman"/>
          <w:bCs/>
          <w:color w:val="auto"/>
          <w:kern w:val="0"/>
          <w:position w:val="0"/>
          <w:szCs w:val="24"/>
          <w:shd w:val="clear" w:color="FFFFFF" w:fill="D9D9D9"/>
          <w:highlight w:val="none"/>
        </w:rPr>
        <w:object>
          <v:shape id="_x0000_i1050" type="#_x0000_t75" filled="f" style="width:23.0pt;height:18.0pt;" o:ole="">
            <v:imagedata r:id="rId81" o:title="image47"/>
            <o:lock aspectratio="t"/>
            <w10:anchorLock/>
          </v:shape>
          <o:OLEObject Type="Embed" ProgID="Equation.KSEE3" ShapeID="_x0000_i1050" DrawAspect="Content" ObjectID="_1393063376" r:id="rId82"/>
        </w:object>
      </w:r>
      <w:r>
        <w:rPr>
          <w:rFonts w:ascii="Times New Roman" w:eastAsia="仿宋" w:cs="Times New Roman" w:hAnsi="Times New Roman"/>
          <w:bCs/>
          <w:color w:val="auto"/>
          <w:kern w:val="0"/>
          <w:szCs w:val="24"/>
          <w:shd w:val="clear" w:color="FFFFFF" w:fill="D9D9D9"/>
          <w:highlight w:val="none"/>
        </w:rPr>
        <w:t>为预</w:t>
      </w:r>
      <w:r>
        <w:rPr>
          <w:rFonts w:eastAsia="仿宋" w:cs="Times New Roman"/>
          <w:bCs/>
          <w:color w:val="auto"/>
          <w:kern w:val="0"/>
          <w:szCs w:val="24"/>
          <w:shd w:val="clear" w:color="FFFFFF" w:fill="D9D9D9"/>
          <w:highlight w:val="none"/>
        </w:rPr>
        <w:t>应力孔道内单个压浆缺陷的最大连续长度。</w:t>
      </w:r>
    </w:p>
    <w:p>
      <w:pPr>
        <w:rPr>
          <w:color w:val="auto"/>
          <w:highlight w:val="none"/>
        </w:rPr>
      </w:pP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13.4.2　</w:t>
      </w:r>
      <w:r>
        <w:rPr>
          <w:rFonts w:cs="Times New Roman"/>
          <w:color w:val="auto"/>
          <w:highlight w:val="none"/>
        </w:rPr>
        <w:t>压浆缺陷分为轻度缺陷和重度缺陷，可根据等效波速法的等效波速或缺陷长度按表13.4.2确定。</w:t>
      </w:r>
    </w:p>
    <w:p>
      <w:pPr>
        <w:ind w:firstLineChars="0" w:firstLine="0"/>
        <w:jc w:val="center"/>
        <w:rPr>
          <w:rFonts w:cs="Times New Roman"/>
          <w:b/>
          <w:color w:val="auto"/>
          <w:sz w:val="21"/>
          <w:szCs w:val="21"/>
          <w:highlight w:val="none"/>
        </w:rPr>
      </w:pPr>
      <w:r>
        <w:rPr>
          <w:rFonts w:cs="Times New Roman"/>
          <w:b/>
          <w:color w:val="auto"/>
          <w:sz w:val="21"/>
          <w:szCs w:val="21"/>
          <w:highlight w:val="none"/>
        </w:rPr>
        <w:t>表13.4.2　压浆状态缺陷分级标准</w:t>
      </w:r>
    </w:p>
    <w:tbl>
      <w:tblPr>
        <w:jc w:val="left"/>
        <w:tblInd w:w="0" w:type="dxa"/>
        <w:tblW w:w="851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600" w:firstRow="0" w:lastRow="0" w:firstColumn="0" w:lastColumn="0" w:noHBand="1" w:noVBand="1"/>
      </w:tblPr>
      <w:tblGrid>
        <w:gridCol w:w="1182"/>
        <w:gridCol w:w="1141"/>
        <w:gridCol w:w="1941"/>
        <w:gridCol w:w="1416"/>
        <w:gridCol w:w="1312"/>
        <w:gridCol w:w="1527"/>
      </w:tblGrid>
      <w:tr>
        <w:trPr>
          <w:trHeight w:val="425"/>
        </w:trPr>
        <w:tc>
          <w:tcPr>
            <w:tcW w:w="1182" w:type="dxa"/>
            <w:vAlign w:val="center"/>
          </w:tcPr>
          <w:p>
            <w:pPr>
              <w:spacing w:line="240" w:lineRule="auto"/>
              <w:ind w:firstLineChars="0" w:firstLine="0"/>
              <w:jc w:val="center"/>
              <w:rPr>
                <w:rFonts w:cs="Times New Roman"/>
                <w:b/>
                <w:bCs/>
                <w:color w:val="auto"/>
                <w:sz w:val="21"/>
                <w:szCs w:val="21"/>
                <w:highlight w:val="none"/>
              </w:rPr>
            </w:pPr>
            <w:r>
              <w:rPr>
                <w:rFonts w:cs="Times New Roman"/>
                <w:b/>
                <w:bCs/>
                <w:color w:val="auto"/>
                <w:sz w:val="21"/>
                <w:szCs w:val="21"/>
                <w:highlight w:val="none"/>
              </w:rPr>
              <w:t>孔道材质</w:t>
            </w:r>
          </w:p>
        </w:tc>
        <w:tc>
          <w:tcPr>
            <w:tcW w:w="1141" w:type="dxa"/>
            <w:vAlign w:val="center"/>
          </w:tcPr>
          <w:p>
            <w:pPr>
              <w:spacing w:line="240" w:lineRule="auto"/>
              <w:ind w:firstLineChars="0" w:firstLine="0"/>
              <w:jc w:val="center"/>
              <w:rPr>
                <w:rFonts w:cs="Times New Roman"/>
                <w:b/>
                <w:bCs/>
                <w:color w:val="auto"/>
                <w:sz w:val="21"/>
                <w:szCs w:val="21"/>
                <w:highlight w:val="none"/>
              </w:rPr>
            </w:pPr>
            <w:r>
              <w:rPr>
                <w:rFonts w:cs="Times New Roman"/>
                <w:b/>
                <w:bCs/>
                <w:color w:val="auto"/>
                <w:sz w:val="21"/>
                <w:szCs w:val="21"/>
                <w:highlight w:val="none"/>
              </w:rPr>
              <w:t>检测方向</w:t>
            </w:r>
          </w:p>
        </w:tc>
        <w:tc>
          <w:tcPr>
            <w:tcW w:w="1941" w:type="dxa"/>
            <w:vAlign w:val="center"/>
          </w:tcPr>
          <w:p>
            <w:pPr>
              <w:spacing w:line="240" w:lineRule="auto"/>
              <w:ind w:firstLineChars="0" w:firstLine="0"/>
              <w:jc w:val="center"/>
              <w:rPr>
                <w:rFonts w:cs="Times New Roman"/>
                <w:b/>
                <w:bCs/>
                <w:color w:val="auto"/>
                <w:sz w:val="21"/>
                <w:szCs w:val="21"/>
                <w:highlight w:val="none"/>
              </w:rPr>
            </w:pPr>
            <w:r>
              <w:rPr>
                <w:rFonts w:cs="Times New Roman"/>
                <w:b/>
                <w:bCs/>
                <w:color w:val="auto"/>
                <w:sz w:val="21"/>
                <w:szCs w:val="21"/>
                <w:highlight w:val="none"/>
              </w:rPr>
              <w:t>等效波速</w:t>
            </w:r>
          </w:p>
        </w:tc>
        <w:tc>
          <w:tcPr>
            <w:tcW w:w="1416" w:type="dxa"/>
            <w:vAlign w:val="center"/>
          </w:tcPr>
          <w:p>
            <w:pPr>
              <w:spacing w:line="240" w:lineRule="auto"/>
              <w:ind w:firstLineChars="0" w:firstLine="0"/>
              <w:jc w:val="center"/>
              <w:rPr>
                <w:rFonts w:cs="Times New Roman"/>
                <w:b/>
                <w:bCs/>
                <w:color w:val="auto"/>
                <w:sz w:val="21"/>
                <w:szCs w:val="21"/>
                <w:highlight w:val="none"/>
              </w:rPr>
            </w:pPr>
            <w:r>
              <w:rPr>
                <w:rFonts w:cs="Times New Roman"/>
                <w:b/>
                <w:bCs/>
                <w:color w:val="auto"/>
                <w:sz w:val="21"/>
                <w:szCs w:val="21"/>
                <w:highlight w:val="none"/>
              </w:rPr>
              <w:t>缺陷长度(m)</w:t>
            </w:r>
          </w:p>
        </w:tc>
        <w:tc>
          <w:tcPr>
            <w:tcW w:w="1312" w:type="dxa"/>
            <w:vAlign w:val="center"/>
          </w:tcPr>
          <w:p>
            <w:pPr>
              <w:spacing w:line="240" w:lineRule="auto"/>
              <w:ind w:firstLineChars="0" w:firstLine="0"/>
              <w:jc w:val="center"/>
              <w:rPr>
                <w:rFonts w:cs="Times New Roman"/>
                <w:b/>
                <w:bCs/>
                <w:color w:val="auto"/>
                <w:sz w:val="21"/>
                <w:szCs w:val="21"/>
                <w:highlight w:val="none"/>
              </w:rPr>
            </w:pPr>
            <w:r>
              <w:rPr>
                <w:rFonts w:cs="Times New Roman"/>
                <w:b/>
                <w:bCs/>
                <w:color w:val="auto"/>
                <w:sz w:val="21"/>
                <w:szCs w:val="21"/>
                <w:highlight w:val="none"/>
              </w:rPr>
              <w:t>缺陷分级</w:t>
            </w:r>
          </w:p>
        </w:tc>
        <w:tc>
          <w:tcPr>
            <w:tcW w:w="1527" w:type="dxa"/>
            <w:vAlign w:val="center"/>
          </w:tcPr>
          <w:p>
            <w:pPr>
              <w:spacing w:line="240" w:lineRule="auto"/>
              <w:ind w:firstLineChars="0" w:firstLine="0"/>
              <w:jc w:val="center"/>
              <w:rPr>
                <w:rFonts w:cs="Times New Roman"/>
                <w:b/>
                <w:bCs/>
                <w:color w:val="auto"/>
                <w:sz w:val="21"/>
                <w:szCs w:val="21"/>
                <w:highlight w:val="none"/>
              </w:rPr>
            </w:pPr>
            <w:r>
              <w:rPr>
                <w:rFonts w:cs="Times New Roman"/>
                <w:b/>
                <w:bCs/>
                <w:color w:val="auto"/>
                <w:sz w:val="21"/>
                <w:szCs w:val="21"/>
                <w:highlight w:val="none"/>
              </w:rPr>
              <w:t>压浆状态系数</w:t>
            </w:r>
            <m:oMath>
              <m:sSub>
                <m:sSubPr>
                  <m:ctrlPr>
                    <w:rPr>
                      <w:rFonts w:ascii="Cambria Math" w:eastAsia="黑体" w:cs="Times New Roman" w:hAnsi="Cambria Math"/>
                      <w:b/>
                      <w:bCs/>
                      <w:color w:val="auto"/>
                    </w:rPr>
                  </m:ctrlPr>
                </m:sSubPr>
                <m:e>
                  <m:r>
                    <m:rPr>
                      <m:sty m:val="bi"/>
                    </m:rPr>
                    <w:rPr>
                      <w:rFonts w:ascii="Cambria Math" w:eastAsia="黑体" w:cs="Times New Roman" w:hAnsi="Cambria Math"/>
                      <w:color w:val="auto"/>
                      <w:highlight w:val="none"/>
                    </w:rPr>
                    <m:t>β</m:t>
                  </m:r>
                </m:e>
                <m:sub>
                  <m:r>
                    <m:rPr>
                      <m:sty m:val="bi"/>
                    </m:rPr>
                    <w:rPr>
                      <w:rFonts w:ascii="Cambria Math" w:eastAsia="黑体" w:cs="Times New Roman" w:hAnsi="Cambria Math"/>
                      <w:color w:val="auto"/>
                      <w:highlight w:val="none"/>
                    </w:rPr>
                    <m:t>i</m:t>
                  </m:r>
                </m:sub>
              </m:sSub>
            </m:oMath>
          </w:p>
        </w:tc>
      </w:tr>
      <w:tr>
        <w:trPr>
          <w:trHeight w:val="425"/>
        </w:trPr>
        <w:tc>
          <w:tcPr>
            <w:tcW w:w="1182" w:type="dxa"/>
            <w:vMerge w:val="restart"/>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金属</w:t>
            </w:r>
          </w:p>
        </w:tc>
        <w:tc>
          <w:tcPr>
            <w:tcW w:w="1141" w:type="dxa"/>
            <w:vMerge w:val="restart"/>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水平</w:t>
            </w:r>
          </w:p>
        </w:tc>
        <w:tc>
          <w:tcPr>
            <w:tcW w:w="1941"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降低5%以下</w:t>
            </w:r>
          </w:p>
        </w:tc>
        <w:tc>
          <w:tcPr>
            <w:tcW w:w="1416"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w:t>
            </w:r>
          </w:p>
        </w:tc>
        <w:tc>
          <w:tcPr>
            <w:tcW w:w="1312"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良好</w:t>
            </w:r>
          </w:p>
        </w:tc>
        <w:tc>
          <w:tcPr>
            <w:tcW w:w="1527"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1</w:t>
            </w:r>
          </w:p>
        </w:tc>
      </w:tr>
      <w:tr>
        <w:trPr>
          <w:trHeight w:val="425"/>
        </w:trPr>
        <w:tc>
          <w:tcPr>
            <w:tcW w:w="1182" w:type="dxa"/>
            <w:vMerge/>
            <w:vAlign w:val="center"/>
          </w:tcPr>
          <w:p/>
        </w:tc>
        <w:tc>
          <w:tcPr>
            <w:tcW w:w="1141" w:type="dxa"/>
            <w:vMerge/>
            <w:vAlign w:val="center"/>
          </w:tcPr>
          <w:p/>
        </w:tc>
        <w:tc>
          <w:tcPr>
            <w:tcW w:w="1941"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降低5%~10%</w:t>
            </w:r>
          </w:p>
        </w:tc>
        <w:tc>
          <w:tcPr>
            <w:tcW w:w="1416"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≤0.4</w:t>
            </w:r>
          </w:p>
        </w:tc>
        <w:tc>
          <w:tcPr>
            <w:tcW w:w="1312" w:type="dxa"/>
            <w:vAlign w:val="center"/>
          </w:tcPr>
          <w:p>
            <w:pPr>
              <w:ind w:firstLineChars="0" w:firstLine="0"/>
              <w:jc w:val="center"/>
              <w:rPr>
                <w:rFonts w:cs="Times New Roman"/>
                <w:color w:val="auto"/>
                <w:highlight w:val="none"/>
              </w:rPr>
            </w:pPr>
            <w:r>
              <w:rPr>
                <w:rFonts w:cs="Times New Roman"/>
                <w:color w:val="auto"/>
                <w:sz w:val="21"/>
                <w:szCs w:val="21"/>
                <w:highlight w:val="none"/>
              </w:rPr>
              <w:t>轻度</w:t>
            </w:r>
          </w:p>
        </w:tc>
        <w:tc>
          <w:tcPr>
            <w:tcW w:w="1527" w:type="dxa"/>
            <w:vAlign w:val="center"/>
          </w:tcPr>
          <w:p>
            <w:pPr>
              <w:ind w:firstLineChars="0" w:firstLine="0"/>
              <w:jc w:val="center"/>
              <w:rPr>
                <w:rFonts w:cs="Times New Roman"/>
                <w:color w:val="auto"/>
                <w:sz w:val="21"/>
                <w:szCs w:val="21"/>
                <w:highlight w:val="none"/>
              </w:rPr>
            </w:pPr>
            <w:r>
              <w:rPr>
                <w:rFonts w:cs="Times New Roman"/>
                <w:color w:val="auto"/>
                <w:highlight w:val="none"/>
              </w:rPr>
              <w:t>0.5</w:t>
            </w:r>
          </w:p>
        </w:tc>
      </w:tr>
      <w:tr>
        <w:trPr>
          <w:trHeight w:val="425"/>
        </w:trPr>
        <w:tc>
          <w:tcPr>
            <w:tcW w:w="1182" w:type="dxa"/>
            <w:vMerge/>
            <w:vAlign w:val="center"/>
          </w:tcPr>
          <w:p/>
        </w:tc>
        <w:tc>
          <w:tcPr>
            <w:tcW w:w="1141" w:type="dxa"/>
            <w:vMerge/>
            <w:vAlign w:val="center"/>
          </w:tcPr>
          <w:p/>
        </w:tc>
        <w:tc>
          <w:tcPr>
            <w:tcW w:w="1941"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降低10%以上</w:t>
            </w:r>
          </w:p>
        </w:tc>
        <w:tc>
          <w:tcPr>
            <w:tcW w:w="1416"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w:t>
            </w:r>
          </w:p>
        </w:tc>
        <w:tc>
          <w:tcPr>
            <w:tcW w:w="1312"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重度</w:t>
            </w:r>
          </w:p>
        </w:tc>
        <w:tc>
          <w:tcPr>
            <w:tcW w:w="1527"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0</w:t>
            </w:r>
          </w:p>
        </w:tc>
      </w:tr>
      <w:tr>
        <w:trPr>
          <w:trHeight w:val="425"/>
        </w:trPr>
        <w:tc>
          <w:tcPr>
            <w:tcW w:w="1182" w:type="dxa"/>
            <w:vMerge/>
            <w:vAlign w:val="center"/>
          </w:tcPr>
          <w:p/>
        </w:tc>
        <w:tc>
          <w:tcPr>
            <w:tcW w:w="1141" w:type="dxa"/>
            <w:vMerge w:val="restart"/>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竖直</w:t>
            </w:r>
          </w:p>
        </w:tc>
        <w:tc>
          <w:tcPr>
            <w:tcW w:w="1941"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降低10%以下</w:t>
            </w:r>
          </w:p>
        </w:tc>
        <w:tc>
          <w:tcPr>
            <w:tcW w:w="1416"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w:t>
            </w:r>
          </w:p>
        </w:tc>
        <w:tc>
          <w:tcPr>
            <w:tcW w:w="1312" w:type="dxa"/>
            <w:vAlign w:val="center"/>
          </w:tcPr>
          <w:p>
            <w:pPr>
              <w:ind w:firstLineChars="0" w:firstLine="0"/>
              <w:jc w:val="center"/>
              <w:rPr>
                <w:rFonts w:cs="Times New Roman"/>
                <w:color w:val="auto"/>
                <w:highlight w:val="none"/>
              </w:rPr>
            </w:pPr>
            <w:r>
              <w:rPr>
                <w:rFonts w:cs="Times New Roman"/>
                <w:color w:val="auto"/>
                <w:highlight w:val="none"/>
              </w:rPr>
              <w:t>良好</w:t>
            </w:r>
          </w:p>
        </w:tc>
        <w:tc>
          <w:tcPr>
            <w:tcW w:w="1527"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1</w:t>
            </w:r>
          </w:p>
        </w:tc>
      </w:tr>
      <w:tr>
        <w:trPr>
          <w:trHeight w:val="425"/>
        </w:trPr>
        <w:tc>
          <w:tcPr>
            <w:tcW w:w="1182" w:type="dxa"/>
            <w:vMerge/>
            <w:vAlign w:val="center"/>
          </w:tcPr>
          <w:p/>
        </w:tc>
        <w:tc>
          <w:tcPr>
            <w:tcW w:w="1141" w:type="dxa"/>
            <w:vMerge/>
            <w:vAlign w:val="center"/>
          </w:tcPr>
          <w:p/>
        </w:tc>
        <w:tc>
          <w:tcPr>
            <w:tcW w:w="1941"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降低10%~15%</w:t>
            </w:r>
          </w:p>
        </w:tc>
        <w:tc>
          <w:tcPr>
            <w:tcW w:w="1416"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≤0.4</w:t>
            </w:r>
          </w:p>
        </w:tc>
        <w:tc>
          <w:tcPr>
            <w:tcW w:w="1312" w:type="dxa"/>
            <w:vAlign w:val="center"/>
          </w:tcPr>
          <w:p>
            <w:pPr>
              <w:ind w:firstLineChars="0" w:firstLine="0"/>
              <w:jc w:val="center"/>
              <w:rPr>
                <w:rFonts w:cs="Times New Roman"/>
                <w:color w:val="auto"/>
                <w:highlight w:val="none"/>
              </w:rPr>
            </w:pPr>
            <w:r>
              <w:rPr>
                <w:rFonts w:cs="Times New Roman"/>
                <w:color w:val="auto"/>
                <w:sz w:val="21"/>
                <w:szCs w:val="21"/>
                <w:highlight w:val="none"/>
              </w:rPr>
              <w:t>轻度</w:t>
            </w:r>
          </w:p>
        </w:tc>
        <w:tc>
          <w:tcPr>
            <w:tcW w:w="1527" w:type="dxa"/>
            <w:vAlign w:val="center"/>
          </w:tcPr>
          <w:p>
            <w:pPr>
              <w:ind w:firstLineChars="0" w:firstLine="0"/>
              <w:jc w:val="center"/>
              <w:rPr>
                <w:rFonts w:cs="Times New Roman"/>
                <w:color w:val="auto"/>
                <w:sz w:val="21"/>
                <w:szCs w:val="21"/>
                <w:highlight w:val="none"/>
              </w:rPr>
            </w:pPr>
            <w:r>
              <w:rPr>
                <w:rFonts w:cs="Times New Roman"/>
                <w:color w:val="auto"/>
                <w:highlight w:val="none"/>
              </w:rPr>
              <w:t>0.5</w:t>
            </w:r>
          </w:p>
        </w:tc>
      </w:tr>
      <w:tr>
        <w:trPr>
          <w:trHeight w:val="425"/>
        </w:trPr>
        <w:tc>
          <w:tcPr>
            <w:tcW w:w="1182" w:type="dxa"/>
            <w:vMerge/>
            <w:vAlign w:val="center"/>
          </w:tcPr>
          <w:p/>
        </w:tc>
        <w:tc>
          <w:tcPr>
            <w:tcW w:w="1141" w:type="dxa"/>
            <w:vMerge/>
            <w:vAlign w:val="center"/>
          </w:tcPr>
          <w:p/>
        </w:tc>
        <w:tc>
          <w:tcPr>
            <w:tcW w:w="1941"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降低15%以上</w:t>
            </w:r>
          </w:p>
        </w:tc>
        <w:tc>
          <w:tcPr>
            <w:tcW w:w="1416"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＞0.4</w:t>
            </w:r>
          </w:p>
        </w:tc>
        <w:tc>
          <w:tcPr>
            <w:tcW w:w="1312"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重度</w:t>
            </w:r>
          </w:p>
        </w:tc>
        <w:tc>
          <w:tcPr>
            <w:tcW w:w="1527"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0</w:t>
            </w:r>
          </w:p>
        </w:tc>
      </w:tr>
      <w:tr>
        <w:trPr>
          <w:trHeight w:val="425"/>
        </w:trPr>
        <w:tc>
          <w:tcPr>
            <w:tcW w:w="1182" w:type="dxa"/>
            <w:vMerge w:val="restart"/>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塑料</w:t>
            </w:r>
          </w:p>
        </w:tc>
        <w:tc>
          <w:tcPr>
            <w:tcW w:w="1141" w:type="dxa"/>
            <w:vMerge w:val="restart"/>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水平</w:t>
            </w:r>
          </w:p>
        </w:tc>
        <w:tc>
          <w:tcPr>
            <w:tcW w:w="1941"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降低5%以下</w:t>
            </w:r>
          </w:p>
        </w:tc>
        <w:tc>
          <w:tcPr>
            <w:tcW w:w="1416"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w:t>
            </w:r>
          </w:p>
        </w:tc>
        <w:tc>
          <w:tcPr>
            <w:tcW w:w="1312"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良好</w:t>
            </w:r>
          </w:p>
        </w:tc>
        <w:tc>
          <w:tcPr>
            <w:tcW w:w="1527"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1</w:t>
            </w:r>
          </w:p>
        </w:tc>
      </w:tr>
      <w:tr>
        <w:trPr>
          <w:trHeight w:val="425"/>
        </w:trPr>
        <w:tc>
          <w:tcPr>
            <w:tcW w:w="1182" w:type="dxa"/>
            <w:vMerge/>
            <w:vAlign w:val="center"/>
          </w:tcPr>
          <w:p/>
        </w:tc>
        <w:tc>
          <w:tcPr>
            <w:tcW w:w="1141" w:type="dxa"/>
            <w:vMerge/>
            <w:vAlign w:val="center"/>
          </w:tcPr>
          <w:p/>
        </w:tc>
        <w:tc>
          <w:tcPr>
            <w:tcW w:w="1941"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降低5%~10%</w:t>
            </w:r>
          </w:p>
        </w:tc>
        <w:tc>
          <w:tcPr>
            <w:tcW w:w="1416"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≤0.4</w:t>
            </w:r>
          </w:p>
        </w:tc>
        <w:tc>
          <w:tcPr>
            <w:tcW w:w="1312" w:type="dxa"/>
            <w:vAlign w:val="center"/>
          </w:tcPr>
          <w:p>
            <w:pPr>
              <w:ind w:firstLineChars="0" w:firstLine="0"/>
              <w:jc w:val="center"/>
              <w:rPr>
                <w:rFonts w:cs="Times New Roman"/>
                <w:color w:val="auto"/>
                <w:highlight w:val="none"/>
              </w:rPr>
            </w:pPr>
            <w:r>
              <w:rPr>
                <w:rFonts w:cs="Times New Roman"/>
                <w:color w:val="auto"/>
                <w:sz w:val="21"/>
                <w:szCs w:val="21"/>
                <w:highlight w:val="none"/>
              </w:rPr>
              <w:t>轻度</w:t>
            </w:r>
          </w:p>
        </w:tc>
        <w:tc>
          <w:tcPr>
            <w:tcW w:w="1527" w:type="dxa"/>
            <w:vAlign w:val="center"/>
          </w:tcPr>
          <w:p>
            <w:pPr>
              <w:ind w:firstLineChars="0" w:firstLine="0"/>
              <w:jc w:val="center"/>
              <w:rPr>
                <w:rFonts w:cs="Times New Roman"/>
                <w:color w:val="auto"/>
                <w:sz w:val="21"/>
                <w:szCs w:val="21"/>
                <w:highlight w:val="none"/>
              </w:rPr>
            </w:pPr>
            <w:r>
              <w:rPr>
                <w:rFonts w:cs="Times New Roman"/>
                <w:color w:val="auto"/>
                <w:highlight w:val="none"/>
              </w:rPr>
              <w:t>0.5</w:t>
            </w:r>
          </w:p>
        </w:tc>
      </w:tr>
      <w:tr>
        <w:trPr>
          <w:trHeight w:val="425"/>
        </w:trPr>
        <w:tc>
          <w:tcPr>
            <w:tcW w:w="1182" w:type="dxa"/>
            <w:vMerge/>
            <w:vAlign w:val="center"/>
          </w:tcPr>
          <w:p/>
        </w:tc>
        <w:tc>
          <w:tcPr>
            <w:tcW w:w="1141" w:type="dxa"/>
            <w:vMerge/>
            <w:vAlign w:val="center"/>
          </w:tcPr>
          <w:p/>
        </w:tc>
        <w:tc>
          <w:tcPr>
            <w:tcW w:w="1941"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降低10%以上</w:t>
            </w:r>
          </w:p>
        </w:tc>
        <w:tc>
          <w:tcPr>
            <w:tcW w:w="1416"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w:t>
            </w:r>
          </w:p>
        </w:tc>
        <w:tc>
          <w:tcPr>
            <w:tcW w:w="1312"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重度</w:t>
            </w:r>
          </w:p>
        </w:tc>
        <w:tc>
          <w:tcPr>
            <w:tcW w:w="1527"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0</w:t>
            </w:r>
          </w:p>
        </w:tc>
      </w:tr>
      <w:tr>
        <w:trPr>
          <w:trHeight w:val="425"/>
        </w:trPr>
        <w:tc>
          <w:tcPr>
            <w:tcW w:w="1182" w:type="dxa"/>
            <w:vMerge/>
            <w:vAlign w:val="center"/>
          </w:tcPr>
          <w:p/>
        </w:tc>
        <w:tc>
          <w:tcPr>
            <w:tcW w:w="1141" w:type="dxa"/>
            <w:vMerge w:val="restart"/>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竖直</w:t>
            </w:r>
          </w:p>
        </w:tc>
        <w:tc>
          <w:tcPr>
            <w:tcW w:w="1941"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降低10%以下</w:t>
            </w:r>
          </w:p>
        </w:tc>
        <w:tc>
          <w:tcPr>
            <w:tcW w:w="1416"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w:t>
            </w:r>
          </w:p>
        </w:tc>
        <w:tc>
          <w:tcPr>
            <w:tcW w:w="1312" w:type="dxa"/>
            <w:vAlign w:val="center"/>
          </w:tcPr>
          <w:p>
            <w:pPr>
              <w:ind w:firstLineChars="0" w:firstLine="0"/>
              <w:jc w:val="center"/>
              <w:rPr>
                <w:rFonts w:cs="Times New Roman"/>
                <w:color w:val="auto"/>
                <w:highlight w:val="none"/>
              </w:rPr>
            </w:pPr>
            <w:r>
              <w:rPr>
                <w:rFonts w:cs="Times New Roman"/>
                <w:color w:val="auto"/>
                <w:highlight w:val="none"/>
              </w:rPr>
              <w:t>良好</w:t>
            </w:r>
          </w:p>
        </w:tc>
        <w:tc>
          <w:tcPr>
            <w:tcW w:w="1527"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1</w:t>
            </w:r>
          </w:p>
        </w:tc>
      </w:tr>
      <w:tr>
        <w:trPr>
          <w:trHeight w:val="425"/>
        </w:trPr>
        <w:tc>
          <w:tcPr>
            <w:tcW w:w="1182" w:type="dxa"/>
            <w:vMerge/>
            <w:vAlign w:val="center"/>
          </w:tcPr>
          <w:p/>
        </w:tc>
        <w:tc>
          <w:tcPr>
            <w:tcW w:w="1141" w:type="dxa"/>
            <w:vMerge/>
            <w:vAlign w:val="center"/>
          </w:tcPr>
          <w:p/>
        </w:tc>
        <w:tc>
          <w:tcPr>
            <w:tcW w:w="1941"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降低10%~15%</w:t>
            </w:r>
          </w:p>
        </w:tc>
        <w:tc>
          <w:tcPr>
            <w:tcW w:w="1416"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≤0.4</w:t>
            </w:r>
          </w:p>
        </w:tc>
        <w:tc>
          <w:tcPr>
            <w:tcW w:w="1312" w:type="dxa"/>
            <w:vAlign w:val="center"/>
          </w:tcPr>
          <w:p>
            <w:pPr>
              <w:ind w:firstLineChars="0" w:firstLine="0"/>
              <w:jc w:val="center"/>
              <w:rPr>
                <w:rFonts w:cs="Times New Roman"/>
                <w:color w:val="auto"/>
                <w:highlight w:val="none"/>
              </w:rPr>
            </w:pPr>
            <w:r>
              <w:rPr>
                <w:rFonts w:cs="Times New Roman"/>
                <w:color w:val="auto"/>
                <w:sz w:val="21"/>
                <w:szCs w:val="21"/>
                <w:highlight w:val="none"/>
              </w:rPr>
              <w:t>轻度</w:t>
            </w:r>
          </w:p>
        </w:tc>
        <w:tc>
          <w:tcPr>
            <w:tcW w:w="1527" w:type="dxa"/>
            <w:vAlign w:val="center"/>
          </w:tcPr>
          <w:p>
            <w:pPr>
              <w:ind w:firstLineChars="0" w:firstLine="0"/>
              <w:jc w:val="center"/>
              <w:rPr>
                <w:rFonts w:cs="Times New Roman"/>
                <w:color w:val="auto"/>
                <w:sz w:val="21"/>
                <w:szCs w:val="21"/>
                <w:highlight w:val="none"/>
              </w:rPr>
            </w:pPr>
            <w:r>
              <w:rPr>
                <w:rFonts w:cs="Times New Roman"/>
                <w:color w:val="auto"/>
                <w:highlight w:val="none"/>
              </w:rPr>
              <w:t>0.5</w:t>
            </w:r>
          </w:p>
        </w:tc>
      </w:tr>
      <w:tr>
        <w:trPr>
          <w:trHeight w:val="425"/>
        </w:trPr>
        <w:tc>
          <w:tcPr>
            <w:tcW w:w="1182" w:type="dxa"/>
            <w:vMerge/>
            <w:vAlign w:val="center"/>
          </w:tcPr>
          <w:p/>
        </w:tc>
        <w:tc>
          <w:tcPr>
            <w:tcW w:w="1141" w:type="dxa"/>
            <w:vMerge/>
            <w:vAlign w:val="center"/>
          </w:tcPr>
          <w:p/>
        </w:tc>
        <w:tc>
          <w:tcPr>
            <w:tcW w:w="1941"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降低15%~20%</w:t>
            </w:r>
          </w:p>
        </w:tc>
        <w:tc>
          <w:tcPr>
            <w:tcW w:w="1416"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＞0.4</w:t>
            </w:r>
          </w:p>
        </w:tc>
        <w:tc>
          <w:tcPr>
            <w:tcW w:w="1312"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重度</w:t>
            </w:r>
          </w:p>
        </w:tc>
        <w:tc>
          <w:tcPr>
            <w:tcW w:w="1527"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0</w:t>
            </w:r>
          </w:p>
        </w:tc>
      </w:tr>
      <w:tr>
        <w:trPr>
          <w:trHeight w:val="425"/>
        </w:trPr>
        <w:tc>
          <w:tcPr>
            <w:tcW w:w="1182" w:type="dxa"/>
            <w:vMerge/>
            <w:vAlign w:val="center"/>
          </w:tcPr>
          <w:p/>
        </w:tc>
        <w:tc>
          <w:tcPr>
            <w:tcW w:w="1141" w:type="dxa"/>
            <w:vMerge/>
            <w:vAlign w:val="center"/>
          </w:tcPr>
          <w:p/>
        </w:tc>
        <w:tc>
          <w:tcPr>
            <w:tcW w:w="1941"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降低20%以上</w:t>
            </w:r>
          </w:p>
        </w:tc>
        <w:tc>
          <w:tcPr>
            <w:tcW w:w="1416"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w:t>
            </w:r>
          </w:p>
        </w:tc>
        <w:tc>
          <w:tcPr>
            <w:tcW w:w="1312"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重度</w:t>
            </w:r>
          </w:p>
        </w:tc>
        <w:tc>
          <w:tcPr>
            <w:tcW w:w="1527" w:type="dxa"/>
            <w:vAlign w:val="center"/>
          </w:tcPr>
          <w:p>
            <w:pPr>
              <w:ind w:firstLineChars="0" w:firstLine="0"/>
              <w:jc w:val="center"/>
              <w:rPr>
                <w:rFonts w:cs="Times New Roman"/>
                <w:color w:val="auto"/>
                <w:sz w:val="21"/>
                <w:szCs w:val="21"/>
                <w:highlight w:val="none"/>
              </w:rPr>
            </w:pPr>
            <w:r>
              <w:rPr>
                <w:rFonts w:cs="Times New Roman"/>
                <w:color w:val="auto"/>
                <w:sz w:val="21"/>
                <w:szCs w:val="21"/>
                <w:highlight w:val="none"/>
              </w:rPr>
              <w:t>0</w:t>
            </w:r>
          </w:p>
        </w:tc>
      </w:tr>
    </w:tbl>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13.4.3　</w:t>
      </w:r>
      <w:r>
        <w:rPr>
          <w:rFonts w:cs="Times New Roman"/>
          <w:color w:val="auto"/>
          <w:highlight w:val="none"/>
        </w:rPr>
        <w:t>检测区段压浆密实度指数</w:t>
      </w:r>
      <w:r>
        <w:rPr>
          <w:rFonts w:cs="Times New Roman" w:hint="eastAsia"/>
          <w:color w:val="auto"/>
          <w:highlight w:val="none"/>
        </w:rPr>
        <w:t>（</w:t>
      </w:r>
      <w:r>
        <w:rPr>
          <w:rFonts w:cs="Times New Roman"/>
          <w:i/>
          <w:color w:val="auto"/>
          <w:highlight w:val="none"/>
        </w:rPr>
        <w:t>D</w:t>
      </w:r>
      <w:r>
        <w:rPr>
          <w:rFonts w:cs="Times New Roman" w:hint="eastAsia"/>
          <w:color w:val="auto"/>
          <w:highlight w:val="none"/>
        </w:rPr>
        <w:t>）可</w:t>
      </w:r>
      <w:r>
        <w:rPr>
          <w:rFonts w:cs="Times New Roman"/>
          <w:color w:val="auto"/>
          <w:highlight w:val="none"/>
        </w:rPr>
        <w:t>按</w:t>
      </w:r>
      <w:r>
        <w:rPr>
          <w:rFonts w:cs="Times New Roman" w:hint="eastAsia"/>
          <w:color w:val="auto"/>
          <w:highlight w:val="none"/>
        </w:rPr>
        <w:t>式（13.4.3-1）、</w:t>
      </w:r>
      <w:r>
        <w:rPr>
          <w:rFonts w:cs="Times New Roman"/>
          <w:color w:val="auto"/>
          <w:highlight w:val="none"/>
        </w:rPr>
        <w:t>（</w:t>
      </w:r>
      <w:r>
        <w:rPr>
          <w:rFonts w:cs="Times New Roman" w:hint="eastAsia"/>
          <w:color w:val="auto"/>
          <w:highlight w:val="none"/>
        </w:rPr>
        <w:t>13.4.3-2</w:t>
      </w:r>
      <w:r>
        <w:rPr>
          <w:rFonts w:cs="Times New Roman"/>
          <w:color w:val="auto"/>
          <w:highlight w:val="none"/>
        </w:rPr>
        <w:t>）计算</w:t>
      </w:r>
      <w:r>
        <w:rPr>
          <w:rFonts w:cs="Times New Roman" w:hint="eastAsia"/>
          <w:color w:val="auto"/>
          <w:highlight w:val="none"/>
        </w:rPr>
        <w:t>：</w:t>
      </w:r>
    </w:p>
    <w:p>
      <w:pPr>
        <w:ind w:firstLineChars="0" w:firstLine="0"/>
        <w:jc w:val="right"/>
        <w:rPr>
          <w:rFonts w:cs="Times New Roman"/>
          <w:color w:val="auto"/>
          <w:highlight w:val="none"/>
        </w:rPr>
      </w:pPr>
      <w:r>
        <w:rPr>
          <w:rFonts w:cs="Times New Roman"/>
          <w:i/>
          <w:color w:val="auto"/>
          <w:highlight w:val="none"/>
        </w:rPr>
        <w:t xml:space="preserve">D </w:t>
      </w:r>
      <w:r>
        <w:rPr>
          <w:rFonts w:cs="Times New Roman"/>
          <w:color w:val="auto"/>
          <w:highlight w:val="none"/>
        </w:rPr>
        <w:t xml:space="preserve">= </w:t>
      </w:r>
      <m:oMath>
        <m:f>
          <m:fPr>
            <m:ctrlPr>
              <w:rPr>
                <w:rFonts w:ascii="Cambria Math" w:eastAsia="黑体" w:cs="Times New Roman" w:hAnsi="Cambria Math"/>
                <w:color w:val="auto"/>
              </w:rPr>
            </m:ctrlPr>
          </m:fPr>
          <m:num>
            <m:r>
              <w:rPr>
                <w:rFonts w:ascii="Cambria Math" w:eastAsia="黑体" w:cs="Times New Roman" w:hAnsi="Cambria Math"/>
                <w:color w:val="auto"/>
                <w:highlight w:val="none"/>
              </w:rPr>
              <m:t>1</m:t>
            </m:r>
          </m:num>
          <m:den>
            <m:r>
              <w:rPr>
                <w:rFonts w:ascii="Cambria Math" w:eastAsia="黑体" w:cs="Times New Roman" w:hAnsi="Cambria Math"/>
                <w:color w:val="auto"/>
                <w:highlight w:val="none"/>
              </w:rPr>
              <m:t>N</m:t>
            </m:r>
          </m:den>
        </m:f>
        <m:nary>
          <m:naryPr>
            <m:chr m:val="∑"/>
            <m:limLoc m:val="undOvr"/>
            <m:ctrlPr>
              <w:rPr>
                <w:rFonts w:ascii="Cambria Math" w:eastAsia="黑体" w:cs="Times New Roman" w:hAnsi="Cambria Math"/>
                <w:color w:val="auto"/>
              </w:rPr>
            </m:ctrlPr>
          </m:naryPr>
          <m:sub>
            <m:r>
              <w:rPr>
                <w:rFonts w:ascii="Cambria Math" w:eastAsia="黑体" w:cs="Times New Roman" w:hAnsi="Cambria Math"/>
                <w:color w:val="auto"/>
                <w:highlight w:val="none"/>
              </w:rPr>
              <m:t>i</m:t>
            </m:r>
            <m:r>
              <m:rPr>
                <m:sty m:val="p"/>
              </m:rPr>
              <w:rPr>
                <w:rFonts w:ascii="Cambria Math" w:eastAsia="黑体" w:cs="Times New Roman" w:hAnsi="Cambria Math"/>
                <w:color w:val="auto"/>
                <w:highlight w:val="none"/>
              </w:rPr>
              <m:t>=1</m:t>
            </m:r>
          </m:sub>
          <m:sup>
            <m:r>
              <w:rPr>
                <w:rFonts w:ascii="Cambria Math" w:eastAsia="黑体" w:cs="Times New Roman" w:hAnsi="Cambria Math"/>
                <w:color w:val="auto"/>
                <w:highlight w:val="none"/>
              </w:rPr>
              <m:t>N</m:t>
            </m:r>
          </m:sup>
          <m:e>
            <m:sSub>
              <m:sSubPr>
                <m:ctrlPr>
                  <w:rPr>
                    <w:rFonts w:ascii="Cambria Math" w:eastAsia="黑体" w:cs="Times New Roman" w:hAnsi="Cambria Math"/>
                    <w:color w:val="auto"/>
                  </w:rPr>
                </m:ctrlPr>
              </m:sSubPr>
              <m:e>
                <m:r>
                  <w:rPr>
                    <w:rFonts w:ascii="Cambria Math" w:eastAsia="黑体" w:cs="Times New Roman" w:hAnsi="Cambria Math"/>
                    <w:color w:val="auto"/>
                    <w:highlight w:val="none"/>
                  </w:rPr>
                  <m:t>β</m:t>
                </m:r>
              </m:e>
              <m:sub>
                <m:r>
                  <w:rPr>
                    <w:rFonts w:ascii="Cambria Math" w:eastAsia="黑体" w:cs="Times New Roman" w:hAnsi="Cambria Math"/>
                    <w:color w:val="auto"/>
                    <w:highlight w:val="none"/>
                  </w:rPr>
                  <m:t>i</m:t>
                </m:r>
              </m:sub>
            </m:sSub>
          </m:e>
        </m:nary>
        <m:r>
          <w:rPr>
            <w:rFonts w:ascii="Cambria Math" w:eastAsia="黑体" w:cs="Times New Roman" w:hAnsi="Cambria Math"/>
            <w:color w:val="auto"/>
            <w:highlight w:val="none"/>
          </w:rPr>
          <m:t>×</m:t>
        </m:r>
        <m:r>
          <m:rPr>
            <m:nor/>
          </m:rPr>
          <w:rPr>
            <w:rFonts w:ascii="Times New Roman" w:eastAsia="黑体" w:cs="Times New Roman" w:hAnsi="Times New Roman"/>
            <w:b w:val="0"/>
            <w:i w:val="0"/>
            <w:color w:val="auto"/>
            <w:highlight w:val="none"/>
          </w:rPr>
          <m:t>100%</m:t>
        </m:r>
      </m:oMath>
      <w:r>
        <w:rPr>
          <w:rFonts w:cs="Times New Roman"/>
          <w:color w:val="auto"/>
          <w:highlight w:val="none"/>
        </w:rPr>
        <w:t>；                   （13.4.3-1）</w:t>
      </w:r>
    </w:p>
    <w:p>
      <w:pPr>
        <w:pStyle w:val="38"/>
        <w:ind w:firstLineChars="0" w:firstLine="0"/>
        <w:jc w:val="right"/>
        <w:rPr>
          <w:rFonts w:cs="Times New Roman"/>
          <w:color w:val="auto"/>
          <w:highlight w:val="none"/>
        </w:rPr>
      </w:pPr>
      <w:r>
        <w:rPr>
          <w:rFonts w:cs="Times New Roman"/>
          <w:color w:val="auto"/>
          <w:position w:val="-52"/>
          <w:highlight w:val="none"/>
        </w:rPr>
        <w:object>
          <v:shape id="_x0000_i1051" type="#_x0000_t75" filled="f" style="width:101.45pt;height:58.250004pt;" o:ole="">
            <v:imagedata r:id="rId83" o:title="image48"/>
            <o:lock aspectratio="t"/>
            <w10:anchorLock/>
          </v:shape>
          <o:OLEObject Type="Embed" ProgID="Equation.KSEE3" ShapeID="_x0000_i1051" DrawAspect="Content" ObjectID="_1393063377" r:id="rId84"/>
        </w:object>
      </w:r>
      <w:r>
        <w:rPr>
          <w:rFonts w:cs="Times New Roman"/>
          <w:color w:val="auto"/>
          <w:highlight w:val="none"/>
        </w:rPr>
        <w:t xml:space="preserve">                        （13.4.3-2）</w:t>
      </w:r>
    </w:p>
    <w:p>
      <w:pPr>
        <w:ind w:firstLineChars="0" w:firstLine="0"/>
        <w:rPr>
          <w:rFonts w:cs="Times New Roman"/>
          <w:color w:val="auto"/>
          <w:highlight w:val="none"/>
        </w:rPr>
      </w:pPr>
      <w:r>
        <w:rPr>
          <w:rFonts w:cs="Times New Roman"/>
          <w:color w:val="auto"/>
          <w:highlight w:val="none"/>
        </w:rPr>
        <w:t>式中：</w:t>
      </w:r>
      <w:r>
        <w:rPr>
          <w:rFonts w:cs="Times New Roman"/>
          <w:color w:val="auto"/>
          <w:position w:val="-6"/>
          <w:highlight w:val="none"/>
        </w:rPr>
        <w:object>
          <v:shape id="_x0000_i1052" type="#_x0000_t75" filled="f" style="width:13.95pt;height:13.95pt;" o:ole="">
            <v:imagedata r:id="rId85" o:title="image15"/>
            <o:lock aspectratio="t"/>
            <w10:anchorLock/>
          </v:shape>
          <o:OLEObject Type="Embed" ProgID="Equation.KSEE3" ShapeID="_x0000_i1052" DrawAspect="Content" ObjectID="_1393063378" r:id="rId86"/>
        </w:object>
      </w:r>
      <w:r>
        <w:rPr>
          <w:rFonts w:cs="Times New Roman"/>
          <w:color w:val="auto"/>
          <w:highlight w:val="none"/>
        </w:rPr>
        <w:t>——检测点数；</w:t>
      </w:r>
    </w:p>
    <w:p>
      <w:pPr>
        <w:ind w:firstLineChars="291" w:firstLine="698"/>
        <w:rPr>
          <w:rFonts w:cs="Times New Roman"/>
          <w:color w:val="auto"/>
          <w:highlight w:val="none"/>
        </w:rPr>
      </w:pPr>
      <w:r>
        <w:rPr>
          <w:rFonts w:cs="Times New Roman"/>
          <w:color w:val="auto"/>
          <w:position w:val="-12"/>
          <w:highlight w:val="none"/>
        </w:rPr>
        <w:object>
          <v:shape id="_x0000_i1053" type="#_x0000_t75" filled="f" style="width:13.0pt;height:18.0pt;" o:ole="">
            <v:imagedata r:id="rId87" o:title="image18"/>
            <o:lock aspectratio="t"/>
            <w10:anchorLock/>
          </v:shape>
          <o:OLEObject Type="Embed" ProgID="Equation.KSEE3" ShapeID="_x0000_i1053" DrawAspect="Content" ObjectID="_1393063379" r:id="rId88"/>
        </w:object>
      </w:r>
      <w:r>
        <w:rPr>
          <w:rFonts w:cs="Times New Roman"/>
          <w:color w:val="auto"/>
          <w:highlight w:val="none"/>
        </w:rPr>
        <w:t>——测点i的压浆状态系数。</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13.4.4　</w:t>
      </w:r>
      <w:r>
        <w:rPr>
          <w:rFonts w:cs="Times New Roman"/>
          <w:color w:val="auto"/>
          <w:highlight w:val="none"/>
        </w:rPr>
        <w:t>当检测仅为孔道的局部时，可采用修正压浆密实度指数</w:t>
      </w:r>
      <w:r>
        <w:rPr>
          <w:rFonts w:cs="Times New Roman" w:hint="eastAsia"/>
          <w:color w:val="auto"/>
          <w:highlight w:val="none"/>
        </w:rPr>
        <w:t>（</w:t>
      </w:r>
      <w:r>
        <w:rPr>
          <w:rFonts w:cs="Times New Roman"/>
          <w:color w:val="auto"/>
          <w:position w:val="-12"/>
          <w:highlight w:val="none"/>
        </w:rPr>
        <w:object>
          <v:shape id="_x0000_i1054" type="#_x0000_t75" filled="f" style="width:16.0pt;height:18.0pt;" o:ole="">
            <v:imagedata r:id="rId89" o:title="image13"/>
            <o:lock aspectratio="t"/>
            <w10:anchorLock/>
          </v:shape>
          <o:OLEObject Type="Embed" ProgID="Equation.KSEE3" ShapeID="_x0000_i1054" DrawAspect="Content" ObjectID="_1393063380" r:id="rId90"/>
        </w:object>
      </w:r>
      <w:r>
        <w:rPr>
          <w:rFonts w:cs="Times New Roman" w:hint="eastAsia"/>
          <w:color w:val="auto"/>
          <w:highlight w:val="none"/>
        </w:rPr>
        <w:t>）</w:t>
      </w:r>
      <w:r>
        <w:rPr>
          <w:rFonts w:cs="Times New Roman"/>
          <w:color w:val="auto"/>
          <w:highlight w:val="none"/>
        </w:rPr>
        <w:t>替代压浆密实度指数</w:t>
      </w:r>
      <w:r>
        <w:rPr>
          <w:rFonts w:cs="Times New Roman" w:hint="eastAsia"/>
          <w:color w:val="auto"/>
          <w:highlight w:val="none"/>
        </w:rPr>
        <w:t>（</w:t>
      </w:r>
      <w:r>
        <w:rPr>
          <w:rFonts w:cs="Times New Roman"/>
          <w:i/>
          <w:color w:val="auto"/>
          <w:highlight w:val="none"/>
        </w:rPr>
        <w:t>D</w:t>
      </w:r>
      <w:r>
        <w:rPr>
          <w:rFonts w:cs="Times New Roman" w:hint="eastAsia"/>
          <w:color w:val="auto"/>
          <w:highlight w:val="none"/>
        </w:rPr>
        <w:t>）</w:t>
      </w:r>
      <w:r>
        <w:rPr>
          <w:rFonts w:cs="Times New Roman"/>
          <w:color w:val="auto"/>
          <w:highlight w:val="none"/>
        </w:rPr>
        <w:t>进行评价，并</w:t>
      </w:r>
      <w:r>
        <w:rPr>
          <w:rFonts w:cs="Times New Roman" w:hint="eastAsia"/>
          <w:color w:val="auto"/>
          <w:highlight w:val="none"/>
        </w:rPr>
        <w:t>可</w:t>
      </w:r>
      <w:r>
        <w:rPr>
          <w:rFonts w:cs="Times New Roman"/>
          <w:color w:val="auto"/>
          <w:highlight w:val="none"/>
        </w:rPr>
        <w:t>按式</w:t>
      </w:r>
      <w:r>
        <w:rPr>
          <w:rFonts w:cs="Times New Roman" w:hint="eastAsia"/>
          <w:color w:val="auto"/>
          <w:highlight w:val="none"/>
        </w:rPr>
        <w:t>（13.4.4）计算：</w:t>
      </w:r>
    </w:p>
    <w:p>
      <w:pPr>
        <w:wordWrap w:val="0"/>
        <w:ind w:firstLineChars="0" w:firstLine="0"/>
        <w:jc w:val="right"/>
        <w:rPr>
          <w:rFonts w:cs="Times New Roman"/>
          <w:color w:val="auto"/>
          <w:highlight w:val="none"/>
        </w:rPr>
      </w:pPr>
      <w:r>
        <w:rPr>
          <w:rFonts w:cs="Times New Roman"/>
          <w:i/>
          <w:color w:val="auto"/>
          <w:highlight w:val="none"/>
        </w:rPr>
        <w:t>D</w:t>
      </w:r>
      <w:r>
        <w:rPr>
          <w:rFonts w:cs="Times New Roman"/>
          <w:i/>
          <w:color w:val="auto"/>
          <w:vertAlign w:val="subscript"/>
          <w:highlight w:val="none"/>
        </w:rPr>
        <w:t>e</w:t>
      </w:r>
      <w:r>
        <w:rPr>
          <w:rFonts w:cs="Times New Roman"/>
          <w:i/>
          <w:color w:val="auto"/>
          <w:highlight w:val="none"/>
        </w:rPr>
        <w:t xml:space="preserve"> </w:t>
      </w:r>
      <w:r>
        <w:rPr>
          <w:rFonts w:cs="Times New Roman"/>
          <w:color w:val="auto"/>
          <w:highlight w:val="none"/>
        </w:rPr>
        <w:t>=</w:t>
      </w:r>
      <m:oMath>
        <m:r>
          <m:rPr>
            <m:sty m:val="p"/>
          </m:rPr>
          <w:rPr>
            <w:rFonts w:ascii="Cambria Math" w:cs="Times New Roman" w:hAnsi="Cambria Math"/>
            <w:color w:val="auto"/>
            <w:highlight w:val="none"/>
          </w:rPr>
          <m:t xml:space="preserve"> </m:t>
        </m:r>
        <m:f>
          <m:fPr>
            <m:ctrlPr>
              <w:rPr>
                <w:rFonts w:ascii="Cambria Math" w:eastAsia="黑体" w:cs="Times New Roman" w:hAnsi="Cambria Math"/>
                <w:color w:val="auto"/>
              </w:rPr>
            </m:ctrlPr>
          </m:fPr>
          <m:num>
            <m:r>
              <m:rPr>
                <m:nor/>
              </m:rPr>
              <w:rPr>
                <w:rFonts w:ascii="Times New Roman" w:eastAsia="黑体" w:cs="Times New Roman" w:hAnsi="Times New Roman"/>
                <w:color w:val="auto"/>
                <w:highlight w:val="none"/>
              </w:rPr>
              <m:t>D</m:t>
            </m:r>
            <m:sSub>
              <m:sSubPr>
                <m:ctrlPr>
                  <w:rPr>
                    <w:rFonts w:ascii="Cambria Math" w:eastAsia="黑体" w:cs="Times New Roman" w:hAnsi="Cambria Math"/>
                    <w:color w:val="auto"/>
                  </w:rPr>
                </m:ctrlPr>
              </m:sSubPr>
              <m:e>
                <m:r>
                  <m:rPr>
                    <m:nor/>
                  </m:rPr>
                  <w:rPr>
                    <w:rFonts w:ascii="Times New Roman" w:eastAsia="黑体" w:cs="Times New Roman" w:hAnsi="Times New Roman"/>
                    <w:color w:val="auto"/>
                    <w:highlight w:val="none"/>
                  </w:rPr>
                  <m:t>L</m:t>
                </m:r>
              </m:e>
              <m:sub>
                <m:r>
                  <m:rPr>
                    <m:nor/>
                  </m:rPr>
                  <w:rPr>
                    <w:rFonts w:ascii="Times New Roman" w:eastAsia="黑体" w:cs="Times New Roman" w:hAnsi="Times New Roman"/>
                    <w:color w:val="auto"/>
                    <w:highlight w:val="none"/>
                  </w:rPr>
                  <m:t>d</m:t>
                </m:r>
                <m:r>
                  <m:rPr>
                    <m:nor/>
                  </m:rPr>
                  <w:rPr>
                    <w:rFonts w:ascii="Cambria Math" w:eastAsia="黑体" w:cs="Times New Roman" w:hAnsi="Cambria Math"/>
                    <w:color w:val="auto"/>
                    <w:highlight w:val="none"/>
                  </w:rPr>
                  <m:t>1</m:t>
                </m:r>
              </m:sub>
            </m:sSub>
            <m:r>
              <m:rPr>
                <m:nor/>
              </m:rPr>
              <w:rPr>
                <w:rFonts w:ascii="Times New Roman" w:eastAsia="黑体" w:cs="Times New Roman" w:hAnsi="Times New Roman"/>
                <w:color w:val="auto"/>
                <w:highlight w:val="none"/>
              </w:rPr>
              <m:t>+</m:t>
            </m:r>
            <m:sSub>
              <m:sSubPr>
                <m:ctrlPr>
                  <w:rPr>
                    <w:rFonts w:ascii="Cambria Math" w:eastAsia="黑体" w:cs="Times New Roman" w:hAnsi="Cambria Math"/>
                    <w:color w:val="auto"/>
                  </w:rPr>
                </m:ctrlPr>
              </m:sSubPr>
              <m:e>
                <m:r>
                  <m:rPr>
                    <m:nor/>
                  </m:rPr>
                  <w:rPr>
                    <w:rFonts w:ascii="Times New Roman" w:eastAsia="黑体" w:cs="Times New Roman" w:hAnsi="Times New Roman"/>
                    <w:color w:val="auto"/>
                    <w:highlight w:val="none"/>
                  </w:rPr>
                  <m:t>D</m:t>
                </m:r>
              </m:e>
              <m:sub>
                <m:r>
                  <m:rPr>
                    <m:nor/>
                  </m:rPr>
                  <w:rPr>
                    <w:rFonts w:ascii="Times New Roman" w:eastAsia="黑体" w:cs="Times New Roman" w:hAnsi="Times New Roman"/>
                    <w:color w:val="auto"/>
                    <w:highlight w:val="none"/>
                  </w:rPr>
                  <m:t>k</m:t>
                </m:r>
              </m:sub>
            </m:sSub>
            <m:r>
              <m:rPr>
                <m:nor/>
              </m:rPr>
              <w:rPr>
                <w:rFonts w:ascii="Times New Roman" w:eastAsia="黑体" w:cs="Times New Roman" w:hAnsi="Times New Roman"/>
                <w:color w:val="auto"/>
                <w:highlight w:val="none"/>
              </w:rPr>
              <m:t>(L-</m:t>
            </m:r>
            <m:sSub>
              <m:sSubPr>
                <m:ctrlPr>
                  <w:rPr>
                    <w:rFonts w:ascii="Cambria Math" w:eastAsia="黑体" w:cs="Times New Roman" w:hAnsi="Cambria Math"/>
                    <w:color w:val="auto"/>
                  </w:rPr>
                </m:ctrlPr>
              </m:sSubPr>
              <m:e>
                <m:r>
                  <m:rPr>
                    <m:nor/>
                  </m:rPr>
                  <w:rPr>
                    <w:rFonts w:ascii="Times New Roman" w:eastAsia="黑体" w:cs="Times New Roman" w:hAnsi="Times New Roman"/>
                    <w:color w:val="auto"/>
                    <w:highlight w:val="none"/>
                  </w:rPr>
                  <m:t>L</m:t>
                </m:r>
              </m:e>
              <m:sub>
                <m:r>
                  <w:rPr>
                    <w:rFonts w:ascii="Cambria Math" w:eastAsia="黑体" w:cs="Times New Roman" w:hAnsi="Cambria Math"/>
                    <w:color w:val="auto"/>
                    <w:highlight w:val="none"/>
                  </w:rPr>
                  <m:t>d1</m:t>
                </m:r>
              </m:sub>
            </m:sSub>
            <m:r>
              <m:rPr>
                <m:nor/>
              </m:rPr>
              <w:rPr>
                <w:rFonts w:ascii="Times New Roman" w:eastAsia="黑体" w:cs="Times New Roman" w:hAnsi="Times New Roman"/>
                <w:color w:val="auto"/>
                <w:highlight w:val="none"/>
              </w:rPr>
              <m:t>)</m:t>
            </m:r>
          </m:num>
          <m:den>
            <m:r>
              <m:rPr>
                <m:nor/>
              </m:rPr>
              <w:rPr>
                <w:rFonts w:ascii="Times New Roman" w:eastAsia="黑体" w:cs="Times New Roman" w:hAnsi="Times New Roman"/>
                <w:color w:val="auto"/>
                <w:highlight w:val="none"/>
              </w:rPr>
              <m:t xml:space="preserve">L </m:t>
            </m:r>
          </m:den>
        </m:f>
      </m:oMath>
      <w:r>
        <w:rPr>
          <w:rFonts w:cs="Times New Roman"/>
          <w:color w:val="auto"/>
          <w:highlight w:val="none"/>
        </w:rPr>
        <w:t xml:space="preserve">                （13.4.4）</w:t>
      </w:r>
    </w:p>
    <w:p>
      <w:pPr>
        <w:ind w:firstLineChars="0" w:firstLine="0"/>
        <w:rPr>
          <w:rFonts w:eastAsia="宋体" w:cs="Times New Roman" w:hint="eastAsia"/>
          <w:color w:val="auto"/>
          <w:lang w:eastAsia="zh-CN"/>
          <w:highlight w:val="none"/>
        </w:rPr>
      </w:pPr>
      <w:r>
        <w:rPr>
          <w:rFonts w:cs="Times New Roman"/>
          <w:color w:val="auto"/>
          <w:highlight w:val="none"/>
        </w:rPr>
        <w:t>式中：</w:t>
      </w:r>
      <w:r>
        <w:rPr>
          <w:rFonts w:cs="Times New Roman"/>
          <w:i/>
          <w:color w:val="auto"/>
          <w:highlight w:val="none"/>
        </w:rPr>
        <w:t>D</w:t>
      </w:r>
      <w:r>
        <w:rPr>
          <w:rFonts w:cs="Times New Roman"/>
          <w:color w:val="auto"/>
          <w:highlight w:val="none"/>
        </w:rPr>
        <w:t>——压浆密实度指数</w:t>
      </w:r>
      <w:r>
        <w:rPr>
          <w:rFonts w:cs="Times New Roman" w:hint="eastAsia"/>
          <w:color w:val="auto"/>
          <w:lang w:eastAsia="zh-CN"/>
          <w:highlight w:val="none"/>
        </w:rPr>
        <w:t>；</w:t>
      </w:r>
    </w:p>
    <w:p>
      <w:pPr>
        <w:ind w:firstLineChars="300" w:firstLine="720"/>
        <w:rPr>
          <w:rFonts w:cs="Times New Roman"/>
          <w:color w:val="auto"/>
          <w:highlight w:val="none"/>
        </w:rPr>
      </w:pPr>
      <w:r>
        <w:rPr>
          <w:rFonts w:cs="Times New Roman"/>
          <w:color w:val="auto"/>
          <w:position w:val="-12"/>
          <w:highlight w:val="none"/>
        </w:rPr>
        <w:object>
          <v:shape id="_x0000_i1055" type="#_x0000_t75" filled="f" style="width:16.0pt;height:18.0pt;" o:ole="">
            <v:imagedata r:id="rId91" o:title="image13"/>
            <o:lock aspectratio="t"/>
            <w10:anchorLock/>
          </v:shape>
          <o:OLEObject Type="Embed" ProgID="Equation.KSEE3" ShapeID="_x0000_i1055" DrawAspect="Content" ObjectID="_1393063381" r:id="rId92"/>
        </w:object>
      </w:r>
      <w:r>
        <w:rPr>
          <w:rFonts w:cs="Times New Roman"/>
          <w:color w:val="auto"/>
          <w:highlight w:val="none"/>
        </w:rPr>
        <w:t>——修正压浆密实度指数；</w:t>
      </w:r>
    </w:p>
    <w:p>
      <w:pPr>
        <w:ind w:firstLineChars="295" w:firstLine="708"/>
        <w:rPr>
          <w:rFonts w:cs="Times New Roman"/>
          <w:color w:val="auto"/>
          <w:highlight w:val="none"/>
        </w:rPr>
      </w:pPr>
      <w:r>
        <w:rPr>
          <w:rFonts w:cs="Times New Roman"/>
          <w:color w:val="auto"/>
          <w:position w:val="-12"/>
          <w:highlight w:val="none"/>
        </w:rPr>
        <w:object>
          <v:shape id="_x0000_i1056" type="#_x0000_t75" filled="f" style="width:18.0pt;height:18.0pt;" o:ole="">
            <v:imagedata r:id="rId93" o:title="image49"/>
            <o:lock aspectratio="t"/>
            <w10:anchorLock/>
          </v:shape>
          <o:OLEObject Type="Embed" ProgID="Equation.KSEE3" ShapeID="_x0000_i1056" DrawAspect="Content" ObjectID="_1393063382" r:id="rId94"/>
        </w:object>
      </w:r>
      <w:r>
        <w:rPr>
          <w:rFonts w:cs="Times New Roman"/>
          <w:color w:val="auto"/>
          <w:highlight w:val="none"/>
        </w:rPr>
        <w:t>——检测区间长度</w:t>
      </w:r>
      <w:r>
        <w:rPr>
          <w:rFonts w:cs="Times New Roman" w:hint="eastAsia"/>
          <w:color w:val="auto"/>
          <w:highlight w:val="none"/>
        </w:rPr>
        <w:t>（m</w:t>
      </w:r>
      <w:r>
        <w:rPr>
          <w:rFonts w:cs="Times New Roman"/>
          <w:color w:val="auto"/>
          <w:highlight w:val="none"/>
        </w:rPr>
        <w:t>m</w:t>
      </w:r>
      <w:r>
        <w:rPr>
          <w:rFonts w:cs="Times New Roman" w:hint="eastAsia"/>
          <w:color w:val="auto"/>
          <w:highlight w:val="none"/>
        </w:rPr>
        <w:t>）</w:t>
      </w:r>
      <w:r>
        <w:rPr>
          <w:rFonts w:cs="Times New Roman"/>
          <w:color w:val="auto"/>
          <w:highlight w:val="none"/>
        </w:rPr>
        <w:t>；</w:t>
      </w:r>
    </w:p>
    <w:p>
      <w:pPr>
        <w:ind w:firstLineChars="338" w:firstLine="811"/>
        <w:rPr>
          <w:rFonts w:cs="Times New Roman"/>
          <w:color w:val="auto"/>
          <w:highlight w:val="none"/>
        </w:rPr>
      </w:pPr>
      <w:r>
        <w:rPr>
          <w:rFonts w:cs="Times New Roman"/>
          <w:color w:val="auto"/>
          <w:position w:val="-4"/>
          <w:highlight w:val="none"/>
        </w:rPr>
        <w:object>
          <v:shape id="_x0000_i1057" type="#_x0000_t75" filled="f" style="width:11.0pt;height:13.0pt;" o:ole="">
            <v:imagedata r:id="rId95" o:title="image3"/>
            <o:lock aspectratio="t"/>
            <w10:anchorLock/>
          </v:shape>
          <o:OLEObject Type="Embed" ProgID="Equation.KSEE3" ShapeID="_x0000_i1057" DrawAspect="Content" ObjectID="_1393063383" r:id="rId96"/>
        </w:object>
      </w:r>
      <w:r>
        <w:rPr>
          <w:rFonts w:cs="Times New Roman"/>
          <w:color w:val="auto"/>
          <w:highlight w:val="none"/>
        </w:rPr>
        <w:t>——孔道全长</w:t>
      </w:r>
      <w:r>
        <w:rPr>
          <w:rFonts w:cs="Times New Roman" w:hint="eastAsia"/>
          <w:color w:val="auto"/>
          <w:highlight w:val="none"/>
        </w:rPr>
        <w:t>（m</w:t>
      </w:r>
      <w:r>
        <w:rPr>
          <w:rFonts w:cs="Times New Roman"/>
          <w:color w:val="auto"/>
          <w:highlight w:val="none"/>
        </w:rPr>
        <w:t>m</w:t>
      </w:r>
      <w:r>
        <w:rPr>
          <w:rFonts w:cs="Times New Roman" w:hint="eastAsia"/>
          <w:color w:val="auto"/>
          <w:highlight w:val="none"/>
        </w:rPr>
        <w:t>）</w:t>
      </w:r>
      <w:r>
        <w:rPr>
          <w:rFonts w:cs="Times New Roman"/>
          <w:color w:val="auto"/>
          <w:highlight w:val="none"/>
        </w:rPr>
        <w:t>；</w:t>
      </w:r>
    </w:p>
    <w:p>
      <w:pPr>
        <w:ind w:leftChars="295" w:left="1416" w:hangingChars="295" w:hanging="708"/>
        <w:rPr>
          <w:rFonts w:cs="Times New Roman"/>
          <w:color w:val="auto"/>
          <w:highlight w:val="none"/>
        </w:rPr>
      </w:pPr>
      <w:r>
        <w:rPr>
          <w:rFonts w:cs="Times New Roman"/>
          <w:color w:val="auto"/>
          <w:position w:val="-12"/>
          <w:highlight w:val="none"/>
        </w:rPr>
        <w:object>
          <v:shape id="_x0000_i1058" type="#_x0000_t75" filled="f" style="width:16.0pt;height:18.0pt;" o:ole="">
            <v:imagedata r:id="rId97" o:title="image14"/>
            <o:lock aspectratio="t"/>
            <w10:anchorLock/>
          </v:shape>
          <o:OLEObject Type="Embed" ProgID="Equation.KSEE3" ShapeID="_x0000_i1058" DrawAspect="Content" ObjectID="_1393063384" r:id="rId98"/>
        </w:object>
      </w:r>
      <w:r>
        <w:rPr>
          <w:rFonts w:cs="Times New Roman"/>
          <w:color w:val="auto"/>
          <w:highlight w:val="none"/>
        </w:rPr>
        <w:t>——单条孔道各检测区段中，压浆质量较好的连续区段的压浆密实度指数。此连续区段的长度取检测区段的1/2，按本标准公式（13.4.3-1）计算。</w:t>
      </w:r>
    </w:p>
    <w:p>
      <w:pPr>
        <w:pStyle w:val="3"/>
        <w:tabs>
          <w:tab w:val="left" w:pos="0"/>
          <w:tab w:val="left" w:pos="567"/>
          <w:tab w:val="left" w:pos="709"/>
          <w:tab w:val="left" w:pos="1560"/>
        </w:tabs>
        <w:textAlignment w:val="baseline"/>
        <w:rPr>
          <w:rFonts w:cs="Times New Roman"/>
          <w:color w:val="auto"/>
          <w:kern w:val="0"/>
          <w:szCs w:val="24"/>
          <w:highlight w:val="none"/>
        </w:rPr>
      </w:pPr>
      <w:r>
        <w:rPr>
          <w:rFonts w:cs="Times New Roman"/>
          <w:b/>
          <w:color w:val="auto"/>
          <w:highlight w:val="none"/>
        </w:rPr>
        <w:t>13.4.5　</w:t>
      </w:r>
      <w:r>
        <w:rPr>
          <w:rFonts w:cs="Times New Roman"/>
          <w:color w:val="auto"/>
          <w:highlight w:val="none"/>
        </w:rPr>
        <w:t>压浆质量等级应根据最长压浆缺陷长度</w:t>
      </w:r>
      <w:r>
        <w:rPr>
          <w:rFonts w:cs="Times New Roman" w:hint="eastAsia"/>
          <w:color w:val="auto"/>
          <w:highlight w:val="none"/>
        </w:rPr>
        <w:t>（</w:t>
      </w:r>
      <w:r>
        <w:rPr>
          <w:rFonts w:cs="Times New Roman"/>
          <w:color w:val="auto"/>
          <w:position w:val="-12"/>
          <w:highlight w:val="none"/>
        </w:rPr>
        <w:object>
          <v:shape id="_x0000_i1059" type="#_x0000_t75" filled="f" style="width:23.0pt;height:18.0pt;" o:ole="">
            <v:imagedata r:id="rId99" o:title="image50"/>
            <o:lock aspectratio="t"/>
            <w10:anchorLock/>
          </v:shape>
          <o:OLEObject Type="Embed" ProgID="Equation.KSEE3" ShapeID="_x0000_i1059" DrawAspect="Content" ObjectID="_1393063385" r:id="rId100"/>
        </w:object>
      </w:r>
      <w:r>
        <w:rPr>
          <w:rFonts w:cs="Times New Roman" w:hint="eastAsia"/>
          <w:color w:val="auto"/>
          <w:highlight w:val="none"/>
        </w:rPr>
        <w:t>）</w:t>
      </w:r>
      <w:r>
        <w:rPr>
          <w:rFonts w:cs="Times New Roman"/>
          <w:color w:val="auto"/>
          <w:highlight w:val="none"/>
        </w:rPr>
        <w:t>与压浆密实度指数</w:t>
      </w:r>
      <w:r>
        <w:rPr>
          <w:rFonts w:cs="Times New Roman" w:hint="eastAsia"/>
          <w:color w:val="auto"/>
          <w:highlight w:val="none"/>
        </w:rPr>
        <w:t>（</w:t>
      </w:r>
      <w:r>
        <w:rPr>
          <w:rFonts w:cs="Times New Roman"/>
          <w:i/>
          <w:color w:val="auto"/>
          <w:highlight w:val="none"/>
        </w:rPr>
        <w:t>D</w:t>
      </w:r>
      <w:r>
        <w:rPr>
          <w:rFonts w:cs="Times New Roman" w:hint="eastAsia"/>
          <w:color w:val="auto"/>
          <w:highlight w:val="none"/>
        </w:rPr>
        <w:t>）</w:t>
      </w:r>
      <w:r>
        <w:rPr>
          <w:rFonts w:cs="Times New Roman"/>
          <w:color w:val="auto"/>
          <w:highlight w:val="none"/>
        </w:rPr>
        <w:t>最不利状况按表13.4.5评定。</w:t>
      </w:r>
      <w:r>
        <w:rPr>
          <w:rFonts w:cs="Times New Roman"/>
          <w:color w:val="auto"/>
          <w:szCs w:val="24"/>
          <w:highlight w:val="none"/>
        </w:rPr>
        <w:t>当评定为</w:t>
      </w:r>
      <w:r>
        <w:rPr>
          <w:rFonts w:cs="Times New Roman"/>
          <w:color w:val="auto"/>
          <w:kern w:val="0"/>
          <w:szCs w:val="24"/>
          <w:highlight w:val="none"/>
        </w:rPr>
        <w:t>Ⅲ类时，应复查并处治。</w:t>
      </w:r>
    </w:p>
    <w:p>
      <w:pPr>
        <w:ind w:firstLineChars="0" w:firstLine="0"/>
        <w:jc w:val="center"/>
        <w:rPr>
          <w:rFonts w:cs="Times New Roman"/>
          <w:b/>
          <w:bCs/>
          <w:color w:val="auto"/>
          <w:sz w:val="21"/>
          <w:szCs w:val="21"/>
          <w:highlight w:val="none"/>
        </w:rPr>
      </w:pPr>
      <w:r>
        <w:rPr>
          <w:rFonts w:cs="Times New Roman"/>
          <w:b/>
          <w:bCs/>
          <w:color w:val="auto"/>
          <w:sz w:val="21"/>
          <w:szCs w:val="21"/>
          <w:highlight w:val="none"/>
        </w:rPr>
        <w:t>表13.4.5　压浆质量等级评定标准</w:t>
      </w:r>
    </w:p>
    <w:tbl>
      <w:tblPr>
        <w:jc w:val="center"/>
        <w:tblW w:w="4998"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Look w:val="0600" w:firstRow="0" w:lastRow="0" w:firstColumn="0" w:lastColumn="0" w:noHBand="1" w:noVBand="1"/>
      </w:tblPr>
      <w:tblGrid>
        <w:gridCol w:w="3380"/>
        <w:gridCol w:w="3328"/>
        <w:gridCol w:w="2328"/>
      </w:tblGrid>
      <w:tr>
        <w:trPr>
          <w:trHeight w:val="567"/>
        </w:trPr>
        <w:tc>
          <w:tcPr>
            <w:tcW w:w="1870" w:type="pct"/>
            <w:shd w:val="clear" w:color="auto" w:fill="auto"/>
            <w:vAlign w:val="center"/>
          </w:tcPr>
          <w:p>
            <w:pPr>
              <w:widowControl/>
              <w:spacing w:line="240" w:lineRule="auto"/>
              <w:ind w:firstLineChars="0" w:firstLine="0"/>
              <w:jc w:val="center"/>
              <w:rPr>
                <w:rFonts w:cs="Times New Roman"/>
                <w:b/>
                <w:bCs/>
                <w:color w:val="auto"/>
                <w:kern w:val="0"/>
                <w:sz w:val="22"/>
                <w:highlight w:val="none"/>
              </w:rPr>
            </w:pPr>
            <w:r>
              <w:rPr>
                <w:rFonts w:cs="Times New Roman"/>
                <w:b/>
                <w:bCs/>
                <w:color w:val="auto"/>
                <w:kern w:val="0"/>
                <w:sz w:val="22"/>
                <w:highlight w:val="none"/>
              </w:rPr>
              <w:t>最长压浆缺陷长度Lmax</w:t>
            </w:r>
          </w:p>
        </w:tc>
        <w:tc>
          <w:tcPr>
            <w:tcW w:w="1841" w:type="pct"/>
            <w:shd w:val="clear" w:color="auto" w:fill="auto"/>
            <w:vAlign w:val="center"/>
          </w:tcPr>
          <w:p>
            <w:pPr>
              <w:widowControl/>
              <w:spacing w:line="240" w:lineRule="auto"/>
              <w:ind w:firstLineChars="0" w:firstLine="0"/>
              <w:jc w:val="center"/>
              <w:rPr>
                <w:rFonts w:cs="Times New Roman"/>
                <w:b/>
                <w:bCs/>
                <w:color w:val="auto"/>
                <w:kern w:val="0"/>
                <w:sz w:val="22"/>
                <w:highlight w:val="none"/>
              </w:rPr>
            </w:pPr>
            <w:r>
              <w:rPr>
                <w:rFonts w:cs="Times New Roman"/>
                <w:b/>
                <w:bCs/>
                <w:color w:val="auto"/>
                <w:kern w:val="0"/>
                <w:sz w:val="22"/>
                <w:highlight w:val="none"/>
              </w:rPr>
              <w:t>压浆密实度指数</w:t>
            </w:r>
            <w:r>
              <w:rPr>
                <w:rFonts w:cs="Times New Roman"/>
                <w:b/>
                <w:bCs/>
                <w:i/>
                <w:color w:val="auto"/>
                <w:kern w:val="0"/>
                <w:sz w:val="22"/>
                <w:highlight w:val="none"/>
              </w:rPr>
              <w:t>D</w:t>
            </w:r>
          </w:p>
        </w:tc>
        <w:tc>
          <w:tcPr>
            <w:tcW w:w="1288" w:type="pct"/>
            <w:shd w:val="clear" w:color="auto" w:fill="auto"/>
            <w:vAlign w:val="center"/>
          </w:tcPr>
          <w:p>
            <w:pPr>
              <w:widowControl/>
              <w:spacing w:line="240" w:lineRule="auto"/>
              <w:ind w:firstLineChars="0" w:firstLine="0"/>
              <w:jc w:val="center"/>
              <w:rPr>
                <w:rFonts w:cs="Times New Roman"/>
                <w:b/>
                <w:bCs/>
                <w:color w:val="auto"/>
                <w:kern w:val="0"/>
                <w:sz w:val="22"/>
                <w:highlight w:val="none"/>
              </w:rPr>
            </w:pPr>
            <w:r>
              <w:rPr>
                <w:rFonts w:cs="Times New Roman"/>
                <w:b/>
                <w:bCs/>
                <w:color w:val="auto"/>
                <w:kern w:val="0"/>
                <w:sz w:val="22"/>
                <w:highlight w:val="none"/>
              </w:rPr>
              <w:t>评定等级</w:t>
            </w:r>
          </w:p>
        </w:tc>
      </w:tr>
      <w:tr>
        <w:trPr>
          <w:trHeight w:val="567"/>
        </w:trPr>
        <w:tc>
          <w:tcPr>
            <w:tcW w:w="1870" w:type="pct"/>
            <w:shd w:val="clear" w:color="auto" w:fill="auto"/>
            <w:vAlign w:val="center"/>
          </w:tcPr>
          <w:p>
            <w:pPr>
              <w:widowControl/>
              <w:spacing w:line="240" w:lineRule="auto"/>
              <w:ind w:firstLineChars="0" w:firstLine="0"/>
              <w:jc w:val="center"/>
              <w:rPr>
                <w:rFonts w:cs="Times New Roman"/>
                <w:color w:val="auto"/>
                <w:kern w:val="0"/>
                <w:sz w:val="22"/>
                <w:highlight w:val="none"/>
              </w:rPr>
            </w:pPr>
            <w:r>
              <w:rPr>
                <w:rFonts w:cs="Times New Roman"/>
                <w:color w:val="auto"/>
                <w:kern w:val="0"/>
                <w:sz w:val="22"/>
                <w:highlight w:val="none"/>
              </w:rPr>
              <w:t>Lmax＜0. 4m</w:t>
            </w:r>
          </w:p>
        </w:tc>
        <w:tc>
          <w:tcPr>
            <w:tcW w:w="1841" w:type="pct"/>
            <w:shd w:val="clear" w:color="auto" w:fill="auto"/>
            <w:vAlign w:val="center"/>
          </w:tcPr>
          <w:p>
            <w:pPr>
              <w:widowControl/>
              <w:spacing w:line="240" w:lineRule="auto"/>
              <w:ind w:firstLineChars="0" w:firstLine="0"/>
              <w:jc w:val="center"/>
              <w:rPr>
                <w:rFonts w:cs="Times New Roman"/>
                <w:color w:val="auto"/>
                <w:kern w:val="0"/>
                <w:sz w:val="22"/>
                <w:highlight w:val="none"/>
              </w:rPr>
            </w:pPr>
            <w:r>
              <w:rPr>
                <w:rFonts w:cs="Times New Roman"/>
                <w:color w:val="auto"/>
                <w:kern w:val="0"/>
                <w:sz w:val="22"/>
                <w:highlight w:val="none"/>
              </w:rPr>
              <w:t>[0.95，1. 00]</w:t>
            </w:r>
          </w:p>
        </w:tc>
        <w:tc>
          <w:tcPr>
            <w:tcW w:w="1288" w:type="pct"/>
            <w:shd w:val="clear" w:color="auto" w:fill="auto"/>
            <w:vAlign w:val="center"/>
          </w:tcPr>
          <w:p>
            <w:pPr>
              <w:widowControl/>
              <w:spacing w:line="240" w:lineRule="auto"/>
              <w:ind w:firstLineChars="0" w:firstLine="0"/>
              <w:jc w:val="center"/>
              <w:rPr>
                <w:rFonts w:cs="Times New Roman"/>
                <w:color w:val="auto"/>
                <w:kern w:val="0"/>
                <w:sz w:val="22"/>
                <w:highlight w:val="none"/>
              </w:rPr>
            </w:pPr>
            <w:r>
              <w:rPr>
                <w:rFonts w:cs="Times New Roman"/>
                <w:color w:val="auto"/>
                <w:kern w:val="0"/>
                <w:sz w:val="22"/>
                <w:highlight w:val="none"/>
              </w:rPr>
              <w:t>I类（优良）</w:t>
            </w:r>
          </w:p>
        </w:tc>
      </w:tr>
      <w:tr>
        <w:trPr>
          <w:trHeight w:val="567"/>
        </w:trPr>
        <w:tc>
          <w:tcPr>
            <w:tcW w:w="1870" w:type="pct"/>
            <w:shd w:val="clear" w:color="auto" w:fill="auto"/>
            <w:vAlign w:val="center"/>
          </w:tcPr>
          <w:p>
            <w:pPr>
              <w:widowControl/>
              <w:spacing w:line="240" w:lineRule="auto"/>
              <w:ind w:firstLineChars="0" w:firstLine="0"/>
              <w:jc w:val="center"/>
              <w:rPr>
                <w:rFonts w:cs="Times New Roman"/>
                <w:color w:val="auto"/>
                <w:kern w:val="0"/>
                <w:sz w:val="22"/>
                <w:highlight w:val="none"/>
              </w:rPr>
            </w:pPr>
            <w:r>
              <w:rPr>
                <w:rFonts w:cs="Times New Roman"/>
                <w:color w:val="auto"/>
                <w:kern w:val="0"/>
                <w:sz w:val="22"/>
                <w:highlight w:val="none"/>
              </w:rPr>
              <w:t>0. 4m</w:t>
            </w:r>
            <w:r>
              <w:rPr>
                <w:rFonts w:cs="Times New Roman"/>
                <w:color w:val="auto"/>
                <w:sz w:val="21"/>
                <w:szCs w:val="21"/>
                <w:highlight w:val="none"/>
              </w:rPr>
              <w:t>≤</w:t>
            </w:r>
            <w:r>
              <w:rPr>
                <w:rFonts w:cs="Times New Roman"/>
                <w:color w:val="auto"/>
                <w:kern w:val="0"/>
                <w:sz w:val="22"/>
                <w:highlight w:val="none"/>
              </w:rPr>
              <w:t xml:space="preserve">Lmax＜1.5m </w:t>
            </w:r>
          </w:p>
        </w:tc>
        <w:tc>
          <w:tcPr>
            <w:tcW w:w="1841" w:type="pct"/>
            <w:shd w:val="clear" w:color="auto" w:fill="auto"/>
            <w:vAlign w:val="center"/>
          </w:tcPr>
          <w:p>
            <w:pPr>
              <w:widowControl/>
              <w:spacing w:line="240" w:lineRule="auto"/>
              <w:ind w:firstLineChars="0" w:firstLine="0"/>
              <w:jc w:val="center"/>
              <w:rPr>
                <w:rFonts w:cs="Times New Roman"/>
                <w:color w:val="auto"/>
                <w:kern w:val="0"/>
                <w:sz w:val="22"/>
                <w:highlight w:val="none"/>
              </w:rPr>
            </w:pPr>
            <w:r>
              <w:rPr>
                <w:rFonts w:cs="Times New Roman"/>
                <w:color w:val="auto"/>
                <w:kern w:val="0"/>
                <w:sz w:val="22"/>
                <w:highlight w:val="none"/>
              </w:rPr>
              <w:t>[0. 90，0. 95）</w:t>
            </w:r>
          </w:p>
        </w:tc>
        <w:tc>
          <w:tcPr>
            <w:tcW w:w="1288" w:type="pct"/>
            <w:shd w:val="clear" w:color="auto" w:fill="auto"/>
            <w:vAlign w:val="center"/>
          </w:tcPr>
          <w:p>
            <w:pPr>
              <w:widowControl/>
              <w:spacing w:line="240" w:lineRule="auto"/>
              <w:ind w:firstLineChars="0" w:firstLine="0"/>
              <w:jc w:val="center"/>
              <w:rPr>
                <w:rFonts w:cs="Times New Roman"/>
                <w:color w:val="auto"/>
                <w:kern w:val="0"/>
                <w:sz w:val="22"/>
                <w:highlight w:val="none"/>
              </w:rPr>
            </w:pPr>
            <w:r>
              <w:rPr>
                <w:rFonts w:cs="Times New Roman"/>
                <w:color w:val="auto"/>
                <w:kern w:val="0"/>
                <w:sz w:val="22"/>
                <w:highlight w:val="none"/>
              </w:rPr>
              <w:t>II类（合格）</w:t>
            </w:r>
          </w:p>
        </w:tc>
      </w:tr>
      <w:tr>
        <w:trPr>
          <w:trHeight w:val="567"/>
        </w:trPr>
        <w:tc>
          <w:tcPr>
            <w:tcW w:w="1870" w:type="pct"/>
            <w:shd w:val="clear" w:color="auto" w:fill="auto"/>
            <w:vAlign w:val="center"/>
          </w:tcPr>
          <w:p>
            <w:pPr>
              <w:widowControl/>
              <w:ind w:firstLineChars="0" w:firstLine="0"/>
              <w:jc w:val="center"/>
              <w:rPr>
                <w:rFonts w:cs="Times New Roman"/>
                <w:color w:val="auto"/>
                <w:kern w:val="0"/>
                <w:sz w:val="22"/>
                <w:highlight w:val="none"/>
              </w:rPr>
            </w:pPr>
            <w:r>
              <w:rPr>
                <w:rFonts w:cs="Times New Roman"/>
                <w:color w:val="auto"/>
                <w:kern w:val="0"/>
                <w:sz w:val="22"/>
                <w:highlight w:val="none"/>
              </w:rPr>
              <w:t>Lmax</w:t>
            </w:r>
            <w:r>
              <w:rPr>
                <w:rFonts w:cs="Times New Roman"/>
                <w:color w:val="auto"/>
                <w:sz w:val="21"/>
                <w:szCs w:val="21"/>
                <w:highlight w:val="none"/>
              </w:rPr>
              <w:t>≥</w:t>
            </w:r>
            <w:r>
              <w:rPr>
                <w:rFonts w:cs="Times New Roman"/>
                <w:color w:val="auto"/>
                <w:kern w:val="0"/>
                <w:sz w:val="22"/>
                <w:highlight w:val="none"/>
              </w:rPr>
              <w:t>1.5m</w:t>
            </w:r>
          </w:p>
        </w:tc>
        <w:tc>
          <w:tcPr>
            <w:tcW w:w="1841" w:type="pct"/>
            <w:shd w:val="clear" w:color="auto" w:fill="auto"/>
            <w:vAlign w:val="center"/>
          </w:tcPr>
          <w:p>
            <w:pPr>
              <w:widowControl/>
              <w:spacing w:line="240" w:lineRule="auto"/>
              <w:ind w:firstLineChars="0" w:firstLine="0"/>
              <w:jc w:val="center"/>
              <w:rPr>
                <w:rFonts w:cs="Times New Roman"/>
                <w:color w:val="auto"/>
                <w:kern w:val="0"/>
                <w:sz w:val="22"/>
                <w:highlight w:val="none"/>
              </w:rPr>
            </w:pPr>
            <w:r>
              <w:rPr>
                <w:rFonts w:cs="Times New Roman"/>
                <w:color w:val="auto"/>
                <w:kern w:val="0"/>
                <w:sz w:val="22"/>
                <w:highlight w:val="none"/>
              </w:rPr>
              <w:t>[0， 0.90）</w:t>
            </w:r>
          </w:p>
        </w:tc>
        <w:tc>
          <w:tcPr>
            <w:tcW w:w="1288" w:type="pct"/>
            <w:shd w:val="clear" w:color="auto" w:fill="auto"/>
            <w:vAlign w:val="center"/>
          </w:tcPr>
          <w:p>
            <w:pPr>
              <w:widowControl/>
              <w:spacing w:line="240" w:lineRule="auto"/>
              <w:ind w:firstLineChars="0" w:firstLine="0"/>
              <w:jc w:val="center"/>
              <w:rPr>
                <w:rFonts w:cs="Times New Roman"/>
                <w:color w:val="auto"/>
                <w:kern w:val="0"/>
                <w:sz w:val="22"/>
                <w:highlight w:val="none"/>
              </w:rPr>
            </w:pPr>
            <w:r>
              <w:rPr>
                <w:rFonts w:cs="Times New Roman"/>
                <w:color w:val="auto"/>
                <w:kern w:val="0"/>
                <w:sz w:val="22"/>
                <w:highlight w:val="none"/>
              </w:rPr>
              <w:t>Ⅲ类（不合格）</w:t>
            </w:r>
          </w:p>
        </w:tc>
      </w:tr>
    </w:tbl>
    <w:p>
      <w:pPr>
        <w:pStyle w:val="23"/>
        <w:rPr>
          <w:color w:val="auto"/>
          <w:highlight w:val="none"/>
        </w:rPr>
      </w:pPr>
      <w:bookmarkStart w:id="393" w:name="_Toc26768"/>
      <w:bookmarkStart w:id="394" w:name="_Toc22031"/>
    </w:p>
    <w:p>
      <w:pPr>
        <w:widowControl/>
        <w:spacing w:line="240" w:lineRule="auto"/>
        <w:ind w:firstLineChars="0" w:firstLine="0"/>
        <w:jc w:val="left"/>
        <w:textAlignment w:val="auto"/>
        <w:rPr>
          <w:rFonts w:cs="Times New Roman"/>
          <w:b/>
          <w:bCs/>
          <w:color w:val="auto"/>
          <w:kern w:val="0"/>
          <w:szCs w:val="21"/>
          <w:highlight w:val="none"/>
        </w:rPr>
      </w:pPr>
      <w:r>
        <w:rPr>
          <w:rFonts w:cs="Times New Roman"/>
          <w:color w:val="auto"/>
          <w:kern w:val="0"/>
          <w:szCs w:val="21"/>
          <w:highlight w:val="none"/>
        </w:rPr>
        <w:br w:type="page"/>
      </w:r>
    </w:p>
    <w:p>
      <w:pPr>
        <w:pStyle w:val="1"/>
        <w:ind w:rightChars="17" w:right="41" w:firstLineChars="0" w:firstLine="0"/>
        <w:rPr>
          <w:rFonts w:cs="Times New Roman"/>
          <w:color w:val="auto"/>
          <w:highlight w:val="none"/>
        </w:rPr>
      </w:pPr>
      <w:bookmarkStart w:id="395" w:name="_Toc17552"/>
      <w:bookmarkStart w:id="396" w:name="_Toc476"/>
      <w:r>
        <w:rPr>
          <w:rFonts w:cs="Times New Roman"/>
          <w:color w:val="auto"/>
          <w:highlight w:val="none"/>
        </w:rPr>
        <w:t>14　</w:t>
      </w:r>
      <w:bookmarkEnd w:id="377"/>
      <w:r>
        <w:rPr>
          <w:rFonts w:cs="Times New Roman"/>
          <w:color w:val="auto"/>
          <w:highlight w:val="none"/>
        </w:rPr>
        <w:t>复拉法</w:t>
      </w:r>
      <w:bookmarkEnd w:id="393"/>
      <w:bookmarkEnd w:id="394"/>
      <w:bookmarkEnd w:id="395"/>
      <w:bookmarkEnd w:id="396"/>
    </w:p>
    <w:p>
      <w:pPr>
        <w:pStyle w:val="2"/>
        <w:tabs>
          <w:tab w:val="left" w:pos="0"/>
        </w:tabs>
        <w:rPr>
          <w:rFonts w:ascii="Times New Roman" w:cs="Times New Roman" w:hAnsi="Times New Roman"/>
          <w:color w:val="auto"/>
          <w:highlight w:val="none"/>
        </w:rPr>
      </w:pPr>
      <w:bookmarkStart w:id="397" w:name="_Toc26081"/>
      <w:bookmarkStart w:id="398" w:name="_Toc29485"/>
      <w:bookmarkStart w:id="399" w:name="_Toc3514"/>
      <w:bookmarkStart w:id="400" w:name="_Toc13910"/>
      <w:bookmarkStart w:id="401" w:name="_Toc31031"/>
      <w:r>
        <w:rPr>
          <w:rFonts w:ascii="Times New Roman" w:cs="Times New Roman" w:hAnsi="Times New Roman"/>
          <w:color w:val="auto"/>
          <w:highlight w:val="none"/>
        </w:rPr>
        <w:t>14.1　一般规定</w:t>
      </w:r>
      <w:bookmarkEnd w:id="397"/>
      <w:bookmarkEnd w:id="398"/>
      <w:bookmarkEnd w:id="399"/>
      <w:bookmarkEnd w:id="400"/>
      <w:bookmarkEnd w:id="401"/>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14.1.1　</w:t>
      </w:r>
      <w:r>
        <w:rPr>
          <w:rFonts w:cs="Times New Roman"/>
          <w:color w:val="auto"/>
          <w:highlight w:val="none"/>
        </w:rPr>
        <w:t>复拉法</w:t>
      </w:r>
      <w:r>
        <w:rPr>
          <w:rFonts w:cs="Times New Roman" w:hint="eastAsia"/>
          <w:color w:val="auto"/>
          <w:highlight w:val="none"/>
        </w:rPr>
        <w:t>可</w:t>
      </w:r>
      <w:r>
        <w:rPr>
          <w:rFonts w:cs="Times New Roman"/>
          <w:color w:val="auto"/>
          <w:highlight w:val="none"/>
        </w:rPr>
        <w:t>用于后张法预应力施工装配式构件的</w:t>
      </w:r>
      <w:r>
        <w:rPr>
          <w:rFonts w:cs="Times New Roman" w:hint="eastAsia"/>
          <w:color w:val="auto"/>
          <w:lang w:eastAsia="zh-CN"/>
          <w:highlight w:val="none"/>
        </w:rPr>
        <w:t>锚下</w:t>
      </w:r>
      <w:r>
        <w:rPr>
          <w:rFonts w:cs="Times New Roman" w:hint="eastAsia"/>
          <w:color w:val="auto"/>
          <w:lang w:val="en-US" w:eastAsia="zh-CN"/>
          <w:highlight w:val="none"/>
        </w:rPr>
        <w:t>有效</w:t>
      </w:r>
      <w:r>
        <w:rPr>
          <w:rFonts w:cs="Times New Roman" w:hint="eastAsia"/>
          <w:color w:val="auto"/>
          <w:lang w:eastAsia="zh-CN"/>
          <w:highlight w:val="none"/>
        </w:rPr>
        <w:t>预应力</w:t>
      </w:r>
      <w:r>
        <w:rPr>
          <w:rFonts w:cs="Times New Roman"/>
          <w:color w:val="auto"/>
          <w:highlight w:val="none"/>
        </w:rPr>
        <w:t>检测。</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14.1.2　</w:t>
      </w:r>
      <w:r>
        <w:rPr>
          <w:rFonts w:cs="Times New Roman"/>
          <w:color w:val="auto"/>
          <w:highlight w:val="none"/>
        </w:rPr>
        <w:t>复拉法宜在装配式构件后张预应力张拉施工完成后，注浆及切割预应力筋前进行。</w:t>
      </w:r>
    </w:p>
    <w:p>
      <w:pPr>
        <w:pStyle w:val="2"/>
        <w:tabs>
          <w:tab w:val="left" w:pos="0"/>
        </w:tabs>
        <w:rPr>
          <w:rFonts w:ascii="Times New Roman" w:cs="Times New Roman" w:hAnsi="Times New Roman"/>
          <w:color w:val="auto"/>
          <w:highlight w:val="none"/>
        </w:rPr>
      </w:pPr>
      <w:bookmarkStart w:id="402" w:name="_Toc30048"/>
      <w:bookmarkStart w:id="403" w:name="_Toc4164"/>
      <w:bookmarkStart w:id="404" w:name="_Toc3971"/>
      <w:bookmarkStart w:id="405" w:name="_Toc4663"/>
      <w:bookmarkStart w:id="406" w:name="_Toc22214"/>
      <w:r>
        <w:rPr>
          <w:rFonts w:ascii="Times New Roman" w:cs="Times New Roman" w:hAnsi="Times New Roman"/>
          <w:color w:val="auto"/>
          <w:highlight w:val="none"/>
        </w:rPr>
        <w:t>14.2　检测设备</w:t>
      </w:r>
      <w:bookmarkEnd w:id="402"/>
      <w:bookmarkEnd w:id="403"/>
      <w:bookmarkEnd w:id="404"/>
      <w:bookmarkEnd w:id="405"/>
      <w:bookmarkEnd w:id="406"/>
    </w:p>
    <w:p>
      <w:pPr>
        <w:pStyle w:val="3"/>
        <w:tabs>
          <w:tab w:val="left" w:pos="0"/>
          <w:tab w:val="left" w:pos="567"/>
          <w:tab w:val="left" w:pos="709"/>
          <w:tab w:val="left" w:pos="1560"/>
        </w:tabs>
        <w:rPr>
          <w:rFonts w:cs="Times New Roman"/>
          <w:color w:val="auto"/>
          <w:highlight w:val="none"/>
        </w:rPr>
      </w:pPr>
      <w:r>
        <w:rPr>
          <w:rFonts w:cs="Times New Roman"/>
          <w:b/>
          <w:color w:val="auto"/>
          <w:szCs w:val="24"/>
          <w:highlight w:val="none"/>
        </w:rPr>
        <w:t>14.2.1　</w:t>
      </w:r>
      <w:r>
        <w:rPr>
          <w:rFonts w:cs="Times New Roman"/>
          <w:color w:val="auto"/>
          <w:highlight w:val="none"/>
        </w:rPr>
        <w:t>复拉法检测设备</w:t>
      </w:r>
      <w:r>
        <w:rPr>
          <w:rFonts w:cs="Times New Roman" w:hint="eastAsia"/>
          <w:color w:val="auto"/>
          <w:highlight w:val="none"/>
        </w:rPr>
        <w:t>应</w:t>
      </w:r>
      <w:r>
        <w:rPr>
          <w:rFonts w:cs="Times New Roman"/>
          <w:color w:val="auto"/>
          <w:highlight w:val="none"/>
        </w:rPr>
        <w:t>包括复拉加载设备、力值与位移量测仪器、数据采集分析系统</w:t>
      </w:r>
      <w:r>
        <w:rPr>
          <w:rFonts w:cs="Times New Roman" w:hint="eastAsia"/>
          <w:color w:val="auto"/>
          <w:highlight w:val="none"/>
        </w:rPr>
        <w:t>（</w:t>
      </w:r>
      <w:r>
        <w:rPr>
          <w:rFonts w:cs="Times New Roman"/>
          <w:color w:val="auto"/>
          <w:highlight w:val="none"/>
        </w:rPr>
        <w:t>图</w:t>
      </w:r>
      <w:r>
        <w:rPr>
          <w:rFonts w:cs="Times New Roman"/>
          <w:color w:val="auto"/>
          <w:szCs w:val="24"/>
          <w:highlight w:val="none"/>
        </w:rPr>
        <w:t>14.2.1</w:t>
      </w:r>
      <w:r>
        <w:rPr>
          <w:rFonts w:cs="Times New Roman" w:hint="eastAsia"/>
          <w:color w:val="auto"/>
          <w:highlight w:val="none"/>
        </w:rPr>
        <w:t>）</w:t>
      </w:r>
      <w:r>
        <w:rPr>
          <w:rFonts w:cs="Times New Roman"/>
          <w:color w:val="auto"/>
          <w:highlight w:val="none"/>
        </w:rPr>
        <w:t>。</w:t>
      </w:r>
    </w:p>
    <w:p>
      <w:pPr>
        <w:ind w:firstLineChars="0" w:firstLine="0"/>
        <w:jc w:val="center"/>
        <w:rPr>
          <w:rFonts w:cs="Times New Roman"/>
          <w:color w:val="auto"/>
          <w:highlight w:val="none"/>
        </w:rPr>
      </w:pPr>
      <w:r>
        <w:rPr>
          <w:rFonts w:cs="Times New Roman"/>
          <w:color w:val="auto"/>
          <w:highlight w:val="none"/>
        </w:rPr>
        <w:drawing>
          <wp:inline distT="0" distB="0" distL="114300" distR="114300">
            <wp:extent cx="4319904" cy="1640205"/>
            <wp:effectExtent l="0" t="0" r="1" b="1"/>
            <wp:docPr id="688168621" name="图片 20"/>
            <wp:cNvGraphicFramePr>
              <a:graphicFrameLocks noChangeAspect="1"/>
            </wp:cNvGraphicFramePr>
            <a:graphic>
              <a:graphicData uri="http://schemas.openxmlformats.org/drawingml/2006/picture">
                <pic:pic>
                  <pic:nvPicPr>
                    <pic:cNvPr id="116" name="图片 20 116"/>
                    <pic:cNvPicPr/>
                  </pic:nvPicPr>
                  <pic:blipFill>
                    <a:blip r:embed="rId101"/>
                    <a:stretch>
                      <a:fillRect/>
                    </a:stretch>
                  </pic:blipFill>
                  <pic:spPr>
                    <a:xfrm rot="0">
                      <a:off x="0" y="0"/>
                      <a:ext cx="4319904" cy="1640205"/>
                    </a:xfrm>
                    <a:prstGeom prst="rect"/>
                    <a:noFill/>
                    <a:ln cmpd="sng" cap="flat">
                      <a:noFill/>
                      <a:prstDash val="solid"/>
                      <a:round/>
                    </a:ln>
                  </pic:spPr>
                </pic:pic>
              </a:graphicData>
            </a:graphic>
          </wp:inline>
        </w:drawing>
      </w:r>
    </w:p>
    <w:p>
      <w:pPr>
        <w:ind w:firstLineChars="0" w:firstLine="0"/>
        <w:jc w:val="center"/>
        <w:rPr>
          <w:rFonts w:eastAsia="仿宋" w:cs="Times New Roman"/>
          <w:color w:val="auto"/>
          <w:szCs w:val="24"/>
          <w:highlight w:val="none"/>
        </w:rPr>
      </w:pPr>
    </w:p>
    <w:p>
      <w:pPr>
        <w:spacing w:line="240" w:lineRule="auto"/>
        <w:ind w:firstLineChars="0" w:firstLine="0"/>
        <w:jc w:val="center"/>
        <w:rPr>
          <w:rStyle w:val="125"/>
          <w:rFonts w:cs="Times New Roman"/>
          <w:b w:val="0"/>
          <w:bCs/>
          <w:color w:val="auto"/>
          <w:highlight w:val="none"/>
        </w:rPr>
      </w:pPr>
      <w:r>
        <w:rPr>
          <w:rStyle w:val="125"/>
          <w:rFonts w:cs="Times New Roman"/>
          <w:b w:val="0"/>
          <w:bCs/>
          <w:color w:val="auto"/>
          <w:highlight w:val="none"/>
        </w:rPr>
        <w:t>1—构件</w:t>
      </w:r>
      <w:r>
        <w:rPr>
          <w:rStyle w:val="125"/>
          <w:rFonts w:cs="Times New Roman" w:hint="eastAsia"/>
          <w:b w:val="0"/>
          <w:bCs/>
          <w:color w:val="auto"/>
          <w:highlight w:val="none"/>
        </w:rPr>
        <w:t>；</w:t>
      </w:r>
      <w:r>
        <w:rPr>
          <w:rStyle w:val="125"/>
          <w:rFonts w:cs="Times New Roman"/>
          <w:b w:val="0"/>
          <w:bCs/>
          <w:color w:val="auto"/>
          <w:highlight w:val="none"/>
        </w:rPr>
        <w:t>2—锚垫板</w:t>
      </w:r>
      <w:r>
        <w:rPr>
          <w:rStyle w:val="125"/>
          <w:rFonts w:cs="Times New Roman" w:hint="eastAsia"/>
          <w:b w:val="0"/>
          <w:bCs/>
          <w:color w:val="auto"/>
          <w:highlight w:val="none"/>
        </w:rPr>
        <w:t>；</w:t>
      </w:r>
      <w:r>
        <w:rPr>
          <w:rStyle w:val="125"/>
          <w:rFonts w:cs="Times New Roman"/>
          <w:b w:val="0"/>
          <w:bCs/>
          <w:color w:val="auto"/>
          <w:highlight w:val="none"/>
        </w:rPr>
        <w:t>3—锚具</w:t>
      </w:r>
      <w:r>
        <w:rPr>
          <w:rStyle w:val="125"/>
          <w:rFonts w:cs="Times New Roman" w:hint="eastAsia"/>
          <w:b w:val="0"/>
          <w:bCs/>
          <w:color w:val="auto"/>
          <w:highlight w:val="none"/>
        </w:rPr>
        <w:t>；</w:t>
      </w:r>
      <w:r>
        <w:rPr>
          <w:rStyle w:val="125"/>
          <w:rFonts w:cs="Times New Roman"/>
          <w:b w:val="0"/>
          <w:bCs/>
          <w:color w:val="auto"/>
          <w:highlight w:val="none"/>
        </w:rPr>
        <w:t>4—夹片</w:t>
      </w:r>
      <w:r>
        <w:rPr>
          <w:rStyle w:val="125"/>
          <w:rFonts w:cs="Times New Roman" w:hint="eastAsia"/>
          <w:b w:val="0"/>
          <w:bCs/>
          <w:color w:val="auto"/>
          <w:highlight w:val="none"/>
        </w:rPr>
        <w:t>；</w:t>
      </w:r>
      <w:r>
        <w:rPr>
          <w:rStyle w:val="125"/>
          <w:rFonts w:cs="Times New Roman"/>
          <w:b w:val="0"/>
          <w:bCs/>
          <w:color w:val="auto"/>
          <w:highlight w:val="none"/>
        </w:rPr>
        <w:t>5—限位装置</w:t>
      </w:r>
      <w:r>
        <w:rPr>
          <w:rStyle w:val="125"/>
          <w:rFonts w:cs="Times New Roman" w:hint="eastAsia"/>
          <w:b w:val="0"/>
          <w:bCs/>
          <w:color w:val="auto"/>
          <w:highlight w:val="none"/>
        </w:rPr>
        <w:t>；</w:t>
      </w:r>
      <w:r>
        <w:rPr>
          <w:rStyle w:val="125"/>
          <w:rFonts w:cs="Times New Roman"/>
          <w:b w:val="0"/>
          <w:bCs/>
          <w:color w:val="auto"/>
          <w:highlight w:val="none"/>
        </w:rPr>
        <w:t>6—测力计</w:t>
      </w:r>
      <w:r>
        <w:rPr>
          <w:rStyle w:val="125"/>
          <w:rFonts w:cs="Times New Roman" w:hint="eastAsia"/>
          <w:b w:val="0"/>
          <w:bCs/>
          <w:color w:val="auto"/>
          <w:highlight w:val="none"/>
        </w:rPr>
        <w:t>；</w:t>
      </w:r>
      <w:r>
        <w:rPr>
          <w:rStyle w:val="125"/>
          <w:rFonts w:cs="Times New Roman"/>
          <w:b w:val="0"/>
          <w:bCs/>
          <w:color w:val="auto"/>
          <w:highlight w:val="none"/>
        </w:rPr>
        <w:t>7—千斤顶</w:t>
      </w:r>
      <w:r>
        <w:rPr>
          <w:rStyle w:val="125"/>
          <w:rFonts w:cs="Times New Roman" w:hint="eastAsia"/>
          <w:b w:val="0"/>
          <w:bCs/>
          <w:color w:val="auto"/>
          <w:highlight w:val="none"/>
        </w:rPr>
        <w:t>；</w:t>
      </w:r>
    </w:p>
    <w:p>
      <w:pPr>
        <w:spacing w:line="240" w:lineRule="auto"/>
        <w:ind w:firstLineChars="0" w:firstLine="0"/>
        <w:jc w:val="center"/>
        <w:rPr>
          <w:rStyle w:val="125"/>
          <w:rFonts w:cs="Times New Roman"/>
          <w:b w:val="0"/>
          <w:bCs/>
          <w:color w:val="auto"/>
          <w:highlight w:val="none"/>
        </w:rPr>
      </w:pPr>
      <w:r>
        <w:rPr>
          <w:rStyle w:val="125"/>
          <w:rFonts w:cs="Times New Roman"/>
          <w:b w:val="0"/>
          <w:bCs/>
          <w:color w:val="auto"/>
          <w:highlight w:val="none"/>
        </w:rPr>
        <w:t>8—位移传感器</w:t>
      </w:r>
      <w:r>
        <w:rPr>
          <w:rStyle w:val="125"/>
          <w:rFonts w:cs="Times New Roman" w:hint="eastAsia"/>
          <w:b w:val="0"/>
          <w:bCs/>
          <w:color w:val="auto"/>
          <w:highlight w:val="none"/>
        </w:rPr>
        <w:t>；</w:t>
      </w:r>
      <w:r>
        <w:rPr>
          <w:rStyle w:val="125"/>
          <w:rFonts w:cs="Times New Roman"/>
          <w:b w:val="0"/>
          <w:bCs/>
          <w:color w:val="auto"/>
          <w:highlight w:val="none"/>
        </w:rPr>
        <w:t>9—油管</w:t>
      </w:r>
      <w:r>
        <w:rPr>
          <w:rStyle w:val="125"/>
          <w:rFonts w:cs="Times New Roman" w:hint="eastAsia"/>
          <w:b w:val="0"/>
          <w:bCs/>
          <w:color w:val="auto"/>
          <w:highlight w:val="none"/>
        </w:rPr>
        <w:t>；</w:t>
      </w:r>
      <w:r>
        <w:rPr>
          <w:rStyle w:val="125"/>
          <w:rFonts w:cs="Times New Roman"/>
          <w:b w:val="0"/>
          <w:bCs/>
          <w:color w:val="auto"/>
          <w:highlight w:val="none"/>
        </w:rPr>
        <w:t>10—检测仪</w:t>
      </w:r>
      <w:r>
        <w:rPr>
          <w:rStyle w:val="125"/>
          <w:rFonts w:cs="Times New Roman" w:hint="eastAsia"/>
          <w:b w:val="0"/>
          <w:bCs/>
          <w:color w:val="auto"/>
          <w:highlight w:val="none"/>
        </w:rPr>
        <w:t>；</w:t>
      </w:r>
      <w:r>
        <w:rPr>
          <w:rStyle w:val="125"/>
          <w:rFonts w:cs="Times New Roman"/>
          <w:b w:val="0"/>
          <w:bCs/>
          <w:color w:val="auto"/>
          <w:highlight w:val="none"/>
        </w:rPr>
        <w:t>11—工控机</w:t>
      </w:r>
      <w:r>
        <w:rPr>
          <w:rStyle w:val="125"/>
          <w:rFonts w:cs="Times New Roman" w:hint="eastAsia"/>
          <w:b w:val="0"/>
          <w:bCs/>
          <w:color w:val="auto"/>
          <w:highlight w:val="none"/>
        </w:rPr>
        <w:t>；</w:t>
      </w:r>
      <w:r>
        <w:rPr>
          <w:rStyle w:val="125"/>
          <w:rFonts w:cs="Times New Roman"/>
          <w:b w:val="0"/>
          <w:bCs/>
          <w:color w:val="auto"/>
          <w:highlight w:val="none"/>
        </w:rPr>
        <w:t>12—钢绞线</w:t>
      </w:r>
    </w:p>
    <w:p>
      <w:pPr>
        <w:snapToGrid w:val="0"/>
        <w:spacing w:beforeLines="50" w:before="156" w:line="300" w:lineRule="auto"/>
        <w:ind w:firstLineChars="0" w:firstLine="0"/>
        <w:jc w:val="center"/>
        <w:rPr>
          <w:rStyle w:val="125"/>
          <w:rFonts w:cs="Times New Roman"/>
          <w:color w:val="auto"/>
          <w:highlight w:val="none"/>
        </w:rPr>
      </w:pPr>
      <w:r>
        <w:rPr>
          <w:rStyle w:val="125"/>
          <w:rFonts w:cs="Times New Roman"/>
          <w:color w:val="auto"/>
          <w:highlight w:val="none"/>
        </w:rPr>
        <w:t>图14.2.1　复拉法检测</w:t>
      </w:r>
      <w:r>
        <w:rPr>
          <w:rStyle w:val="125"/>
          <w:rFonts w:cs="Times New Roman" w:hint="eastAsia"/>
          <w:color w:val="auto"/>
          <w:highlight w:val="none"/>
        </w:rPr>
        <w:t>设备</w:t>
      </w:r>
      <w:r>
        <w:rPr>
          <w:rStyle w:val="125"/>
          <w:rFonts w:cs="Times New Roman"/>
          <w:color w:val="auto"/>
          <w:highlight w:val="none"/>
        </w:rPr>
        <w:t>示意图</w:t>
      </w:r>
    </w:p>
    <w:p>
      <w:pPr>
        <w:pStyle w:val="3"/>
        <w:tabs>
          <w:tab w:val="left" w:pos="0"/>
          <w:tab w:val="left" w:pos="567"/>
          <w:tab w:val="left" w:pos="709"/>
          <w:tab w:val="left" w:pos="1560"/>
        </w:tabs>
        <w:rPr>
          <w:rFonts w:cs="Times New Roman"/>
          <w:color w:val="auto"/>
          <w:highlight w:val="none"/>
        </w:rPr>
      </w:pPr>
      <w:r>
        <w:rPr>
          <w:rFonts w:cs="Times New Roman"/>
          <w:b/>
          <w:color w:val="auto"/>
          <w:szCs w:val="24"/>
          <w:highlight w:val="none"/>
        </w:rPr>
        <w:t>14.2.2　</w:t>
      </w:r>
      <w:r>
        <w:rPr>
          <w:rFonts w:cs="Times New Roman"/>
          <w:color w:val="auto"/>
          <w:highlight w:val="none"/>
        </w:rPr>
        <w:t>加载设备应符合下列规定：</w:t>
      </w:r>
    </w:p>
    <w:p>
      <w:pPr>
        <w:rPr>
          <w:rFonts w:cs="Times New Roman"/>
          <w:color w:val="auto"/>
          <w:highlight w:val="none"/>
        </w:rPr>
      </w:pPr>
      <w:r>
        <w:rPr>
          <w:rFonts w:cs="Times New Roman"/>
          <w:b/>
          <w:bCs/>
          <w:color w:val="auto"/>
          <w:highlight w:val="none"/>
        </w:rPr>
        <w:t>1　</w:t>
      </w:r>
      <w:r>
        <w:rPr>
          <w:rFonts w:cs="Times New Roman"/>
          <w:color w:val="auto"/>
          <w:highlight w:val="none"/>
        </w:rPr>
        <w:t>加载设备公称张拉力不</w:t>
      </w:r>
      <w:r>
        <w:rPr>
          <w:rFonts w:cs="Times New Roman" w:hint="eastAsia"/>
          <w:color w:val="auto"/>
          <w:highlight w:val="none"/>
        </w:rPr>
        <w:t>应</w:t>
      </w:r>
      <w:r>
        <w:rPr>
          <w:rFonts w:cs="Times New Roman"/>
          <w:color w:val="auto"/>
          <w:highlight w:val="none"/>
        </w:rPr>
        <w:t>小于最大加载力值的1.3倍，且不</w:t>
      </w:r>
      <w:r>
        <w:rPr>
          <w:rFonts w:cs="Times New Roman" w:hint="eastAsia"/>
          <w:color w:val="auto"/>
          <w:highlight w:val="none"/>
        </w:rPr>
        <w:t>应</w:t>
      </w:r>
      <w:r>
        <w:rPr>
          <w:rFonts w:cs="Times New Roman"/>
          <w:color w:val="auto"/>
          <w:highlight w:val="none"/>
        </w:rPr>
        <w:t>大于最大加载力值的2倍；</w:t>
      </w:r>
    </w:p>
    <w:p>
      <w:pPr>
        <w:rPr>
          <w:rFonts w:cs="Times New Roman"/>
          <w:color w:val="auto"/>
          <w:highlight w:val="none"/>
        </w:rPr>
      </w:pPr>
      <w:r>
        <w:rPr>
          <w:rFonts w:cs="Times New Roman"/>
          <w:b/>
          <w:bCs/>
          <w:color w:val="auto"/>
          <w:highlight w:val="none"/>
        </w:rPr>
        <w:t>2　</w:t>
      </w:r>
      <w:r>
        <w:rPr>
          <w:rFonts w:cs="Times New Roman"/>
          <w:color w:val="auto"/>
          <w:highlight w:val="none"/>
        </w:rPr>
        <w:t>加载设备</w:t>
      </w:r>
      <w:r>
        <w:rPr>
          <w:rFonts w:cs="Times New Roman" w:hint="eastAsia"/>
          <w:color w:val="auto"/>
          <w:highlight w:val="none"/>
        </w:rPr>
        <w:t>应</w:t>
      </w:r>
      <w:r>
        <w:rPr>
          <w:rFonts w:cs="Times New Roman"/>
          <w:color w:val="auto"/>
          <w:highlight w:val="none"/>
        </w:rPr>
        <w:t>具备均匀加、卸载与稳压补偿等性能。</w:t>
      </w:r>
    </w:p>
    <w:p>
      <w:pPr>
        <w:pStyle w:val="3"/>
        <w:tabs>
          <w:tab w:val="left" w:pos="0"/>
          <w:tab w:val="left" w:pos="567"/>
          <w:tab w:val="left" w:pos="709"/>
          <w:tab w:val="left" w:pos="1560"/>
        </w:tabs>
        <w:rPr>
          <w:rFonts w:cs="Times New Roman"/>
          <w:color w:val="auto"/>
          <w:highlight w:val="none"/>
        </w:rPr>
      </w:pPr>
      <w:r>
        <w:rPr>
          <w:rFonts w:cs="Times New Roman"/>
          <w:b/>
          <w:color w:val="auto"/>
          <w:szCs w:val="24"/>
          <w:highlight w:val="none"/>
        </w:rPr>
        <w:t>14.2.3　</w:t>
      </w:r>
      <w:r>
        <w:rPr>
          <w:rFonts w:cs="Times New Roman"/>
          <w:color w:val="auto"/>
          <w:highlight w:val="none"/>
        </w:rPr>
        <w:t>量测仪器应符合下列规定：</w:t>
      </w:r>
    </w:p>
    <w:p>
      <w:pPr>
        <w:rPr>
          <w:rFonts w:cs="Times New Roman"/>
          <w:color w:val="auto"/>
          <w:highlight w:val="none"/>
        </w:rPr>
      </w:pPr>
      <w:r>
        <w:rPr>
          <w:rFonts w:cs="Times New Roman"/>
          <w:b/>
          <w:bCs/>
          <w:color w:val="auto"/>
          <w:kern w:val="0"/>
          <w:szCs w:val="21"/>
          <w:highlight w:val="none"/>
        </w:rPr>
        <w:t>1　</w:t>
      </w:r>
      <w:r>
        <w:rPr>
          <w:rFonts w:cs="Times New Roman"/>
          <w:color w:val="auto"/>
          <w:highlight w:val="none"/>
        </w:rPr>
        <w:t>测力仪器量程应为最大加载力值的1.5倍~2.0倍，示值精度±1%FS，示值重复性不</w:t>
      </w:r>
      <w:r>
        <w:rPr>
          <w:rFonts w:cs="Times New Roman" w:hint="eastAsia"/>
          <w:color w:val="auto"/>
          <w:highlight w:val="none"/>
        </w:rPr>
        <w:t>应</w:t>
      </w:r>
      <w:r>
        <w:rPr>
          <w:rFonts w:cs="Times New Roman"/>
          <w:color w:val="auto"/>
          <w:highlight w:val="none"/>
        </w:rPr>
        <w:t>大于1%，稳定工作温度范围</w:t>
      </w:r>
      <w:r>
        <w:rPr>
          <w:rFonts w:cs="Times New Roman" w:hint="eastAsia"/>
          <w:color w:val="auto"/>
          <w:highlight w:val="none"/>
        </w:rPr>
        <w:t>宜</w:t>
      </w:r>
      <w:r>
        <w:rPr>
          <w:rFonts w:cs="Times New Roman"/>
          <w:color w:val="auto"/>
          <w:highlight w:val="none"/>
        </w:rPr>
        <w:t>为-10~+45</w:t>
      </w:r>
      <w:r>
        <w:rPr>
          <w:rFonts w:cs="Times New Roman"/>
          <w:color w:val="auto"/>
          <w:lang w:eastAsia="ja-JP"/>
          <w:highlight w:val="none"/>
        </w:rPr>
        <w:t>℃</w:t>
      </w:r>
      <w:r>
        <w:rPr>
          <w:rFonts w:cs="Times New Roman"/>
          <w:color w:val="auto"/>
          <w:highlight w:val="none"/>
        </w:rPr>
        <w:t>；</w:t>
      </w:r>
    </w:p>
    <w:p>
      <w:pPr>
        <w:rPr>
          <w:rFonts w:cs="Times New Roman"/>
          <w:color w:val="auto"/>
          <w:highlight w:val="none"/>
        </w:rPr>
      </w:pPr>
      <w:r>
        <w:rPr>
          <w:rFonts w:cs="Times New Roman"/>
          <w:b/>
          <w:bCs/>
          <w:color w:val="auto"/>
          <w:kern w:val="0"/>
          <w:szCs w:val="21"/>
          <w:highlight w:val="none"/>
        </w:rPr>
        <w:t>2　</w:t>
      </w:r>
      <w:r>
        <w:rPr>
          <w:rFonts w:cs="Times New Roman"/>
          <w:color w:val="auto"/>
          <w:highlight w:val="none"/>
        </w:rPr>
        <w:t>位移测量仪器示值精度不得大于0.1%FS，分度值不应小于0.01mm。</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14.2.4　</w:t>
      </w:r>
      <w:r>
        <w:rPr>
          <w:rFonts w:cs="Times New Roman"/>
          <w:color w:val="auto"/>
          <w:highlight w:val="none"/>
        </w:rPr>
        <w:t>加载设备和量测仪器宜采用具有自动记录和保存测力值、位移量等功能</w:t>
      </w:r>
      <w:r>
        <w:rPr>
          <w:rFonts w:cs="Times New Roman" w:hint="eastAsia"/>
          <w:color w:val="auto"/>
          <w:highlight w:val="none"/>
        </w:rPr>
        <w:t>的</w:t>
      </w:r>
      <w:r>
        <w:rPr>
          <w:rFonts w:cs="Times New Roman"/>
          <w:color w:val="auto"/>
          <w:highlight w:val="none"/>
        </w:rPr>
        <w:t>一体化智能检测设备。</w:t>
      </w:r>
    </w:p>
    <w:p>
      <w:pPr>
        <w:pStyle w:val="3"/>
        <w:tabs>
          <w:tab w:val="left" w:pos="0"/>
          <w:tab w:val="left" w:pos="567"/>
          <w:tab w:val="left" w:pos="709"/>
          <w:tab w:val="left" w:pos="1560"/>
        </w:tabs>
        <w:rPr>
          <w:rFonts w:cs="Times New Roman"/>
          <w:color w:val="auto"/>
          <w:szCs w:val="24"/>
          <w:highlight w:val="none"/>
        </w:rPr>
      </w:pPr>
      <w:r>
        <w:rPr>
          <w:rFonts w:cs="Times New Roman"/>
          <w:b/>
          <w:color w:val="auto"/>
          <w:highlight w:val="none"/>
        </w:rPr>
        <w:t>14.2.5　</w:t>
      </w:r>
      <w:r>
        <w:rPr>
          <w:rFonts w:cs="Times New Roman"/>
          <w:color w:val="auto"/>
          <w:highlight w:val="none"/>
        </w:rPr>
        <w:t>检测设备的校准应符合下列规定：</w:t>
      </w:r>
    </w:p>
    <w:p>
      <w:pPr>
        <w:rPr>
          <w:rFonts w:cs="Times New Roman"/>
          <w:color w:val="auto"/>
          <w:highlight w:val="none"/>
        </w:rPr>
      </w:pPr>
      <w:r>
        <w:rPr>
          <w:rFonts w:cs="Times New Roman"/>
          <w:b/>
          <w:bCs/>
          <w:color w:val="auto"/>
          <w:kern w:val="0"/>
          <w:szCs w:val="21"/>
          <w:highlight w:val="none"/>
        </w:rPr>
        <w:t>1　</w:t>
      </w:r>
      <w:r>
        <w:rPr>
          <w:rFonts w:cs="Times New Roman"/>
          <w:color w:val="auto"/>
          <w:highlight w:val="none"/>
        </w:rPr>
        <w:t>校准</w:t>
      </w:r>
      <w:r>
        <w:rPr>
          <w:rFonts w:cs="Times New Roman" w:hint="eastAsia"/>
          <w:color w:val="auto"/>
          <w:highlight w:val="none"/>
        </w:rPr>
        <w:t>有效期</w:t>
      </w:r>
      <w:r>
        <w:rPr>
          <w:rFonts w:cs="Times New Roman"/>
          <w:color w:val="auto"/>
          <w:highlight w:val="none"/>
        </w:rPr>
        <w:t>不宜超过6个月；</w:t>
      </w:r>
    </w:p>
    <w:p>
      <w:pPr>
        <w:rPr>
          <w:rFonts w:cs="Times New Roman"/>
          <w:b/>
          <w:bCs/>
          <w:color w:val="auto"/>
          <w:kern w:val="0"/>
          <w:szCs w:val="21"/>
          <w:highlight w:val="none"/>
        </w:rPr>
      </w:pPr>
      <w:r>
        <w:rPr>
          <w:rFonts w:cs="Times New Roman"/>
          <w:b/>
          <w:bCs/>
          <w:color w:val="auto"/>
          <w:kern w:val="0"/>
          <w:szCs w:val="21"/>
          <w:highlight w:val="none"/>
        </w:rPr>
        <w:t>2　</w:t>
      </w:r>
      <w:r>
        <w:rPr>
          <w:rFonts w:cs="Times New Roman"/>
          <w:color w:val="auto"/>
          <w:highlight w:val="none"/>
        </w:rPr>
        <w:t>经校准的预应力检测仪，在使用期间宜由检测人员对常用力值示值误差进行期间核查，期间核查的周期最长不得超过2个月</w:t>
      </w:r>
      <w:r>
        <w:rPr>
          <w:rFonts w:cs="Times New Roman" w:hint="eastAsia"/>
          <w:color w:val="auto"/>
          <w:highlight w:val="none"/>
        </w:rPr>
        <w:t>；</w:t>
      </w:r>
    </w:p>
    <w:p>
      <w:pPr>
        <w:rPr>
          <w:rFonts w:cs="Times New Roman"/>
          <w:color w:val="auto"/>
          <w:highlight w:val="none"/>
        </w:rPr>
      </w:pPr>
      <w:r>
        <w:rPr>
          <w:rFonts w:cs="Times New Roman"/>
          <w:b/>
          <w:bCs/>
          <w:color w:val="auto"/>
          <w:kern w:val="0"/>
          <w:szCs w:val="21"/>
          <w:highlight w:val="none"/>
        </w:rPr>
        <w:t>3　</w:t>
      </w:r>
      <w:r>
        <w:rPr>
          <w:rFonts w:cs="Times New Roman"/>
          <w:color w:val="auto"/>
          <w:highlight w:val="none"/>
        </w:rPr>
        <w:t>经维修</w:t>
      </w:r>
      <w:r>
        <w:rPr>
          <w:rFonts w:cs="Times New Roman" w:hint="eastAsia"/>
          <w:color w:val="auto"/>
          <w:highlight w:val="none"/>
        </w:rPr>
        <w:t>或</w:t>
      </w:r>
      <w:r>
        <w:rPr>
          <w:rFonts w:cs="Times New Roman"/>
          <w:color w:val="auto"/>
          <w:highlight w:val="none"/>
        </w:rPr>
        <w:t>期间核查结果显示力值示值误差大于±1%FS等异常情况</w:t>
      </w:r>
      <w:r>
        <w:rPr>
          <w:rFonts w:cs="Times New Roman" w:hint="eastAsia"/>
          <w:color w:val="auto"/>
          <w:highlight w:val="none"/>
        </w:rPr>
        <w:t>时</w:t>
      </w:r>
      <w:r>
        <w:rPr>
          <w:rFonts w:cs="Times New Roman"/>
          <w:color w:val="auto"/>
          <w:highlight w:val="none"/>
        </w:rPr>
        <w:t>，应重新进行校准。</w:t>
      </w:r>
    </w:p>
    <w:p>
      <w:pPr>
        <w:pStyle w:val="19"/>
        <w:ind w:firstLineChars="0" w:firstLine="0"/>
        <w:rPr>
          <w:color w:val="auto"/>
          <w:shd w:val="clear" w:color="FFFFFF" w:fill="D9D9D9"/>
          <w:highlight w:val="none"/>
        </w:rPr>
      </w:pPr>
      <w:r>
        <w:rPr>
          <w:rFonts w:eastAsia="仿宋" w:cs="Times New Roman" w:hint="eastAsia"/>
          <w:b/>
          <w:bCs/>
          <w:color w:val="auto"/>
          <w:szCs w:val="24"/>
          <w:shd w:val="clear" w:color="FFFFFF" w:fill="D9D9D9"/>
          <w:lang w:val="en-US" w:eastAsia="zh-CN"/>
          <w:highlight w:val="none"/>
        </w:rPr>
        <w:t>条文说明</w:t>
      </w:r>
      <w:r>
        <w:rPr>
          <w:b/>
          <w:bCs/>
          <w:color w:val="auto"/>
          <w:shd w:val="clear" w:color="FFFFFF" w:fill="D9D9D9"/>
          <w:lang w:val="en-US"/>
          <w:highlight w:val="none"/>
        </w:rPr>
        <w:t>14.2.5　</w:t>
      </w:r>
      <w:r>
        <w:rPr>
          <w:color w:val="auto"/>
          <w:shd w:val="clear" w:color="FFFFFF" w:fill="D9D9D9"/>
          <w:highlight w:val="none"/>
        </w:rPr>
        <w:t>经校准的预应力检测仪，在使用期间</w:t>
      </w:r>
      <w:r>
        <w:rPr>
          <w:color w:val="auto"/>
          <w:shd w:val="clear" w:color="FFFFFF" w:fill="D9D9D9"/>
          <w:lang w:val="en-US"/>
          <w:highlight w:val="none"/>
        </w:rPr>
        <w:t>宜由</w:t>
      </w:r>
      <w:r>
        <w:rPr>
          <w:color w:val="auto"/>
          <w:shd w:val="clear" w:color="FFFFFF" w:fill="D9D9D9"/>
          <w:highlight w:val="none"/>
        </w:rPr>
        <w:t>检测人员对常用力值示值误差进行期间核查，以确认校准状态的有效性，期间核查的周期最长不得超过2个月。</w:t>
      </w:r>
    </w:p>
    <w:p>
      <w:pPr>
        <w:rPr>
          <w:rFonts w:cs="Times New Roman"/>
          <w:color w:val="auto"/>
          <w:highlight w:val="none"/>
        </w:rPr>
      </w:pPr>
    </w:p>
    <w:p>
      <w:pPr>
        <w:ind w:firstLineChars="0" w:firstLine="0"/>
        <w:rPr>
          <w:rFonts w:cs="Times New Roman"/>
          <w:color w:val="auto"/>
          <w:highlight w:val="none"/>
        </w:rPr>
      </w:pPr>
    </w:p>
    <w:p>
      <w:pPr>
        <w:pStyle w:val="2"/>
        <w:tabs>
          <w:tab w:val="left" w:pos="0"/>
        </w:tabs>
        <w:rPr>
          <w:rFonts w:ascii="Times New Roman" w:cs="Times New Roman" w:hAnsi="Times New Roman"/>
          <w:color w:val="auto"/>
          <w:highlight w:val="none"/>
        </w:rPr>
      </w:pPr>
      <w:bookmarkStart w:id="407" w:name="_Toc15978"/>
      <w:bookmarkStart w:id="408" w:name="_Toc4001"/>
      <w:bookmarkStart w:id="409" w:name="_Toc31880"/>
      <w:bookmarkStart w:id="410" w:name="_Toc21628"/>
      <w:bookmarkStart w:id="411" w:name="_Toc24167"/>
      <w:r>
        <w:rPr>
          <w:rFonts w:ascii="Times New Roman" w:cs="Times New Roman" w:hAnsi="Times New Roman"/>
          <w:color w:val="auto"/>
          <w:highlight w:val="none"/>
        </w:rPr>
        <w:t>14.3　检测</w:t>
      </w:r>
      <w:bookmarkEnd w:id="407"/>
      <w:bookmarkEnd w:id="408"/>
      <w:bookmarkEnd w:id="409"/>
      <w:bookmarkEnd w:id="410"/>
      <w:bookmarkEnd w:id="411"/>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14.3.1　</w:t>
      </w:r>
      <w:r>
        <w:rPr>
          <w:rFonts w:cs="Times New Roman"/>
          <w:color w:val="auto"/>
          <w:highlight w:val="none"/>
        </w:rPr>
        <w:t>试验检测前，应进行安全技术交底，并应做各种危险源辨识、评估及安全</w:t>
      </w:r>
      <w:r>
        <w:rPr>
          <w:rFonts w:cs="Times New Roman" w:hint="eastAsia"/>
          <w:color w:val="auto"/>
          <w:lang w:val="en-US" w:eastAsia="zh-CN"/>
          <w:highlight w:val="none"/>
        </w:rPr>
        <w:t>防护</w:t>
      </w:r>
      <w:r>
        <w:rPr>
          <w:rFonts w:cs="Times New Roman"/>
          <w:color w:val="auto"/>
          <w:highlight w:val="none"/>
        </w:rPr>
        <w:t>措施。</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14.3.2　</w:t>
      </w:r>
      <w:r>
        <w:rPr>
          <w:rFonts w:cs="Times New Roman"/>
          <w:color w:val="auto"/>
          <w:highlight w:val="none"/>
        </w:rPr>
        <w:t>采用复拉法</w:t>
      </w:r>
      <w:r>
        <w:rPr>
          <w:rFonts w:cs="Times New Roman" w:hint="eastAsia"/>
          <w:color w:val="auto"/>
          <w:highlight w:val="none"/>
        </w:rPr>
        <w:t>检测时</w:t>
      </w:r>
      <w:r>
        <w:rPr>
          <w:rFonts w:cs="Times New Roman"/>
          <w:color w:val="auto"/>
          <w:highlight w:val="none"/>
        </w:rPr>
        <w:t>应</w:t>
      </w:r>
      <w:r>
        <w:rPr>
          <w:rFonts w:cs="Times New Roman" w:hint="eastAsia"/>
          <w:color w:val="auto"/>
          <w:highlight w:val="none"/>
        </w:rPr>
        <w:t>满足下列条件</w:t>
      </w:r>
      <w:r>
        <w:rPr>
          <w:rFonts w:cs="Times New Roman"/>
          <w:color w:val="auto"/>
          <w:highlight w:val="none"/>
        </w:rPr>
        <w:t>：</w:t>
      </w:r>
    </w:p>
    <w:p>
      <w:pPr>
        <w:rPr>
          <w:rFonts w:cs="Times New Roman"/>
          <w:color w:val="auto"/>
          <w:highlight w:val="none"/>
        </w:rPr>
      </w:pPr>
      <w:r>
        <w:rPr>
          <w:rFonts w:cs="Times New Roman"/>
          <w:b/>
          <w:bCs/>
          <w:color w:val="auto"/>
          <w:kern w:val="0"/>
          <w:szCs w:val="21"/>
          <w:highlight w:val="none"/>
        </w:rPr>
        <w:t>1　</w:t>
      </w:r>
      <w:r>
        <w:rPr>
          <w:rFonts w:cs="Times New Roman"/>
          <w:color w:val="auto"/>
          <w:highlight w:val="none"/>
        </w:rPr>
        <w:t>张拉完成后24h内；</w:t>
      </w:r>
    </w:p>
    <w:p>
      <w:pPr>
        <w:rPr>
          <w:rFonts w:cs="Times New Roman"/>
          <w:color w:val="auto"/>
          <w:highlight w:val="none"/>
        </w:rPr>
      </w:pPr>
      <w:r>
        <w:rPr>
          <w:rFonts w:cs="Times New Roman"/>
          <w:b/>
          <w:bCs/>
          <w:color w:val="auto"/>
          <w:kern w:val="0"/>
          <w:szCs w:val="21"/>
          <w:highlight w:val="none"/>
        </w:rPr>
        <w:t>2　</w:t>
      </w:r>
      <w:r>
        <w:rPr>
          <w:rFonts w:cs="Times New Roman"/>
          <w:color w:val="auto"/>
          <w:highlight w:val="none"/>
        </w:rPr>
        <w:t>未切割张拉预应力筋；</w:t>
      </w:r>
    </w:p>
    <w:p>
      <w:pPr>
        <w:rPr>
          <w:rFonts w:cs="Times New Roman"/>
          <w:color w:val="auto"/>
          <w:highlight w:val="none"/>
        </w:rPr>
      </w:pPr>
      <w:r>
        <w:rPr>
          <w:rFonts w:cs="Times New Roman"/>
          <w:b/>
          <w:bCs/>
          <w:color w:val="auto"/>
          <w:kern w:val="0"/>
          <w:szCs w:val="21"/>
          <w:highlight w:val="none"/>
        </w:rPr>
        <w:t>3　</w:t>
      </w:r>
      <w:r>
        <w:rPr>
          <w:rFonts w:cs="Times New Roman"/>
          <w:color w:val="auto"/>
          <w:highlight w:val="none"/>
        </w:rPr>
        <w:t>孔道未压浆。</w:t>
      </w:r>
    </w:p>
    <w:p>
      <w:pPr>
        <w:rPr>
          <w:rFonts w:cs="Times New Roman"/>
          <w:color w:val="auto"/>
          <w:highlight w:val="none"/>
        </w:rPr>
      </w:pPr>
      <w:r>
        <w:rPr>
          <w:rFonts w:eastAsia="仿宋" w:cs="Times New Roman" w:hint="eastAsia"/>
          <w:b/>
          <w:bCs/>
          <w:color w:val="auto"/>
          <w:shd w:val="pct10" w:color="auto" w:fill="FFFFFF"/>
          <w:highlight w:val="none"/>
        </w:rPr>
        <w:t>条文说明</w:t>
      </w:r>
      <w:r>
        <w:rPr>
          <w:rFonts w:eastAsia="仿宋" w:cs="Times New Roman"/>
          <w:b/>
          <w:bCs/>
          <w:color w:val="auto"/>
          <w:shd w:val="clear" w:color="FFFFFF" w:fill="D9D9D9"/>
          <w:highlight w:val="none"/>
        </w:rPr>
        <w:t>14.3.2　</w:t>
      </w:r>
      <w:r>
        <w:rPr>
          <w:rFonts w:eastAsia="仿宋" w:cs="Times New Roman" w:hint="eastAsia"/>
          <w:bCs/>
          <w:color w:val="auto"/>
          <w:kern w:val="0"/>
          <w:szCs w:val="24"/>
          <w:shd w:val="clear" w:color="FFFFFF" w:fill="D9D9D9"/>
          <w:highlight w:val="none"/>
        </w:rPr>
        <w:t>若未能</w:t>
      </w:r>
      <w:r>
        <w:rPr>
          <w:rFonts w:eastAsia="仿宋" w:cs="Times New Roman"/>
          <w:bCs/>
          <w:color w:val="auto"/>
          <w:kern w:val="0"/>
          <w:szCs w:val="24"/>
          <w:shd w:val="clear" w:color="FFFFFF" w:fill="D9D9D9"/>
          <w:highlight w:val="none"/>
        </w:rPr>
        <w:t>在张拉完成后</w:t>
      </w:r>
      <w:r>
        <w:rPr>
          <w:rFonts w:eastAsia="仿宋" w:cs="Times New Roman" w:hint="eastAsia"/>
          <w:bCs/>
          <w:color w:val="auto"/>
          <w:kern w:val="0"/>
          <w:szCs w:val="24"/>
          <w:shd w:val="clear" w:color="FFFFFF" w:fill="D9D9D9"/>
          <w:highlight w:val="none"/>
        </w:rPr>
        <w:t>24</w:t>
      </w:r>
      <w:r>
        <w:rPr>
          <w:rFonts w:eastAsia="仿宋" w:cs="Times New Roman"/>
          <w:bCs/>
          <w:color w:val="auto"/>
          <w:kern w:val="0"/>
          <w:szCs w:val="24"/>
          <w:shd w:val="clear" w:color="FFFFFF" w:fill="D9D9D9"/>
          <w:highlight w:val="none"/>
        </w:rPr>
        <w:t>h</w:t>
      </w:r>
      <w:r>
        <w:rPr>
          <w:rFonts w:eastAsia="仿宋" w:cs="Times New Roman" w:hint="eastAsia"/>
          <w:bCs/>
          <w:color w:val="auto"/>
          <w:kern w:val="0"/>
          <w:szCs w:val="24"/>
          <w:shd w:val="clear" w:color="FFFFFF" w:fill="D9D9D9"/>
          <w:highlight w:val="none"/>
        </w:rPr>
        <w:t>内</w:t>
      </w:r>
      <w:r>
        <w:rPr>
          <w:rFonts w:eastAsia="仿宋" w:cs="Times New Roman"/>
          <w:bCs/>
          <w:color w:val="auto"/>
          <w:kern w:val="0"/>
          <w:szCs w:val="24"/>
          <w:shd w:val="clear" w:color="FFFFFF" w:fill="D9D9D9"/>
          <w:highlight w:val="none"/>
        </w:rPr>
        <w:t>进行检测，</w:t>
      </w:r>
      <w:r>
        <w:rPr>
          <w:rFonts w:eastAsia="仿宋" w:cs="Times New Roman" w:hint="eastAsia"/>
          <w:bCs/>
          <w:color w:val="auto"/>
          <w:kern w:val="0"/>
          <w:szCs w:val="24"/>
          <w:shd w:val="clear" w:color="FFFFFF" w:fill="D9D9D9"/>
          <w:highlight w:val="none"/>
        </w:rPr>
        <w:t>应</w:t>
      </w:r>
      <w:r>
        <w:rPr>
          <w:rFonts w:eastAsia="仿宋" w:cs="Times New Roman"/>
          <w:bCs/>
          <w:color w:val="auto"/>
          <w:kern w:val="0"/>
          <w:szCs w:val="24"/>
          <w:shd w:val="clear" w:color="FFFFFF" w:fill="D9D9D9"/>
          <w:highlight w:val="none"/>
        </w:rPr>
        <w:t>评估预应力损失影响。</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14.3.3　</w:t>
      </w:r>
      <w:r>
        <w:rPr>
          <w:rFonts w:cs="Times New Roman"/>
          <w:color w:val="auto"/>
          <w:highlight w:val="none"/>
        </w:rPr>
        <w:t>应按顺序安装限位装置、测力计、千斤顶，连接控制网络，启动检测设备。</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14.3.4　</w:t>
      </w:r>
      <w:r>
        <w:rPr>
          <w:rFonts w:cs="Times New Roman"/>
          <w:color w:val="auto"/>
          <w:highlight w:val="none"/>
        </w:rPr>
        <w:t>检测过程中，不得改变夹片与钢束的原有咬合关系和位置，不得出现错位。</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14.3.5　</w:t>
      </w:r>
      <w:r>
        <w:rPr>
          <w:rFonts w:cs="Times New Roman"/>
          <w:color w:val="auto"/>
          <w:highlight w:val="none"/>
        </w:rPr>
        <w:t>现场检测加卸载及数据采集应符合下列规定：</w:t>
      </w:r>
    </w:p>
    <w:p>
      <w:pPr>
        <w:rPr>
          <w:rFonts w:cs="Times New Roman"/>
          <w:color w:val="auto"/>
          <w:highlight w:val="none"/>
        </w:rPr>
      </w:pPr>
      <w:r>
        <w:rPr>
          <w:rFonts w:cs="Times New Roman"/>
          <w:b/>
          <w:bCs/>
          <w:color w:val="auto"/>
          <w:kern w:val="0"/>
          <w:szCs w:val="21"/>
          <w:highlight w:val="none"/>
        </w:rPr>
        <w:t>1　</w:t>
      </w:r>
      <w:r>
        <w:rPr>
          <w:rFonts w:cs="Times New Roman"/>
          <w:color w:val="auto"/>
          <w:highlight w:val="none"/>
        </w:rPr>
        <w:t>加、卸载程序宜为：0→初拉应力→复拉峰值应力→有效预应力检测值</w:t>
      </w:r>
      <w:r>
        <w:rPr>
          <w:rFonts w:cs="Times New Roman"/>
          <w:highlight w:val="none"/>
        </w:rPr>
        <w:t>F</w:t>
      </w:r>
      <w:r>
        <w:rPr>
          <w:rFonts w:cs="Times New Roman"/>
          <w:vertAlign w:val="subscript"/>
          <w:highlight w:val="none"/>
        </w:rPr>
        <w:t>e</w:t>
      </w:r>
      <w:r>
        <w:rPr>
          <w:rFonts w:cs="Times New Roman"/>
          <w:color w:val="auto"/>
          <w:highlight w:val="none"/>
        </w:rPr>
        <w:t>→0。初拉应力宜为0.1</w:t>
      </w:r>
      <w:r>
        <w:rPr>
          <w:rFonts w:cs="Times New Roman"/>
          <w:highlight w:val="none"/>
        </w:rPr>
        <w:t>σ</w:t>
      </w:r>
      <w:r>
        <w:rPr>
          <w:rFonts w:cs="Times New Roman"/>
          <w:vertAlign w:val="subscript"/>
          <w:highlight w:val="none"/>
        </w:rPr>
        <w:t>con</w:t>
      </w:r>
      <w:r>
        <w:rPr>
          <w:rFonts w:cs="Times New Roman"/>
          <w:color w:val="auto"/>
          <w:highlight w:val="none"/>
        </w:rPr>
        <w:t>～0.2</w:t>
      </w:r>
      <w:r>
        <w:rPr>
          <w:rFonts w:cs="Times New Roman"/>
          <w:highlight w:val="none"/>
        </w:rPr>
        <w:t>σ</w:t>
      </w:r>
      <w:r>
        <w:rPr>
          <w:rFonts w:cs="Times New Roman"/>
          <w:vertAlign w:val="subscript"/>
          <w:highlight w:val="none"/>
        </w:rPr>
        <w:t>con</w:t>
      </w:r>
      <w:r>
        <w:rPr>
          <w:rFonts w:cs="Times New Roman"/>
          <w:color w:val="auto"/>
          <w:highlight w:val="none"/>
        </w:rPr>
        <w:t>；</w:t>
      </w:r>
    </w:p>
    <w:p>
      <w:pPr>
        <w:rPr>
          <w:rFonts w:cs="Times New Roman"/>
          <w:color w:val="auto"/>
          <w:highlight w:val="none"/>
        </w:rPr>
      </w:pPr>
      <w:r>
        <w:rPr>
          <w:rFonts w:cs="Times New Roman"/>
          <w:b/>
          <w:bCs/>
          <w:color w:val="auto"/>
          <w:kern w:val="0"/>
          <w:szCs w:val="21"/>
          <w:highlight w:val="none"/>
        </w:rPr>
        <w:t>2　</w:t>
      </w:r>
      <w:r>
        <w:rPr>
          <w:rFonts w:cs="Times New Roman"/>
          <w:color w:val="auto"/>
          <w:highlight w:val="none"/>
        </w:rPr>
        <w:t>加载速率不宜大于0.2</w:t>
      </w:r>
      <w:r>
        <w:rPr>
          <w:rFonts w:cs="Times New Roman"/>
          <w:highlight w:val="none"/>
        </w:rPr>
        <w:t>σ</w:t>
      </w:r>
      <w:r>
        <w:rPr>
          <w:rFonts w:cs="Times New Roman"/>
          <w:vertAlign w:val="subscript"/>
          <w:highlight w:val="none"/>
        </w:rPr>
        <w:t>con</w:t>
      </w:r>
      <w:r>
        <w:rPr>
          <w:rFonts w:cs="Times New Roman"/>
          <w:color w:val="auto"/>
          <w:highlight w:val="none"/>
        </w:rPr>
        <w:t>/min，卸载速率不宜大于0.5</w:t>
      </w:r>
      <w:r>
        <w:rPr>
          <w:rFonts w:cs="Times New Roman"/>
          <w:highlight w:val="none"/>
        </w:rPr>
        <w:t>σ</w:t>
      </w:r>
      <w:r>
        <w:rPr>
          <w:rFonts w:cs="Times New Roman"/>
          <w:vertAlign w:val="subscript"/>
          <w:highlight w:val="none"/>
        </w:rPr>
        <w:t>con</w:t>
      </w:r>
      <w:r>
        <w:rPr>
          <w:rFonts w:cs="Times New Roman"/>
          <w:color w:val="auto"/>
          <w:highlight w:val="none"/>
        </w:rPr>
        <w:t>/min；</w:t>
      </w:r>
    </w:p>
    <w:p>
      <w:pPr>
        <w:rPr>
          <w:rFonts w:cs="Times New Roman"/>
          <w:color w:val="auto"/>
          <w:highlight w:val="none"/>
        </w:rPr>
      </w:pPr>
      <w:r>
        <w:rPr>
          <w:rFonts w:cs="Times New Roman"/>
          <w:b/>
          <w:bCs/>
          <w:color w:val="auto"/>
          <w:kern w:val="0"/>
          <w:szCs w:val="21"/>
          <w:highlight w:val="none"/>
        </w:rPr>
        <w:t>3　</w:t>
      </w:r>
      <w:r>
        <w:rPr>
          <w:rFonts w:cs="Times New Roman"/>
          <w:color w:val="auto"/>
          <w:highlight w:val="none"/>
        </w:rPr>
        <w:t>初拉应力稳定时间不</w:t>
      </w:r>
      <w:r>
        <w:rPr>
          <w:rFonts w:cs="Times New Roman" w:hint="eastAsia"/>
          <w:color w:val="auto"/>
          <w:highlight w:val="none"/>
        </w:rPr>
        <w:t>应</w:t>
      </w:r>
      <w:r>
        <w:rPr>
          <w:rFonts w:cs="Times New Roman"/>
          <w:color w:val="auto"/>
          <w:highlight w:val="none"/>
        </w:rPr>
        <w:t>少于5min，当位移量稳定后，</w:t>
      </w:r>
      <w:r>
        <w:rPr>
          <w:rFonts w:cs="Times New Roman" w:hint="eastAsia"/>
          <w:color w:val="auto"/>
          <w:highlight w:val="none"/>
        </w:rPr>
        <w:t>应</w:t>
      </w:r>
      <w:r>
        <w:rPr>
          <w:rFonts w:cs="Times New Roman"/>
          <w:color w:val="auto"/>
          <w:highlight w:val="none"/>
        </w:rPr>
        <w:t>测量并记录初始应力值及初始位移量；否则应停止加载，找出原因并重新试验；</w:t>
      </w:r>
    </w:p>
    <w:p>
      <w:pPr>
        <w:rPr>
          <w:rFonts w:cs="Times New Roman"/>
          <w:color w:val="auto"/>
          <w:highlight w:val="none"/>
        </w:rPr>
      </w:pPr>
      <w:r>
        <w:rPr>
          <w:rFonts w:cs="Times New Roman"/>
          <w:b/>
          <w:bCs/>
          <w:color w:val="auto"/>
          <w:kern w:val="0"/>
          <w:szCs w:val="21"/>
          <w:highlight w:val="none"/>
        </w:rPr>
        <w:t>4　</w:t>
      </w:r>
      <w:r>
        <w:rPr>
          <w:rFonts w:cs="Times New Roman"/>
          <w:color w:val="auto"/>
          <w:highlight w:val="none"/>
        </w:rPr>
        <w:t>复拉过程应匀速稳定，</w:t>
      </w:r>
      <w:r>
        <w:rPr>
          <w:rFonts w:cs="Times New Roman" w:hint="eastAsia"/>
          <w:color w:val="auto"/>
          <w:highlight w:val="none"/>
        </w:rPr>
        <w:t>应</w:t>
      </w:r>
      <w:r>
        <w:rPr>
          <w:rFonts w:cs="Times New Roman"/>
          <w:color w:val="auto"/>
          <w:highlight w:val="none"/>
        </w:rPr>
        <w:t>实时采集数据和分析，同时利用软件显示F-S曲线，监控曲线的斜率变化；</w:t>
      </w:r>
    </w:p>
    <w:p>
      <w:pPr>
        <w:rPr>
          <w:rFonts w:cs="Times New Roman"/>
          <w:color w:val="auto"/>
          <w:highlight w:val="none"/>
        </w:rPr>
      </w:pPr>
      <w:r>
        <w:rPr>
          <w:rFonts w:cs="Times New Roman"/>
          <w:b/>
          <w:bCs/>
          <w:color w:val="auto"/>
          <w:kern w:val="0"/>
          <w:szCs w:val="21"/>
          <w:highlight w:val="none"/>
        </w:rPr>
        <w:t>5　</w:t>
      </w:r>
      <w:r>
        <w:rPr>
          <w:rFonts w:cs="Times New Roman"/>
          <w:color w:val="auto"/>
          <w:highlight w:val="none"/>
        </w:rPr>
        <w:t>当曲线出现拐点，斜率发生明显变化</w:t>
      </w:r>
      <w:r>
        <w:rPr>
          <w:rFonts w:cs="Times New Roman" w:hint="eastAsia"/>
          <w:color w:val="auto"/>
          <w:highlight w:val="none"/>
        </w:rPr>
        <w:t>时</w:t>
      </w:r>
      <w:r>
        <w:rPr>
          <w:rFonts w:cs="Times New Roman"/>
          <w:color w:val="auto"/>
          <w:highlight w:val="none"/>
        </w:rPr>
        <w:t>，</w:t>
      </w:r>
      <w:r>
        <w:rPr>
          <w:rFonts w:cs="Times New Roman" w:hint="eastAsia"/>
          <w:color w:val="auto"/>
          <w:highlight w:val="none"/>
        </w:rPr>
        <w:t>应</w:t>
      </w:r>
      <w:r>
        <w:rPr>
          <w:rFonts w:cs="Times New Roman"/>
          <w:color w:val="auto"/>
          <w:highlight w:val="none"/>
        </w:rPr>
        <w:t>据此推算出有效预应力检测值</w:t>
      </w:r>
      <w:r>
        <w:rPr>
          <w:rFonts w:cs="Times New Roman" w:hint="eastAsia"/>
          <w:color w:val="auto"/>
          <w:highlight w:val="none"/>
        </w:rPr>
        <w:t>（</w:t>
      </w:r>
      <w:r>
        <w:rPr>
          <w:rFonts w:cs="Times New Roman"/>
          <w:highlight w:val="none"/>
        </w:rPr>
        <w:t>F</w:t>
      </w:r>
      <w:r>
        <w:rPr>
          <w:rFonts w:cs="Times New Roman"/>
          <w:vertAlign w:val="subscript"/>
          <w:highlight w:val="none"/>
        </w:rPr>
        <w:t>e</w:t>
      </w:r>
      <w:r>
        <w:rPr>
          <w:rFonts w:cs="Times New Roman" w:hint="eastAsia"/>
          <w:color w:val="auto"/>
          <w:highlight w:val="none"/>
        </w:rPr>
        <w:t>）</w:t>
      </w:r>
      <w:r>
        <w:rPr>
          <w:rFonts w:cs="Times New Roman"/>
          <w:color w:val="auto"/>
          <w:highlight w:val="none"/>
        </w:rPr>
        <w:t>，同时发出警报停止加压复拉，稳压不宜少于5min，当位移变化量小于0.1mm/min后，方可进行卸载。</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14.3.6　</w:t>
      </w:r>
      <w:r>
        <w:rPr>
          <w:rFonts w:cs="Times New Roman"/>
          <w:color w:val="auto"/>
          <w:highlight w:val="none"/>
        </w:rPr>
        <w:t>不同类型最初施工的3个构件</w:t>
      </w:r>
      <w:r>
        <w:rPr>
          <w:rFonts w:cs="Times New Roman" w:hint="eastAsia"/>
          <w:color w:val="auto"/>
          <w:highlight w:val="none"/>
        </w:rPr>
        <w:t>均</w:t>
      </w:r>
      <w:r>
        <w:rPr>
          <w:rFonts w:cs="Times New Roman"/>
          <w:color w:val="auto"/>
          <w:highlight w:val="none"/>
        </w:rPr>
        <w:t>应进行检测，不足3个的应全检；后续生产的构件宜按10%的比例抽检，且不</w:t>
      </w:r>
      <w:r>
        <w:rPr>
          <w:rFonts w:cs="Times New Roman" w:hint="eastAsia"/>
          <w:color w:val="auto"/>
          <w:highlight w:val="none"/>
        </w:rPr>
        <w:t>应</w:t>
      </w:r>
      <w:r>
        <w:rPr>
          <w:rFonts w:cs="Times New Roman"/>
          <w:color w:val="auto"/>
          <w:highlight w:val="none"/>
        </w:rPr>
        <w:t>少于3个，应对抽查构件</w:t>
      </w:r>
      <w:r>
        <w:rPr>
          <w:rFonts w:cs="Times New Roman" w:hint="eastAsia"/>
          <w:color w:val="auto"/>
          <w:highlight w:val="none"/>
        </w:rPr>
        <w:t>的</w:t>
      </w:r>
      <w:r>
        <w:rPr>
          <w:rFonts w:cs="Times New Roman"/>
          <w:color w:val="auto"/>
          <w:highlight w:val="none"/>
        </w:rPr>
        <w:t>连接预应力筋有效预应力均进行检测。</w:t>
      </w:r>
    </w:p>
    <w:p>
      <w:pPr>
        <w:pStyle w:val="19"/>
        <w:ind w:firstLineChars="0" w:firstLine="0"/>
        <w:rPr>
          <w:b/>
          <w:bCs/>
          <w:color w:val="auto"/>
          <w:shd w:val="clear" w:color="FFFFFF" w:fill="D9D9D9"/>
          <w:lang w:val="en-US"/>
          <w:highlight w:val="none"/>
        </w:rPr>
      </w:pPr>
      <w:r>
        <w:rPr>
          <w:rFonts w:eastAsia="仿宋" w:cs="Times New Roman" w:hint="eastAsia"/>
          <w:b/>
          <w:bCs/>
          <w:color w:val="auto"/>
          <w:szCs w:val="24"/>
          <w:shd w:val="clear" w:color="FFFFFF" w:fill="D9D9D9"/>
          <w:lang w:val="en-US" w:eastAsia="zh-CN"/>
          <w:highlight w:val="none"/>
        </w:rPr>
        <w:t>条文说明</w:t>
      </w:r>
      <w:r>
        <w:rPr>
          <w:rFonts w:hint="eastAsia"/>
          <w:b/>
          <w:bCs/>
          <w:color w:val="auto"/>
          <w:shd w:val="clear" w:color="FFFFFF" w:fill="D9D9D9"/>
          <w:lang w:val="en-US"/>
          <w:highlight w:val="none"/>
        </w:rPr>
        <w:t>14.3.6</w:t>
      </w:r>
      <w:r>
        <w:rPr>
          <w:b/>
          <w:color w:val="auto"/>
          <w:highlight w:val="none"/>
        </w:rPr>
        <w:t>　</w:t>
      </w:r>
      <w:r>
        <w:rPr>
          <w:color w:val="auto"/>
          <w:shd w:val="clear" w:color="FFFFFF" w:fill="D9D9D9"/>
          <w:lang w:val="en-US"/>
          <w:highlight w:val="none"/>
        </w:rPr>
        <w:t>不同类型</w:t>
      </w:r>
      <w:r>
        <w:rPr>
          <w:rFonts w:hint="eastAsia"/>
          <w:color w:val="auto"/>
          <w:shd w:val="clear" w:color="FFFFFF" w:fill="D9D9D9"/>
          <w:lang w:val="en-US"/>
          <w:highlight w:val="none"/>
        </w:rPr>
        <w:t>主要指的是不同</w:t>
      </w:r>
      <w:r>
        <w:rPr>
          <w:color w:val="auto"/>
          <w:shd w:val="clear" w:color="FFFFFF" w:fill="D9D9D9"/>
          <w:lang w:val="en-US"/>
          <w:highlight w:val="none"/>
        </w:rPr>
        <w:t>结构形式、</w:t>
      </w:r>
      <w:r>
        <w:rPr>
          <w:rFonts w:hint="eastAsia"/>
          <w:color w:val="auto"/>
          <w:shd w:val="clear" w:color="FFFFFF" w:fill="D9D9D9"/>
          <w:lang w:val="en-US"/>
          <w:highlight w:val="none"/>
        </w:rPr>
        <w:t>不同</w:t>
      </w:r>
      <w:r>
        <w:rPr>
          <w:color w:val="auto"/>
          <w:shd w:val="clear" w:color="FFFFFF" w:fill="D9D9D9"/>
          <w:lang w:val="en-US"/>
          <w:highlight w:val="none"/>
        </w:rPr>
        <w:t>施工工艺</w:t>
      </w:r>
      <w:r>
        <w:rPr>
          <w:rFonts w:hint="eastAsia"/>
          <w:color w:val="auto"/>
          <w:shd w:val="clear" w:color="FFFFFF" w:fill="D9D9D9"/>
          <w:lang w:val="en-US"/>
          <w:highlight w:val="none"/>
        </w:rPr>
        <w:t>或不同</w:t>
      </w:r>
      <w:r>
        <w:rPr>
          <w:color w:val="auto"/>
          <w:shd w:val="clear" w:color="FFFFFF" w:fill="D9D9D9"/>
          <w:lang w:val="en-US"/>
          <w:highlight w:val="none"/>
        </w:rPr>
        <w:t>材料</w:t>
      </w:r>
      <w:r>
        <w:rPr>
          <w:rFonts w:hint="eastAsia"/>
          <w:color w:val="auto"/>
          <w:shd w:val="clear" w:color="FFFFFF" w:fill="D9D9D9"/>
          <w:lang w:val="en-US"/>
          <w:highlight w:val="none"/>
        </w:rPr>
        <w:t>。</w:t>
      </w:r>
    </w:p>
    <w:p>
      <w:pPr>
        <w:widowControl/>
        <w:ind w:firstLineChars="0" w:firstLine="0"/>
        <w:rPr>
          <w:rFonts w:cs="Times New Roman"/>
          <w:color w:val="auto"/>
          <w:highlight w:val="none"/>
        </w:rPr>
      </w:pPr>
    </w:p>
    <w:p>
      <w:pPr>
        <w:pStyle w:val="3"/>
        <w:tabs>
          <w:tab w:val="left" w:pos="0"/>
          <w:tab w:val="left" w:pos="567"/>
          <w:tab w:val="left" w:pos="709"/>
          <w:tab w:val="left" w:pos="1560"/>
        </w:tabs>
        <w:rPr>
          <w:rFonts w:cs="Times New Roman"/>
          <w:color w:val="auto"/>
          <w:szCs w:val="22"/>
          <w:highlight w:val="none"/>
        </w:rPr>
      </w:pPr>
      <w:r>
        <w:rPr>
          <w:rFonts w:cs="Times New Roman"/>
          <w:b/>
          <w:color w:val="auto"/>
          <w:highlight w:val="none"/>
        </w:rPr>
        <w:t>14.3.7　</w:t>
      </w:r>
      <w:r>
        <w:rPr>
          <w:rFonts w:cs="Times New Roman" w:hint="eastAsia"/>
          <w:color w:val="auto"/>
          <w:highlight w:val="none"/>
        </w:rPr>
        <w:t>锚下有效预应力</w:t>
      </w:r>
      <w:r>
        <w:rPr>
          <w:rFonts w:cs="Times New Roman"/>
          <w:color w:val="auto"/>
          <w:highlight w:val="none"/>
        </w:rPr>
        <w:t>复拉法检测记录</w:t>
      </w:r>
      <w:r>
        <w:rPr>
          <w:rFonts w:cs="Times New Roman" w:hint="eastAsia"/>
          <w:color w:val="auto"/>
          <w:highlight w:val="none"/>
        </w:rPr>
        <w:t>可</w:t>
      </w:r>
      <w:r>
        <w:rPr>
          <w:rFonts w:cs="Times New Roman"/>
          <w:color w:val="auto"/>
          <w:highlight w:val="none"/>
        </w:rPr>
        <w:t>按</w:t>
      </w:r>
      <w:r>
        <w:rPr>
          <w:rFonts w:cs="Times New Roman"/>
          <w:color w:val="auto"/>
          <w:szCs w:val="22"/>
          <w:highlight w:val="none"/>
        </w:rPr>
        <w:t>本标准附录L</w:t>
      </w:r>
      <w:r>
        <w:rPr>
          <w:rFonts w:cs="Times New Roman" w:hint="eastAsia"/>
          <w:color w:val="auto"/>
          <w:szCs w:val="22"/>
          <w:highlight w:val="none"/>
        </w:rPr>
        <w:t>进行</w:t>
      </w:r>
      <w:r>
        <w:rPr>
          <w:rFonts w:cs="Times New Roman"/>
          <w:color w:val="auto"/>
          <w:szCs w:val="22"/>
          <w:highlight w:val="none"/>
        </w:rPr>
        <w:t>。</w:t>
      </w:r>
    </w:p>
    <w:p>
      <w:pPr>
        <w:pStyle w:val="2"/>
        <w:tabs>
          <w:tab w:val="left" w:pos="0"/>
        </w:tabs>
        <w:rPr>
          <w:rFonts w:ascii="Times New Roman" w:cs="Times New Roman" w:hAnsi="Times New Roman"/>
          <w:color w:val="auto"/>
          <w:highlight w:val="none"/>
        </w:rPr>
      </w:pPr>
      <w:bookmarkStart w:id="412" w:name="_Toc15724"/>
      <w:bookmarkStart w:id="413" w:name="_Toc6053"/>
      <w:bookmarkStart w:id="414" w:name="_Toc6276"/>
      <w:bookmarkStart w:id="415" w:name="_Toc6919"/>
      <w:bookmarkStart w:id="416" w:name="_Toc25869"/>
      <w:r>
        <w:rPr>
          <w:rFonts w:ascii="Times New Roman" w:cs="Times New Roman" w:hAnsi="Times New Roman"/>
          <w:color w:val="auto"/>
          <w:highlight w:val="none"/>
        </w:rPr>
        <w:t>14.4　评定</w:t>
      </w:r>
      <w:bookmarkEnd w:id="412"/>
      <w:bookmarkEnd w:id="413"/>
      <w:bookmarkEnd w:id="414"/>
      <w:bookmarkEnd w:id="415"/>
      <w:bookmarkEnd w:id="416"/>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14.4.1　</w:t>
      </w:r>
      <w:r>
        <w:rPr>
          <w:rFonts w:cs="Times New Roman"/>
          <w:color w:val="auto"/>
          <w:highlight w:val="none"/>
        </w:rPr>
        <w:t>预应力构件质量评定指标</w:t>
      </w:r>
      <w:r>
        <w:rPr>
          <w:rFonts w:cs="Times New Roman" w:hint="eastAsia"/>
          <w:color w:val="auto"/>
          <w:highlight w:val="none"/>
        </w:rPr>
        <w:t>应</w:t>
      </w:r>
      <w:r>
        <w:rPr>
          <w:rFonts w:cs="Times New Roman"/>
          <w:color w:val="auto"/>
          <w:highlight w:val="none"/>
        </w:rPr>
        <w:t>包括单根锚下有效预应力偏差、整束锚下有效预应力平均力值偏差、断面锚下有效预应力平均力值偏差、同束不均匀度和同断面不均匀度等。</w:t>
      </w:r>
    </w:p>
    <w:p>
      <w:pPr>
        <w:rPr>
          <w:color w:val="auto"/>
          <w:highlight w:val="none"/>
        </w:rPr>
      </w:pP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14.4.2　</w:t>
      </w:r>
      <w:r>
        <w:rPr>
          <w:rFonts w:cs="Times New Roman"/>
          <w:color w:val="auto"/>
          <w:highlight w:val="none"/>
        </w:rPr>
        <w:t>单根锚下有效预应力偏差应按式</w:t>
      </w:r>
      <w:r>
        <w:rPr>
          <w:rFonts w:cs="Times New Roman" w:hint="eastAsia"/>
          <w:color w:val="auto"/>
          <w:highlight w:val="none"/>
        </w:rPr>
        <w:t>（14.4.2）</w:t>
      </w:r>
      <w:r>
        <w:rPr>
          <w:rFonts w:cs="Times New Roman"/>
          <w:color w:val="auto"/>
          <w:highlight w:val="none"/>
        </w:rPr>
        <w:t>计算：</w:t>
      </w:r>
    </w:p>
    <w:p>
      <w:pPr>
        <w:wordWrap w:val="0"/>
        <w:ind w:firstLineChars="0" w:firstLine="0"/>
        <w:jc w:val="right"/>
        <w:rPr>
          <w:rFonts w:cs="Times New Roman"/>
          <w:color w:val="auto"/>
          <w:highlight w:val="none"/>
        </w:rPr>
      </w:pPr>
      <m:oMath>
        <m:sSub>
          <m:sSubPr>
            <m:ctrlPr>
              <w:rPr>
                <w:rFonts w:ascii="Cambria Math" w:cs="Times New Roman" w:hAnsi="Cambria Math"/>
                <w:color w:val="auto"/>
              </w:rPr>
            </m:ctrlPr>
          </m:sSubPr>
          <m:e>
            <m:r>
              <w:rPr>
                <w:rFonts w:ascii="Cambria Math" w:cs="Times New Roman" w:hAnsi="Cambria Math"/>
                <w:color w:val="auto"/>
                <w:highlight w:val="none"/>
              </w:rPr>
              <m:t>τ</m:t>
            </m:r>
          </m:e>
          <m:sub>
            <m:r>
              <w:rPr>
                <w:rFonts w:ascii="Cambria Math" w:cs="Times New Roman" w:hAnsi="Cambria Math"/>
                <w:color w:val="auto"/>
                <w:highlight w:val="none"/>
              </w:rPr>
              <m:t>i</m:t>
            </m:r>
          </m:sub>
        </m:sSub>
        <m:r>
          <w:rPr>
            <w:rFonts w:ascii="Cambria Math" w:cs="Times New Roman" w:hAnsi="Cambria Math"/>
            <w:color w:val="auto"/>
            <w:highlight w:val="none"/>
          </w:rPr>
          <m:t>=</m:t>
        </m:r>
        <m:f>
          <m:fPr>
            <m:ctrlPr>
              <w:rPr>
                <w:rFonts w:ascii="Cambria Math" w:cs="Times New Roman" w:hAnsi="Cambria Math"/>
                <w:color w:val="auto"/>
              </w:rPr>
            </m:ctrlPr>
          </m:fPr>
          <m:num>
            <m:sSub>
              <m:sSubPr>
                <m:ctrlPr>
                  <w:rPr>
                    <w:rFonts w:ascii="Cambria Math" w:cs="Times New Roman" w:hAnsi="Cambria Math"/>
                    <w:color w:val="auto"/>
                  </w:rPr>
                </m:ctrlPr>
              </m:sSubPr>
              <m:e>
                <m:r>
                  <w:rPr>
                    <w:rFonts w:ascii="Cambria Math" w:cs="Times New Roman" w:hAnsi="Cambria Math"/>
                    <w:color w:val="auto"/>
                    <w:highlight w:val="none"/>
                  </w:rPr>
                  <m:t>F</m:t>
                </m:r>
              </m:e>
              <m:sub>
                <m:r>
                  <w:rPr>
                    <w:rFonts w:ascii="Cambria Math" w:cs="Times New Roman" w:hAnsi="Cambria Math"/>
                    <w:color w:val="auto"/>
                    <w:highlight w:val="none"/>
                  </w:rPr>
                  <m:t>e</m:t>
                </m:r>
              </m:sub>
            </m:sSub>
            <m:r>
              <w:rPr>
                <w:rFonts w:ascii="Cambria Math" w:cs="Times New Roman" w:hAnsi="Cambria Math"/>
                <w:color w:val="auto"/>
                <w:highlight w:val="none"/>
              </w:rPr>
              <m:t>−</m:t>
            </m:r>
            <m:sSub>
              <m:sSubPr>
                <m:ctrlPr>
                  <w:rPr>
                    <w:rFonts w:ascii="Cambria Math" w:cs="Times New Roman" w:hAnsi="Cambria Math"/>
                    <w:color w:val="auto"/>
                  </w:rPr>
                </m:ctrlPr>
              </m:sSubPr>
              <m:e>
                <m:r>
                  <w:rPr>
                    <w:rFonts w:ascii="Cambria Math" w:cs="Times New Roman" w:hAnsi="Cambria Math"/>
                    <w:color w:val="auto"/>
                    <w:highlight w:val="none"/>
                  </w:rPr>
                  <m:t>F</m:t>
                </m:r>
              </m:e>
              <m:sub>
                <m:r>
                  <w:rPr>
                    <w:rFonts w:ascii="Cambria Math" w:cs="Times New Roman" w:hAnsi="Cambria Math"/>
                    <w:color w:val="auto"/>
                    <w:highlight w:val="none"/>
                  </w:rPr>
                  <m:t>s</m:t>
                </m:r>
              </m:sub>
            </m:sSub>
          </m:num>
          <m:den>
            <m:sSub>
              <m:sSubPr>
                <m:ctrlPr>
                  <w:rPr>
                    <w:rFonts w:ascii="Cambria Math" w:cs="Times New Roman" w:hAnsi="Cambria Math"/>
                    <w:color w:val="auto"/>
                  </w:rPr>
                </m:ctrlPr>
              </m:sSubPr>
              <m:e>
                <m:r>
                  <w:rPr>
                    <w:rFonts w:ascii="Cambria Math" w:cs="Times New Roman" w:hAnsi="Cambria Math"/>
                    <w:color w:val="auto"/>
                    <w:highlight w:val="none"/>
                  </w:rPr>
                  <m:t>F</m:t>
                </m:r>
              </m:e>
              <m:sub>
                <m:r>
                  <w:rPr>
                    <w:rFonts w:ascii="Cambria Math" w:cs="Times New Roman" w:hAnsi="Cambria Math"/>
                    <w:color w:val="auto"/>
                    <w:highlight w:val="none"/>
                  </w:rPr>
                  <m:t>S</m:t>
                </m:r>
              </m:sub>
            </m:sSub>
          </m:den>
        </m:f>
        <m:r>
          <w:rPr>
            <w:rFonts w:ascii="Cambria Math" w:cs="Times New Roman" w:hAnsi="Cambria Math"/>
            <w:color w:val="auto"/>
            <w:highlight w:val="none"/>
          </w:rPr>
          <m:t>×</m:t>
        </m:r>
        <m:r>
          <m:rPr>
            <m:sty m:val="p"/>
          </m:rPr>
          <w:rPr>
            <w:rFonts w:ascii="Cambria Math" w:cs="Times New Roman" w:hAnsi="Cambria Math"/>
            <w:color w:val="auto"/>
            <w:highlight w:val="none"/>
          </w:rPr>
          <m:t>100（%）</m:t>
        </m:r>
      </m:oMath>
      <w:r>
        <w:rPr>
          <w:rFonts w:cs="Times New Roman"/>
          <w:color w:val="auto"/>
          <w:highlight w:val="none"/>
        </w:rPr>
        <w:t xml:space="preserve">                    （14.4.2）</w:t>
      </w:r>
    </w:p>
    <w:p>
      <w:pPr>
        <w:ind w:firstLineChars="0" w:firstLine="0"/>
        <w:rPr>
          <w:rFonts w:cs="Times New Roman"/>
          <w:color w:val="auto"/>
          <w:highlight w:val="none"/>
        </w:rPr>
      </w:pPr>
      <w:r>
        <w:rPr>
          <w:rFonts w:cs="Times New Roman"/>
          <w:color w:val="auto"/>
          <w:highlight w:val="none"/>
        </w:rPr>
        <w:t>式中：</w:t>
      </w:r>
      <m:oMath>
        <m:sSub>
          <m:sSubPr>
            <m:ctrlPr>
              <w:rPr>
                <w:rFonts w:ascii="Cambria Math" w:cs="Times New Roman" w:hAnsi="Cambria Math"/>
                <w:color w:val="auto"/>
              </w:rPr>
            </m:ctrlPr>
          </m:sSubPr>
          <m:e>
            <m:r>
              <w:rPr>
                <w:rFonts w:ascii="Cambria Math" w:cs="Times New Roman" w:hAnsi="Cambria Math"/>
                <w:color w:val="auto"/>
                <w:highlight w:val="none"/>
              </w:rPr>
              <m:t>τ</m:t>
            </m:r>
          </m:e>
          <m:sub>
            <m:r>
              <w:rPr>
                <w:rFonts w:ascii="Cambria Math" w:cs="Times New Roman" w:hAnsi="Cambria Math"/>
                <w:color w:val="auto"/>
                <w:highlight w:val="none"/>
              </w:rPr>
              <m:t>i</m:t>
            </m:r>
          </m:sub>
        </m:sSub>
      </m:oMath>
      <w:r>
        <w:rPr>
          <w:rFonts w:cs="Times New Roman"/>
          <w:color w:val="auto"/>
          <w:highlight w:val="none"/>
        </w:rPr>
        <w:t>——第i单根锚下有效预应力偏差（%）；</w:t>
      </w:r>
    </w:p>
    <w:p>
      <w:pPr>
        <w:ind w:firstLineChars="300" w:firstLine="720"/>
        <w:rPr>
          <w:rFonts w:cs="Times New Roman"/>
          <w:color w:val="auto"/>
          <w:highlight w:val="none"/>
        </w:rPr>
      </w:pPr>
      <m:oMath>
        <m:sSub>
          <m:sSubPr>
            <m:ctrlPr>
              <w:rPr>
                <w:rFonts w:ascii="Cambria Math" w:cs="Times New Roman" w:hAnsi="Cambria Math"/>
                <w:color w:val="auto"/>
              </w:rPr>
            </m:ctrlPr>
          </m:sSubPr>
          <m:e>
            <m:r>
              <w:rPr>
                <w:rFonts w:ascii="Cambria Math" w:cs="Times New Roman" w:hAnsi="Cambria Math"/>
                <w:color w:val="auto"/>
                <w:highlight w:val="none"/>
              </w:rPr>
              <m:t>F</m:t>
            </m:r>
          </m:e>
          <m:sub>
            <m:r>
              <w:rPr>
                <w:rFonts w:ascii="Cambria Math" w:cs="Times New Roman" w:hAnsi="Cambria Math"/>
                <w:color w:val="auto"/>
                <w:highlight w:val="none"/>
              </w:rPr>
              <m:t>e</m:t>
            </m:r>
          </m:sub>
        </m:sSub>
      </m:oMath>
      <w:r>
        <w:rPr>
          <w:rFonts w:cs="Times New Roman"/>
          <w:color w:val="auto"/>
          <w:highlight w:val="none"/>
        </w:rPr>
        <w:t>——单根锚下有效预应力实测值（kN）；</w:t>
      </w:r>
    </w:p>
    <w:p>
      <w:pPr>
        <w:ind w:firstLineChars="300" w:firstLine="720"/>
        <w:rPr>
          <w:rFonts w:cs="Times New Roman"/>
          <w:color w:val="auto"/>
          <w:highlight w:val="none"/>
        </w:rPr>
      </w:pPr>
      <m:oMath>
        <m:sSub>
          <m:sSubPr>
            <m:ctrlPr>
              <w:rPr>
                <w:rFonts w:ascii="Cambria Math" w:cs="Times New Roman" w:hAnsi="Cambria Math"/>
                <w:color w:val="auto"/>
              </w:rPr>
            </m:ctrlPr>
          </m:sSubPr>
          <m:e>
            <m:r>
              <w:rPr>
                <w:rFonts w:ascii="Cambria Math" w:cs="Times New Roman" w:hAnsi="Cambria Math"/>
                <w:color w:val="auto"/>
                <w:highlight w:val="none"/>
              </w:rPr>
              <m:t>F</m:t>
            </m:r>
          </m:e>
          <m:sub>
            <m:r>
              <w:rPr>
                <w:rFonts w:ascii="Cambria Math" w:cs="Times New Roman" w:hAnsi="Cambria Math"/>
                <w:color w:val="auto"/>
                <w:highlight w:val="none"/>
              </w:rPr>
              <m:t>s</m:t>
            </m:r>
          </m:sub>
        </m:sSub>
      </m:oMath>
      <w:r>
        <w:rPr>
          <w:rFonts w:cs="Times New Roman"/>
          <w:color w:val="auto"/>
          <w:highlight w:val="none"/>
        </w:rPr>
        <w:t>——锚下有效预应力标准值（kN）。</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14.4.3　</w:t>
      </w:r>
      <w:r>
        <w:rPr>
          <w:rFonts w:cs="Times New Roman"/>
          <w:color w:val="auto"/>
          <w:highlight w:val="none"/>
        </w:rPr>
        <w:t>整束锚下有效预应力平均力值偏差应按式</w:t>
      </w:r>
      <w:r>
        <w:rPr>
          <w:rFonts w:cs="Times New Roman" w:hint="eastAsia"/>
          <w:color w:val="auto"/>
          <w:highlight w:val="none"/>
        </w:rPr>
        <w:t>（14.4.3）</w:t>
      </w:r>
      <w:r>
        <w:rPr>
          <w:rFonts w:cs="Times New Roman"/>
          <w:color w:val="auto"/>
          <w:highlight w:val="none"/>
        </w:rPr>
        <w:t>计算：</w:t>
      </w:r>
    </w:p>
    <w:p>
      <w:pPr>
        <w:wordWrap w:val="0"/>
        <w:ind w:firstLineChars="0" w:firstLine="0"/>
        <w:jc w:val="right"/>
        <w:rPr>
          <w:rFonts w:cs="Times New Roman"/>
          <w:color w:val="auto"/>
          <w:highlight w:val="none"/>
        </w:rPr>
      </w:pPr>
      <m:oMath>
        <m:acc>
          <m:accPr>
            <m:chr m:val="̃"/>
            <m:ctrlPr>
              <w:rPr>
                <w:rFonts w:ascii="Cambria Math" w:cs="Times New Roman" w:hAnsi="Cambria Math"/>
                <w:color w:val="auto"/>
              </w:rPr>
            </m:ctrlPr>
          </m:accPr>
          <m:e>
            <m:r>
              <w:rPr>
                <w:rFonts w:ascii="Cambria Math" w:cs="Times New Roman" w:hAnsi="Cambria Math"/>
                <w:color w:val="auto"/>
                <w:highlight w:val="none"/>
              </w:rPr>
              <m:t>τ</m:t>
            </m:r>
          </m:e>
        </m:acc>
        <m:r>
          <w:rPr>
            <w:rFonts w:ascii="Cambria Math" w:cs="Times New Roman" w:hAnsi="Cambria Math"/>
            <w:color w:val="auto"/>
            <w:highlight w:val="none"/>
          </w:rPr>
          <m:t>=</m:t>
        </m:r>
        <m:f>
          <m:fPr>
            <m:ctrlPr>
              <w:rPr>
                <w:rFonts w:ascii="Cambria Math" w:cs="Times New Roman" w:hAnsi="Cambria Math"/>
                <w:color w:val="auto"/>
              </w:rPr>
            </m:ctrlPr>
          </m:fPr>
          <m:num>
            <m:sSub>
              <m:sSubPr>
                <m:ctrlPr>
                  <w:rPr>
                    <w:rFonts w:ascii="Cambria Math" w:cs="Times New Roman" w:hAnsi="Cambria Math"/>
                    <w:color w:val="auto"/>
                  </w:rPr>
                </m:ctrlPr>
              </m:sSubPr>
              <m:e>
                <m:acc>
                  <m:accPr>
                    <m:chr m:val="̅"/>
                    <m:ctrlPr>
                      <w:rPr>
                        <w:rFonts w:ascii="Cambria Math" w:cs="Times New Roman" w:hAnsi="Cambria Math"/>
                        <w:color w:val="auto"/>
                      </w:rPr>
                    </m:ctrlPr>
                  </m:accPr>
                  <m:e>
                    <m:r>
                      <w:rPr>
                        <w:rFonts w:ascii="Cambria Math" w:cs="Times New Roman" w:hAnsi="Cambria Math"/>
                        <w:color w:val="auto"/>
                        <w:highlight w:val="none"/>
                      </w:rPr>
                      <m:t>F</m:t>
                    </m:r>
                  </m:e>
                </m:acc>
              </m:e>
              <m:sub>
                <m:r>
                  <w:rPr>
                    <w:rFonts w:ascii="Cambria Math" w:cs="Times New Roman" w:hAnsi="Cambria Math"/>
                    <w:color w:val="auto"/>
                    <w:highlight w:val="none"/>
                  </w:rPr>
                  <m:t>j</m:t>
                </m:r>
              </m:sub>
            </m:sSub>
            <m:r>
              <w:rPr>
                <w:rFonts w:ascii="Cambria Math" w:cs="Times New Roman" w:hAnsi="Cambria Math"/>
                <w:color w:val="auto"/>
                <w:highlight w:val="none"/>
              </w:rPr>
              <m:t>−</m:t>
            </m:r>
            <m:sSub>
              <m:sSubPr>
                <m:ctrlPr>
                  <w:rPr>
                    <w:rFonts w:ascii="Cambria Math" w:cs="Times New Roman" w:hAnsi="Cambria Math"/>
                    <w:color w:val="auto"/>
                  </w:rPr>
                </m:ctrlPr>
              </m:sSubPr>
              <m:e>
                <m:r>
                  <w:rPr>
                    <w:rFonts w:ascii="Cambria Math" w:cs="Times New Roman" w:hAnsi="Cambria Math"/>
                    <w:color w:val="auto"/>
                    <w:highlight w:val="none"/>
                  </w:rPr>
                  <m:t>F</m:t>
                </m:r>
              </m:e>
              <m:sub>
                <m:r>
                  <w:rPr>
                    <w:rFonts w:ascii="Cambria Math" w:cs="Times New Roman" w:hAnsi="Cambria Math"/>
                    <w:color w:val="auto"/>
                    <w:highlight w:val="none"/>
                  </w:rPr>
                  <m:t>s</m:t>
                </m:r>
              </m:sub>
            </m:sSub>
          </m:num>
          <m:den>
            <m:sSub>
              <m:sSubPr>
                <m:ctrlPr>
                  <w:rPr>
                    <w:rFonts w:ascii="Cambria Math" w:cs="Times New Roman" w:hAnsi="Cambria Math"/>
                    <w:color w:val="auto"/>
                  </w:rPr>
                </m:ctrlPr>
              </m:sSubPr>
              <m:e>
                <m:r>
                  <w:rPr>
                    <w:rFonts w:ascii="Cambria Math" w:cs="Times New Roman" w:hAnsi="Cambria Math"/>
                    <w:color w:val="auto"/>
                    <w:highlight w:val="none"/>
                  </w:rPr>
                  <m:t>F</m:t>
                </m:r>
              </m:e>
              <m:sub>
                <m:r>
                  <w:rPr>
                    <w:rFonts w:ascii="Cambria Math" w:cs="Times New Roman" w:hAnsi="Cambria Math"/>
                    <w:color w:val="auto"/>
                    <w:highlight w:val="none"/>
                  </w:rPr>
                  <m:t>S</m:t>
                </m:r>
              </m:sub>
            </m:sSub>
          </m:den>
        </m:f>
        <m:r>
          <w:rPr>
            <w:rFonts w:ascii="Cambria Math" w:cs="Times New Roman" w:hAnsi="Cambria Math"/>
            <w:color w:val="auto"/>
            <w:highlight w:val="none"/>
          </w:rPr>
          <m:t>×</m:t>
        </m:r>
        <m:r>
          <m:rPr>
            <m:sty m:val="p"/>
          </m:rPr>
          <w:rPr>
            <w:rFonts w:ascii="Cambria Math" w:cs="Times New Roman" w:hAnsi="Cambria Math"/>
            <w:color w:val="auto"/>
            <w:highlight w:val="none"/>
          </w:rPr>
          <m:t>100（%）</m:t>
        </m:r>
      </m:oMath>
      <w:r>
        <w:rPr>
          <w:rFonts w:cs="Times New Roman"/>
          <w:color w:val="auto"/>
          <w:highlight w:val="none"/>
        </w:rPr>
        <w:t xml:space="preserve">                     （14.4.3）</w:t>
      </w:r>
    </w:p>
    <w:p>
      <w:pPr>
        <w:ind w:firstLineChars="0" w:firstLine="0"/>
        <w:rPr>
          <w:rFonts w:cs="Times New Roman"/>
          <w:color w:val="auto"/>
          <w:highlight w:val="none"/>
        </w:rPr>
      </w:pPr>
      <w:r>
        <w:rPr>
          <w:rFonts w:cs="Times New Roman"/>
          <w:color w:val="auto"/>
          <w:highlight w:val="none"/>
        </w:rPr>
        <w:t>式中：</w:t>
      </w:r>
      <m:oMath>
        <m:acc>
          <m:accPr>
            <m:chr m:val="̃"/>
            <m:ctrlPr>
              <w:rPr>
                <w:rFonts w:ascii="Cambria Math" w:cs="Times New Roman" w:hAnsi="Cambria Math"/>
                <w:color w:val="auto"/>
              </w:rPr>
            </m:ctrlPr>
          </m:accPr>
          <m:e>
            <m:r>
              <w:rPr>
                <w:rFonts w:ascii="Cambria Math" w:cs="Times New Roman" w:hAnsi="Cambria Math"/>
                <w:color w:val="auto"/>
                <w:highlight w:val="none"/>
              </w:rPr>
              <m:t>τ</m:t>
            </m:r>
          </m:e>
        </m:acc>
      </m:oMath>
      <w:r>
        <w:rPr>
          <w:rFonts w:cs="Times New Roman"/>
          <w:color w:val="auto"/>
          <w:highlight w:val="none"/>
        </w:rPr>
        <w:t>——整束锚下有效预应力平均力值偏差（%）；</w:t>
      </w:r>
    </w:p>
    <w:p>
      <w:pPr>
        <w:ind w:firstLineChars="300" w:firstLine="720"/>
        <w:rPr>
          <w:rFonts w:cs="Times New Roman"/>
          <w:color w:val="auto"/>
          <w:highlight w:val="none"/>
        </w:rPr>
      </w:pPr>
      <w:r>
        <w:rPr>
          <w:rFonts w:cs="Times New Roman"/>
          <w:color w:val="auto"/>
          <w:position w:val="-14"/>
          <w:highlight w:val="none"/>
        </w:rPr>
        <w:object>
          <v:shape id="_x0000_i1060" type="#_x0000_t75" filled="f" style="width:16.0pt;height:26.0pt;" o:ole="">
            <v:imagedata r:id="rId102" o:title="image9"/>
            <o:lock aspectratio="t"/>
            <w10:anchorLock/>
          </v:shape>
          <o:OLEObject Type="Embed" ProgID="Equation.KSEE3" ShapeID="_x0000_i1060" DrawAspect="Content" ObjectID="_1393063386" r:id="rId103"/>
        </w:object>
      </w:r>
      <w:r>
        <w:rPr>
          <w:rFonts w:cs="Times New Roman"/>
          <w:color w:val="auto"/>
          <w:highlight w:val="none"/>
        </w:rPr>
        <w:t>——第</w:t>
      </w:r>
      <w:r>
        <w:rPr>
          <w:rFonts w:cs="Times New Roman"/>
          <w:i/>
          <w:color w:val="auto"/>
          <w:highlight w:val="none"/>
        </w:rPr>
        <w:t>j</w:t>
      </w:r>
      <w:r>
        <w:rPr>
          <w:rFonts w:cs="Times New Roman"/>
          <w:color w:val="auto"/>
          <w:highlight w:val="none"/>
        </w:rPr>
        <w:t>束实测锚下有效预应力平均值（kN）。</w:t>
      </w:r>
    </w:p>
    <w:p>
      <w:pPr>
        <w:ind w:firstLineChars="300" w:firstLine="720"/>
        <w:rPr>
          <w:rFonts w:cs="Times New Roman"/>
          <w:color w:val="auto"/>
          <w:highlight w:val="none"/>
        </w:rPr>
      </w:pPr>
      <m:oMath>
        <m:sSub>
          <m:sSubPr>
            <m:ctrlPr>
              <w:rPr>
                <w:rFonts w:ascii="Cambria Math" w:cs="Times New Roman" w:hAnsi="Cambria Math"/>
                <w:color w:val="auto"/>
              </w:rPr>
            </m:ctrlPr>
          </m:sSubPr>
          <m:e>
            <m:r>
              <w:rPr>
                <w:rFonts w:ascii="Cambria Math" w:cs="Times New Roman" w:hAnsi="Cambria Math"/>
                <w:color w:val="auto"/>
                <w:highlight w:val="none"/>
              </w:rPr>
              <m:t>F</m:t>
            </m:r>
          </m:e>
          <m:sub>
            <m:r>
              <w:rPr>
                <w:rFonts w:ascii="Cambria Math" w:cs="Times New Roman" w:hAnsi="Cambria Math"/>
                <w:color w:val="auto"/>
                <w:highlight w:val="none"/>
              </w:rPr>
              <m:t>s</m:t>
            </m:r>
          </m:sub>
        </m:sSub>
      </m:oMath>
      <w:r>
        <w:rPr>
          <w:rFonts w:cs="Times New Roman"/>
          <w:color w:val="auto"/>
          <w:highlight w:val="none"/>
        </w:rPr>
        <w:t>——锚下有效预应力标准值（kN）。</w:t>
      </w:r>
    </w:p>
    <w:p>
      <w:pPr>
        <w:ind w:firstLineChars="300" w:firstLine="720"/>
        <w:rPr>
          <w:rFonts w:cs="Times New Roman"/>
          <w:color w:val="auto"/>
          <w:highlight w:val="none"/>
        </w:rPr>
      </w:pP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14.4.4　</w:t>
      </w:r>
      <w:r>
        <w:rPr>
          <w:rFonts w:cs="Times New Roman"/>
          <w:color w:val="auto"/>
          <w:highlight w:val="none"/>
        </w:rPr>
        <w:t>断面锚下有效预应力平均力值偏差应按式</w:t>
      </w:r>
      <w:r>
        <w:rPr>
          <w:rFonts w:cs="Times New Roman" w:hint="eastAsia"/>
          <w:color w:val="auto"/>
          <w:highlight w:val="none"/>
        </w:rPr>
        <w:t>（14.4.4）</w:t>
      </w:r>
      <w:r>
        <w:rPr>
          <w:rFonts w:cs="Times New Roman"/>
          <w:color w:val="auto"/>
          <w:highlight w:val="none"/>
        </w:rPr>
        <w:t>计算：</w:t>
      </w:r>
    </w:p>
    <w:p>
      <w:pPr>
        <w:wordWrap w:val="0"/>
        <w:ind w:firstLineChars="0" w:firstLine="0"/>
        <w:jc w:val="right"/>
        <w:rPr>
          <w:rFonts w:cs="Times New Roman"/>
          <w:color w:val="auto"/>
          <w:highlight w:val="none"/>
        </w:rPr>
      </w:pPr>
      <m:oMath>
        <m:acc>
          <m:accPr>
            <m:chr m:val="̅"/>
            <m:ctrlPr>
              <w:rPr>
                <w:rFonts w:ascii="Cambria Math" w:cs="Times New Roman" w:hAnsi="Cambria Math"/>
                <w:color w:val="auto"/>
              </w:rPr>
            </m:ctrlPr>
          </m:accPr>
          <m:e>
            <m:r>
              <w:rPr>
                <w:rFonts w:ascii="Cambria Math" w:cs="Times New Roman" w:hAnsi="Cambria Math"/>
                <w:color w:val="auto"/>
                <w:highlight w:val="none"/>
              </w:rPr>
              <m:t>τ</m:t>
            </m:r>
          </m:e>
        </m:acc>
        <m:r>
          <w:rPr>
            <w:rFonts w:ascii="Cambria Math" w:cs="Times New Roman" w:hAnsi="Cambria Math"/>
            <w:color w:val="auto"/>
            <w:highlight w:val="none"/>
          </w:rPr>
          <m:t>=</m:t>
        </m:r>
        <m:f>
          <m:fPr>
            <m:ctrlPr>
              <w:rPr>
                <w:rFonts w:ascii="Cambria Math" w:cs="Times New Roman" w:hAnsi="Cambria Math"/>
                <w:color w:val="auto"/>
              </w:rPr>
            </m:ctrlPr>
          </m:fPr>
          <m:num>
            <m:acc>
              <m:accPr>
                <m:chr m:val="̅"/>
                <m:ctrlPr>
                  <w:rPr>
                    <w:rFonts w:ascii="Cambria Math" w:cs="Times New Roman" w:hAnsi="Cambria Math"/>
                    <w:color w:val="auto"/>
                  </w:rPr>
                </m:ctrlPr>
              </m:accPr>
              <m:e>
                <m:r>
                  <w:rPr>
                    <w:rFonts w:ascii="Cambria Math" w:cs="Times New Roman" w:hAnsi="Cambria Math"/>
                    <w:color w:val="auto"/>
                    <w:highlight w:val="none"/>
                  </w:rPr>
                  <m:t>F</m:t>
                </m:r>
              </m:e>
            </m:acc>
            <m:r>
              <w:rPr>
                <w:rFonts w:ascii="Cambria Math" w:cs="Times New Roman" w:hAnsi="Cambria Math"/>
                <w:color w:val="auto"/>
                <w:highlight w:val="none"/>
              </w:rPr>
              <m:t>−</m:t>
            </m:r>
            <m:sSub>
              <m:sSubPr>
                <m:ctrlPr>
                  <w:rPr>
                    <w:rFonts w:ascii="Cambria Math" w:cs="Times New Roman" w:hAnsi="Cambria Math"/>
                    <w:color w:val="auto"/>
                  </w:rPr>
                </m:ctrlPr>
              </m:sSubPr>
              <m:e>
                <m:r>
                  <w:rPr>
                    <w:rFonts w:ascii="Cambria Math" w:cs="Times New Roman" w:hAnsi="Cambria Math"/>
                    <w:color w:val="auto"/>
                    <w:highlight w:val="none"/>
                  </w:rPr>
                  <m:t>F</m:t>
                </m:r>
              </m:e>
              <m:sub>
                <m:r>
                  <w:rPr>
                    <w:rFonts w:ascii="Cambria Math" w:cs="Times New Roman" w:hAnsi="Cambria Math"/>
                    <w:color w:val="auto"/>
                    <w:highlight w:val="none"/>
                  </w:rPr>
                  <m:t>s</m:t>
                </m:r>
              </m:sub>
            </m:sSub>
          </m:num>
          <m:den>
            <m:sSub>
              <m:sSubPr>
                <m:ctrlPr>
                  <w:rPr>
                    <w:rFonts w:ascii="Cambria Math" w:cs="Times New Roman" w:hAnsi="Cambria Math"/>
                    <w:color w:val="auto"/>
                  </w:rPr>
                </m:ctrlPr>
              </m:sSubPr>
              <m:e>
                <m:r>
                  <w:rPr>
                    <w:rFonts w:ascii="Cambria Math" w:cs="Times New Roman" w:hAnsi="Cambria Math"/>
                    <w:color w:val="auto"/>
                    <w:highlight w:val="none"/>
                  </w:rPr>
                  <m:t>F</m:t>
                </m:r>
              </m:e>
              <m:sub>
                <m:r>
                  <w:rPr>
                    <w:rFonts w:ascii="Cambria Math" w:cs="Times New Roman" w:hAnsi="Cambria Math"/>
                    <w:color w:val="auto"/>
                    <w:highlight w:val="none"/>
                  </w:rPr>
                  <m:t>S</m:t>
                </m:r>
              </m:sub>
            </m:sSub>
          </m:den>
        </m:f>
        <m:r>
          <w:rPr>
            <w:rFonts w:ascii="Cambria Math" w:cs="Times New Roman" w:hAnsi="Cambria Math"/>
            <w:color w:val="auto"/>
            <w:highlight w:val="none"/>
          </w:rPr>
          <m:t>×</m:t>
        </m:r>
        <m:r>
          <m:rPr>
            <m:sty m:val="p"/>
          </m:rPr>
          <w:rPr>
            <w:rFonts w:ascii="Cambria Math" w:cs="Times New Roman" w:hAnsi="Cambria Math"/>
            <w:color w:val="auto"/>
            <w:highlight w:val="none"/>
          </w:rPr>
          <m:t>100（%）</m:t>
        </m:r>
      </m:oMath>
      <w:r>
        <w:rPr>
          <w:rFonts w:cs="Times New Roman"/>
          <w:color w:val="auto"/>
          <w:highlight w:val="none"/>
        </w:rPr>
        <w:t xml:space="preserve">                     （14.4.4）</w:t>
      </w:r>
    </w:p>
    <w:p>
      <w:pPr>
        <w:ind w:firstLineChars="0" w:firstLine="0"/>
        <w:rPr>
          <w:rFonts w:cs="Times New Roman"/>
          <w:color w:val="auto"/>
          <w:highlight w:val="none"/>
        </w:rPr>
      </w:pPr>
      <w:r>
        <w:rPr>
          <w:rFonts w:cs="Times New Roman"/>
          <w:color w:val="auto"/>
          <w:highlight w:val="none"/>
        </w:rPr>
        <w:t>式中：</w:t>
      </w:r>
      <m:oMath>
        <m:acc>
          <m:accPr>
            <m:chr m:val="̅"/>
            <m:ctrlPr>
              <w:rPr>
                <w:rFonts w:ascii="Cambria Math" w:cs="Times New Roman" w:hAnsi="Cambria Math"/>
                <w:color w:val="auto"/>
              </w:rPr>
            </m:ctrlPr>
          </m:accPr>
          <m:e>
            <m:r>
              <w:rPr>
                <w:rFonts w:ascii="Cambria Math" w:cs="Times New Roman" w:hAnsi="Cambria Math"/>
                <w:color w:val="auto"/>
                <w:highlight w:val="none"/>
              </w:rPr>
              <m:t>τ</m:t>
            </m:r>
          </m:e>
        </m:acc>
      </m:oMath>
      <w:r>
        <w:rPr>
          <w:rFonts w:cs="Times New Roman"/>
          <w:color w:val="auto"/>
          <w:highlight w:val="none"/>
        </w:rPr>
        <w:t>——断面锚下有效预应力平均力值偏差（%）；</w:t>
      </w:r>
    </w:p>
    <w:p>
      <w:pPr>
        <w:ind w:firstLineChars="250" w:firstLine="600"/>
        <w:rPr>
          <w:rFonts w:cs="Times New Roman"/>
          <w:color w:val="auto"/>
          <w:highlight w:val="none"/>
        </w:rPr>
      </w:pPr>
      <m:oMath>
        <m:r>
          <m:rPr>
            <m:sty m:val="p"/>
          </m:rPr>
          <w:rPr>
            <w:rFonts w:ascii="Cambria Math" w:cs="Times New Roman" w:hAnsi="Cambria Math"/>
            <w:color w:val="auto"/>
            <w:highlight w:val="none"/>
          </w:rPr>
          <m:t xml:space="preserve"> </m:t>
        </m:r>
        <m:acc>
          <m:accPr>
            <m:chr m:val="̅"/>
            <m:ctrlPr>
              <w:rPr>
                <w:rFonts w:ascii="Cambria Math" w:cs="Times New Roman" w:hAnsi="Cambria Math"/>
                <w:color w:val="auto"/>
              </w:rPr>
            </m:ctrlPr>
          </m:accPr>
          <m:e>
            <m:r>
              <w:rPr>
                <w:rFonts w:ascii="Cambria Math" w:cs="Times New Roman" w:hAnsi="Cambria Math"/>
                <w:color w:val="auto"/>
                <w:highlight w:val="none"/>
              </w:rPr>
              <m:t>F</m:t>
            </m:r>
          </m:e>
        </m:acc>
      </m:oMath>
      <w:r>
        <w:rPr>
          <w:rFonts w:cs="Times New Roman"/>
          <w:color w:val="auto"/>
          <w:highlight w:val="none"/>
        </w:rPr>
        <w:t>——断面锚下有效预应力平均值（kN）。</w:t>
      </w:r>
    </w:p>
    <w:p>
      <w:pPr>
        <w:ind w:firstLineChars="300" w:firstLine="720"/>
        <w:rPr>
          <w:rFonts w:cs="Times New Roman"/>
          <w:color w:val="auto"/>
          <w:highlight w:val="none"/>
        </w:rPr>
      </w:pPr>
      <m:oMath>
        <m:sSub>
          <m:sSubPr>
            <m:ctrlPr>
              <w:rPr>
                <w:rFonts w:ascii="Cambria Math" w:cs="Times New Roman" w:hAnsi="Cambria Math"/>
                <w:color w:val="auto"/>
              </w:rPr>
            </m:ctrlPr>
          </m:sSubPr>
          <m:e>
            <m:r>
              <w:rPr>
                <w:rFonts w:ascii="Cambria Math" w:cs="Times New Roman" w:hAnsi="Cambria Math"/>
                <w:color w:val="auto"/>
                <w:highlight w:val="none"/>
              </w:rPr>
              <m:t>F</m:t>
            </m:r>
          </m:e>
          <m:sub>
            <m:r>
              <w:rPr>
                <w:rFonts w:ascii="Cambria Math" w:cs="Times New Roman" w:hAnsi="Cambria Math"/>
                <w:color w:val="auto"/>
                <w:highlight w:val="none"/>
              </w:rPr>
              <m:t>s</m:t>
            </m:r>
          </m:sub>
        </m:sSub>
      </m:oMath>
      <w:r>
        <w:rPr>
          <w:rFonts w:cs="Times New Roman"/>
          <w:color w:val="auto"/>
          <w:highlight w:val="none"/>
        </w:rPr>
        <w:t>——锚下有效预应力标准值（kN）。</w:t>
      </w:r>
    </w:p>
    <w:p>
      <w:pPr>
        <w:ind w:firstLineChars="250" w:firstLine="600"/>
        <w:rPr>
          <w:rFonts w:cs="Times New Roman"/>
          <w:color w:val="auto"/>
          <w:highlight w:val="none"/>
        </w:rPr>
      </w:pPr>
    </w:p>
    <w:p>
      <w:pPr>
        <w:ind w:firstLineChars="250" w:firstLine="600"/>
        <w:rPr>
          <w:rFonts w:cs="Times New Roman"/>
          <w:color w:val="auto"/>
          <w:highlight w:val="none"/>
        </w:rPr>
      </w:pP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14.4.5　</w:t>
      </w:r>
      <w:r>
        <w:rPr>
          <w:rFonts w:cs="Times New Roman"/>
          <w:color w:val="auto"/>
          <w:highlight w:val="none"/>
        </w:rPr>
        <w:t>同束不均匀度应按式</w:t>
      </w:r>
      <w:r>
        <w:rPr>
          <w:rFonts w:cs="Times New Roman" w:hint="eastAsia"/>
          <w:color w:val="auto"/>
          <w:highlight w:val="none"/>
        </w:rPr>
        <w:t>（14.4.5）</w:t>
      </w:r>
      <w:r>
        <w:rPr>
          <w:rFonts w:cs="Times New Roman"/>
          <w:color w:val="auto"/>
          <w:highlight w:val="none"/>
        </w:rPr>
        <w:t>计算：</w:t>
      </w:r>
    </w:p>
    <w:p>
      <w:pPr>
        <w:wordWrap w:val="0"/>
        <w:ind w:firstLineChars="0" w:firstLine="0"/>
        <w:jc w:val="right"/>
        <w:rPr>
          <w:rFonts w:cs="Times New Roman"/>
          <w:color w:val="auto"/>
          <w:highlight w:val="none"/>
        </w:rPr>
      </w:pPr>
      <m:oMath>
        <m:r>
          <m:rPr>
            <m:sty m:val="p"/>
          </m:rPr>
          <w:rPr>
            <w:rFonts w:ascii="Cambria Math" w:cs="Times New Roman" w:hAnsi="Cambria Math"/>
            <w:color w:val="auto"/>
            <w:szCs w:val="24"/>
            <w:highlight w:val="none"/>
          </w:rPr>
          <m:t>θ</m:t>
        </m:r>
        <m:r>
          <w:rPr>
            <w:rFonts w:ascii="Cambria Math" w:cs="Times New Roman" w:hAnsi="Cambria Math"/>
            <w:color w:val="auto"/>
            <w:szCs w:val="24"/>
            <w:highlight w:val="none"/>
          </w:rPr>
          <m:t>=</m:t>
        </m:r>
        <m:f>
          <m:fPr>
            <m:ctrlPr>
              <w:rPr>
                <w:rFonts w:ascii="Cambria Math" w:cs="Times New Roman" w:hAnsi="Cambria Math"/>
                <w:color w:val="auto"/>
                <w:szCs w:val="24"/>
              </w:rPr>
            </m:ctrlPr>
          </m:fPr>
          <m:num>
            <m:sSub>
              <m:sSubPr>
                <m:ctrlPr>
                  <w:rPr>
                    <w:rFonts w:ascii="Cambria Math" w:cs="Times New Roman" w:hAnsi="Cambria Math"/>
                    <w:color w:val="auto"/>
                    <w:szCs w:val="24"/>
                  </w:rPr>
                </m:ctrlPr>
              </m:sSubPr>
              <m:e>
                <m:r>
                  <w:rPr>
                    <w:rFonts w:ascii="Cambria Math" w:cs="Times New Roman" w:hAnsi="Cambria Math"/>
                    <w:color w:val="auto"/>
                    <w:szCs w:val="24"/>
                    <w:highlight w:val="none"/>
                  </w:rPr>
                  <m:t>F</m:t>
                </m:r>
              </m:e>
              <m:sub>
                <m:sSub>
                  <m:sSubPr>
                    <m:ctrlPr>
                      <w:rPr>
                        <w:rFonts w:ascii="Cambria Math" w:cs="Times New Roman" w:hAnsi="Cambria Math"/>
                        <w:color w:val="auto"/>
                        <w:szCs w:val="24"/>
                      </w:rPr>
                    </m:ctrlPr>
                  </m:sSubPr>
                  <m:e>
                    <m:r>
                      <w:rPr>
                        <w:rFonts w:ascii="Cambria Math" w:cs="Times New Roman" w:hAnsi="Cambria Math"/>
                        <w:color w:val="auto"/>
                        <w:szCs w:val="24"/>
                        <w:highlight w:val="none"/>
                      </w:rPr>
                      <m:t>e</m:t>
                    </m:r>
                  </m:e>
                  <m:sub>
                    <m:r>
                      <w:rPr>
                        <w:rFonts w:ascii="Cambria Math" w:cs="Times New Roman" w:hAnsi="Cambria Math"/>
                        <w:color w:val="auto"/>
                        <w:szCs w:val="24"/>
                        <w:highlight w:val="none"/>
                      </w:rPr>
                      <m:t>max</m:t>
                    </m:r>
                  </m:sub>
                </m:sSub>
              </m:sub>
            </m:sSub>
            <m:r>
              <w:rPr>
                <w:rFonts w:ascii="Cambria Math" w:cs="Times New Roman" w:hAnsi="Cambria Math"/>
                <w:color w:val="auto"/>
                <w:szCs w:val="24"/>
                <w:highlight w:val="none"/>
              </w:rPr>
              <m:t>−</m:t>
            </m:r>
            <m:sSub>
              <m:sSubPr>
                <m:ctrlPr>
                  <w:rPr>
                    <w:rFonts w:ascii="Cambria Math" w:cs="Times New Roman" w:hAnsi="Cambria Math"/>
                    <w:color w:val="auto"/>
                    <w:szCs w:val="24"/>
                  </w:rPr>
                </m:ctrlPr>
              </m:sSubPr>
              <m:e>
                <m:r>
                  <w:rPr>
                    <w:rFonts w:ascii="Cambria Math" w:cs="Times New Roman" w:hAnsi="Cambria Math"/>
                    <w:color w:val="auto"/>
                    <w:szCs w:val="24"/>
                    <w:highlight w:val="none"/>
                  </w:rPr>
                  <m:t>F</m:t>
                </m:r>
              </m:e>
              <m:sub>
                <m:sSub>
                  <m:sSubPr>
                    <m:ctrlPr>
                      <w:rPr>
                        <w:rFonts w:ascii="Cambria Math" w:cs="Times New Roman" w:hAnsi="Cambria Math"/>
                        <w:color w:val="auto"/>
                        <w:szCs w:val="24"/>
                      </w:rPr>
                    </m:ctrlPr>
                  </m:sSubPr>
                  <m:e>
                    <m:r>
                      <w:rPr>
                        <w:rFonts w:ascii="Cambria Math" w:cs="Times New Roman" w:hAnsi="Cambria Math"/>
                        <w:color w:val="auto"/>
                        <w:szCs w:val="24"/>
                        <w:highlight w:val="none"/>
                      </w:rPr>
                      <m:t>e</m:t>
                    </m:r>
                  </m:e>
                  <m:sub>
                    <m:r>
                      <w:rPr>
                        <w:rFonts w:ascii="Cambria Math" w:cs="Times New Roman" w:hAnsi="Cambria Math"/>
                        <w:color w:val="auto"/>
                        <w:szCs w:val="24"/>
                        <w:highlight w:val="none"/>
                      </w:rPr>
                      <m:t>min</m:t>
                    </m:r>
                  </m:sub>
                </m:sSub>
              </m:sub>
            </m:sSub>
          </m:num>
          <m:den>
            <m:sSub>
              <m:sSubPr>
                <m:ctrlPr>
                  <w:rPr>
                    <w:rFonts w:ascii="Cambria Math" w:cs="Times New Roman" w:hAnsi="Cambria Math"/>
                    <w:color w:val="auto"/>
                    <w:szCs w:val="24"/>
                  </w:rPr>
                </m:ctrlPr>
              </m:sSubPr>
              <m:e>
                <m:r>
                  <w:rPr>
                    <w:rFonts w:ascii="Cambria Math" w:cs="Times New Roman" w:hAnsi="Cambria Math"/>
                    <w:color w:val="auto"/>
                    <w:szCs w:val="24"/>
                    <w:highlight w:val="none"/>
                  </w:rPr>
                  <m:t>F</m:t>
                </m:r>
              </m:e>
              <m:sub>
                <m:sSub>
                  <m:sSubPr>
                    <m:ctrlPr>
                      <w:rPr>
                        <w:rFonts w:ascii="Cambria Math" w:cs="Times New Roman" w:hAnsi="Cambria Math"/>
                        <w:color w:val="auto"/>
                        <w:szCs w:val="24"/>
                      </w:rPr>
                    </m:ctrlPr>
                  </m:sSubPr>
                  <m:e>
                    <m:r>
                      <w:rPr>
                        <w:rFonts w:ascii="Cambria Math" w:cs="Times New Roman" w:hAnsi="Cambria Math"/>
                        <w:color w:val="auto"/>
                        <w:szCs w:val="24"/>
                        <w:highlight w:val="none"/>
                      </w:rPr>
                      <m:t>e</m:t>
                    </m:r>
                  </m:e>
                  <m:sub>
                    <m:r>
                      <w:rPr>
                        <w:rFonts w:ascii="Cambria Math" w:cs="Times New Roman" w:hAnsi="Cambria Math"/>
                        <w:color w:val="auto"/>
                        <w:szCs w:val="24"/>
                        <w:highlight w:val="none"/>
                      </w:rPr>
                      <m:t>max</m:t>
                    </m:r>
                  </m:sub>
                </m:sSub>
              </m:sub>
            </m:sSub>
            <m:r>
              <w:rPr>
                <w:rFonts w:ascii="Cambria Math" w:cs="Times New Roman" w:hAnsi="Cambria Math"/>
                <w:color w:val="auto"/>
                <w:szCs w:val="24"/>
                <w:highlight w:val="none"/>
              </w:rPr>
              <m:t>+</m:t>
            </m:r>
            <m:sSub>
              <m:sSubPr>
                <m:ctrlPr>
                  <w:rPr>
                    <w:rFonts w:ascii="Cambria Math" w:cs="Times New Roman" w:hAnsi="Cambria Math"/>
                    <w:color w:val="auto"/>
                    <w:szCs w:val="24"/>
                  </w:rPr>
                </m:ctrlPr>
              </m:sSubPr>
              <m:e>
                <m:r>
                  <w:rPr>
                    <w:rFonts w:ascii="Cambria Math" w:cs="Times New Roman" w:hAnsi="Cambria Math"/>
                    <w:color w:val="auto"/>
                    <w:szCs w:val="24"/>
                    <w:highlight w:val="none"/>
                  </w:rPr>
                  <m:t>F</m:t>
                </m:r>
              </m:e>
              <m:sub>
                <m:sSub>
                  <m:sSubPr>
                    <m:ctrlPr>
                      <w:rPr>
                        <w:rFonts w:ascii="Cambria Math" w:cs="Times New Roman" w:hAnsi="Cambria Math"/>
                        <w:color w:val="auto"/>
                        <w:szCs w:val="24"/>
                      </w:rPr>
                    </m:ctrlPr>
                  </m:sSubPr>
                  <m:e>
                    <m:r>
                      <w:rPr>
                        <w:rFonts w:ascii="Cambria Math" w:cs="Times New Roman" w:hAnsi="Cambria Math"/>
                        <w:color w:val="auto"/>
                        <w:szCs w:val="24"/>
                        <w:highlight w:val="none"/>
                      </w:rPr>
                      <m:t>e</m:t>
                    </m:r>
                  </m:e>
                  <m:sub>
                    <m:r>
                      <w:rPr>
                        <w:rFonts w:ascii="Cambria Math" w:cs="Times New Roman" w:hAnsi="Cambria Math"/>
                        <w:color w:val="auto"/>
                        <w:szCs w:val="24"/>
                        <w:highlight w:val="none"/>
                      </w:rPr>
                      <m:t>min</m:t>
                    </m:r>
                  </m:sub>
                </m:sSub>
              </m:sub>
            </m:sSub>
          </m:den>
        </m:f>
        <m:r>
          <w:rPr>
            <w:rFonts w:ascii="Cambria Math" w:cs="Times New Roman" w:hAnsi="Cambria Math"/>
            <w:color w:val="auto"/>
            <w:szCs w:val="24"/>
            <w:highlight w:val="none"/>
          </w:rPr>
          <m:t>×</m:t>
        </m:r>
        <m:r>
          <m:rPr>
            <m:sty m:val="p"/>
          </m:rPr>
          <w:rPr>
            <w:rFonts w:ascii="Cambria Math" w:cs="Times New Roman" w:hAnsi="Cambria Math"/>
            <w:color w:val="auto"/>
            <w:szCs w:val="24"/>
            <w:highlight w:val="none"/>
          </w:rPr>
          <m:t>100（%）</m:t>
        </m:r>
      </m:oMath>
      <w:r>
        <w:rPr>
          <w:rFonts w:cs="Times New Roman"/>
          <w:color w:val="auto"/>
          <w:highlight w:val="none"/>
        </w:rPr>
        <w:t xml:space="preserve">               （14.4.5）</w:t>
      </w:r>
    </w:p>
    <w:p>
      <w:pPr>
        <w:ind w:firstLineChars="0" w:firstLine="0"/>
        <w:rPr>
          <w:rFonts w:cs="Times New Roman"/>
          <w:color w:val="auto"/>
          <w:highlight w:val="none"/>
        </w:rPr>
      </w:pPr>
      <w:r>
        <w:rPr>
          <w:rFonts w:cs="Times New Roman"/>
          <w:color w:val="auto"/>
          <w:highlight w:val="none"/>
        </w:rPr>
        <w:t>式中：</w:t>
      </w:r>
      <m:oMath>
        <m:r>
          <m:rPr>
            <m:sty m:val="p"/>
          </m:rPr>
          <w:rPr>
            <w:rFonts w:ascii="Cambria Math" w:cs="Times New Roman" w:hAnsi="Cambria Math"/>
            <w:color w:val="auto"/>
            <w:highlight w:val="none"/>
          </w:rPr>
          <m:t>θ——</m:t>
        </m:r>
      </m:oMath>
      <w:r>
        <w:rPr>
          <w:rFonts w:cs="Times New Roman"/>
          <w:color w:val="auto"/>
          <w:highlight w:val="none"/>
        </w:rPr>
        <w:t>锚下有效预应力同束不均匀度（%）；</w:t>
      </w:r>
    </w:p>
    <w:p>
      <w:pPr>
        <w:ind w:firstLineChars="117" w:firstLine="283"/>
        <w:rPr>
          <w:rFonts w:cs="Times New Roman"/>
          <w:color w:val="auto"/>
          <w:highlight w:val="none"/>
        </w:rPr>
      </w:pPr>
      <m:oMath>
        <m:sSub>
          <m:sSubPr>
            <m:ctrlPr>
              <w:rPr>
                <w:rFonts w:ascii="Cambria Math" w:cs="Times New Roman" w:hAnsi="Cambria Math"/>
                <w:color w:val="auto"/>
                <w:szCs w:val="24"/>
              </w:rPr>
            </m:ctrlPr>
          </m:sSubPr>
          <m:e>
            <m:r>
              <w:rPr>
                <w:rFonts w:ascii="Cambria Math" w:cs="Times New Roman" w:hAnsi="Cambria Math"/>
                <w:color w:val="auto"/>
                <w:szCs w:val="24"/>
                <w:highlight w:val="none"/>
              </w:rPr>
              <m:t>F</m:t>
            </m:r>
          </m:e>
          <m:sub>
            <m:sSub>
              <m:sSubPr>
                <m:ctrlPr>
                  <w:rPr>
                    <w:rFonts w:ascii="Cambria Math" w:cs="Times New Roman" w:hAnsi="Cambria Math"/>
                    <w:color w:val="auto"/>
                    <w:szCs w:val="24"/>
                  </w:rPr>
                </m:ctrlPr>
              </m:sSubPr>
              <m:e>
                <m:r>
                  <w:rPr>
                    <w:rFonts w:ascii="Cambria Math" w:cs="Times New Roman" w:hAnsi="Cambria Math"/>
                    <w:color w:val="auto"/>
                    <w:szCs w:val="24"/>
                    <w:highlight w:val="none"/>
                  </w:rPr>
                  <m:t>e</m:t>
                </m:r>
              </m:e>
              <m:sub>
                <m:r>
                  <w:rPr>
                    <w:rFonts w:ascii="Cambria Math" w:cs="Times New Roman" w:hAnsi="Cambria Math"/>
                    <w:color w:val="auto"/>
                    <w:szCs w:val="24"/>
                    <w:highlight w:val="none"/>
                  </w:rPr>
                  <m:t>max</m:t>
                </m:r>
              </m:sub>
            </m:sSub>
          </m:sub>
        </m:sSub>
      </m:oMath>
      <w:r>
        <w:rPr>
          <w:rFonts w:cs="Times New Roman"/>
          <w:color w:val="auto"/>
          <w:highlight w:val="none"/>
        </w:rPr>
        <w:t>——同束中单根预应力筋锚下有效预应力最大检测值（kN）；</w:t>
      </w:r>
    </w:p>
    <w:p>
      <w:pPr>
        <w:ind w:firstLineChars="117" w:firstLine="283"/>
        <w:rPr>
          <w:rFonts w:cs="Times New Roman"/>
          <w:color w:val="auto"/>
          <w:highlight w:val="none"/>
        </w:rPr>
      </w:pPr>
      <m:oMath>
        <m:sSub>
          <m:sSubPr>
            <m:ctrlPr>
              <w:rPr>
                <w:rFonts w:ascii="Cambria Math" w:cs="Times New Roman" w:hAnsi="Cambria Math"/>
                <w:color w:val="auto"/>
                <w:szCs w:val="24"/>
              </w:rPr>
            </m:ctrlPr>
          </m:sSubPr>
          <m:e>
            <m:r>
              <w:rPr>
                <w:rFonts w:ascii="Cambria Math" w:cs="Times New Roman" w:hAnsi="Cambria Math"/>
                <w:color w:val="auto"/>
                <w:szCs w:val="24"/>
                <w:highlight w:val="none"/>
              </w:rPr>
              <m:t>F</m:t>
            </m:r>
          </m:e>
          <m:sub>
            <m:sSub>
              <m:sSubPr>
                <m:ctrlPr>
                  <w:rPr>
                    <w:rFonts w:ascii="Cambria Math" w:cs="Times New Roman" w:hAnsi="Cambria Math"/>
                    <w:color w:val="auto"/>
                    <w:szCs w:val="24"/>
                  </w:rPr>
                </m:ctrlPr>
              </m:sSubPr>
              <m:e>
                <m:r>
                  <w:rPr>
                    <w:rFonts w:ascii="Cambria Math" w:cs="Times New Roman" w:hAnsi="Cambria Math"/>
                    <w:color w:val="auto"/>
                    <w:szCs w:val="24"/>
                    <w:highlight w:val="none"/>
                  </w:rPr>
                  <m:t>e</m:t>
                </m:r>
              </m:e>
              <m:sub>
                <m:r>
                  <w:rPr>
                    <w:rFonts w:ascii="Cambria Math" w:cs="Times New Roman" w:hAnsi="Cambria Math"/>
                    <w:color w:val="auto"/>
                    <w:szCs w:val="24"/>
                    <w:highlight w:val="none"/>
                  </w:rPr>
                  <m:t>min</m:t>
                </m:r>
              </m:sub>
            </m:sSub>
          </m:sub>
        </m:sSub>
      </m:oMath>
      <w:r>
        <w:rPr>
          <w:rFonts w:cs="Times New Roman"/>
          <w:color w:val="auto"/>
          <w:highlight w:val="none"/>
        </w:rPr>
        <w:t>——同束中单根预应力筋锚下有效预应力最小检测值（kN）。</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14.4.6　</w:t>
      </w:r>
      <w:r>
        <w:rPr>
          <w:rFonts w:cs="Times New Roman"/>
          <w:color w:val="auto"/>
          <w:highlight w:val="none"/>
        </w:rPr>
        <w:t>同断面不均匀度应按式</w:t>
      </w:r>
      <w:r>
        <w:rPr>
          <w:rFonts w:cs="Times New Roman" w:hint="eastAsia"/>
          <w:color w:val="auto"/>
          <w:highlight w:val="none"/>
        </w:rPr>
        <w:t>（14.4.6）</w:t>
      </w:r>
      <w:r>
        <w:rPr>
          <w:rFonts w:cs="Times New Roman"/>
          <w:color w:val="auto"/>
          <w:highlight w:val="none"/>
        </w:rPr>
        <w:t>计算：</w:t>
      </w:r>
    </w:p>
    <w:p>
      <w:pPr>
        <w:ind w:firstLineChars="0" w:firstLine="0"/>
        <w:jc w:val="right"/>
        <w:rPr>
          <w:rFonts w:cs="Times New Roman"/>
          <w:color w:val="auto"/>
          <w:highlight w:val="none"/>
        </w:rPr>
      </w:pPr>
      <m:oMath>
        <m:r>
          <w:rPr>
            <w:rFonts w:ascii="Cambria Math" w:cs="Times New Roman" w:hAnsi="Cambria Math"/>
            <w:color w:val="auto"/>
            <w:highlight w:val="none"/>
          </w:rPr>
          <m:t>γ=</m:t>
        </m:r>
        <m:f>
          <m:fPr>
            <m:ctrlPr>
              <w:rPr>
                <w:rFonts w:ascii="Cambria Math" w:cs="Times New Roman" w:hAnsi="Cambria Math"/>
                <w:color w:val="auto"/>
              </w:rPr>
            </m:ctrlPr>
          </m:fPr>
          <m:num>
            <m:r>
              <w:rPr>
                <w:rFonts w:ascii="Cambria Math" w:cs="Times New Roman" w:hAnsi="Cambria Math"/>
                <w:color w:val="auto"/>
                <w:highlight w:val="none"/>
              </w:rPr>
              <m:t xml:space="preserve"> </m:t>
            </m:r>
            <m:sSub>
              <m:sSubPr>
                <m:ctrlPr>
                  <w:rPr>
                    <w:rFonts w:ascii="Cambria Math" w:cs="Times New Roman" w:hAnsi="Cambria Math"/>
                    <w:color w:val="auto"/>
                  </w:rPr>
                </m:ctrlPr>
              </m:sSubPr>
              <m:e>
                <m:sSup>
                  <m:sSupPr>
                    <m:ctrlPr>
                      <w:rPr>
                        <w:rFonts w:ascii="Cambria Math" w:cs="Times New Roman" w:hAnsi="Cambria Math"/>
                        <w:color w:val="auto"/>
                      </w:rPr>
                    </m:ctrlPr>
                  </m:sSupPr>
                  <m:e>
                    <m:r>
                      <w:rPr>
                        <w:rFonts w:ascii="Cambria Math" w:cs="Times New Roman" w:hAnsi="Cambria Math"/>
                        <w:color w:val="auto"/>
                        <w:highlight w:val="none"/>
                      </w:rPr>
                      <m:t>F</m:t>
                    </m:r>
                  </m:e>
                  <m:sup>
                    <m:r>
                      <w:rPr>
                        <w:rFonts w:ascii="Cambria Math" w:cs="Times New Roman" w:hAnsi="Cambria Math"/>
                        <w:color w:val="auto"/>
                        <w:highlight w:val="none"/>
                      </w:rPr>
                      <m:t>’</m:t>
                    </m:r>
                  </m:sup>
                </m:sSup>
              </m:e>
              <m:sub>
                <m:sSub>
                  <m:sSubPr>
                    <m:ctrlPr>
                      <w:rPr>
                        <w:rFonts w:ascii="Cambria Math" w:cs="Times New Roman" w:hAnsi="Cambria Math"/>
                        <w:color w:val="auto"/>
                      </w:rPr>
                    </m:ctrlPr>
                  </m:sSubPr>
                  <m:e>
                    <m:r>
                      <w:rPr>
                        <w:rFonts w:ascii="Cambria Math" w:cs="Times New Roman" w:hAnsi="Cambria Math"/>
                        <w:color w:val="auto"/>
                        <w:highlight w:val="none"/>
                      </w:rPr>
                      <m:t>e</m:t>
                    </m:r>
                  </m:e>
                  <m:sub>
                    <m:r>
                      <w:rPr>
                        <w:rFonts w:ascii="Cambria Math" w:cs="Times New Roman" w:hAnsi="Cambria Math"/>
                        <w:color w:val="auto"/>
                        <w:highlight w:val="none"/>
                      </w:rPr>
                      <m:t>max</m:t>
                    </m:r>
                  </m:sub>
                </m:sSub>
              </m:sub>
            </m:sSub>
            <m:r>
              <w:rPr>
                <w:rFonts w:ascii="Cambria Math" w:cs="Times New Roman" w:hAnsi="Cambria Math"/>
                <w:color w:val="auto"/>
                <w:highlight w:val="none"/>
              </w:rPr>
              <m:t xml:space="preserve">− </m:t>
            </m:r>
            <m:sSub>
              <m:sSubPr>
                <m:ctrlPr>
                  <w:rPr>
                    <w:rFonts w:ascii="Cambria Math" w:cs="Times New Roman" w:hAnsi="Cambria Math"/>
                    <w:color w:val="auto"/>
                  </w:rPr>
                </m:ctrlPr>
              </m:sSubPr>
              <m:e>
                <m:sSup>
                  <m:sSupPr>
                    <m:ctrlPr>
                      <w:rPr>
                        <w:rFonts w:ascii="Cambria Math" w:cs="Times New Roman" w:hAnsi="Cambria Math"/>
                        <w:color w:val="auto"/>
                      </w:rPr>
                    </m:ctrlPr>
                  </m:sSupPr>
                  <m:e>
                    <m:r>
                      <w:rPr>
                        <w:rFonts w:ascii="Cambria Math" w:cs="Times New Roman" w:hAnsi="Cambria Math"/>
                        <w:color w:val="auto"/>
                        <w:highlight w:val="none"/>
                      </w:rPr>
                      <m:t>F</m:t>
                    </m:r>
                  </m:e>
                  <m:sup>
                    <m:r>
                      <w:rPr>
                        <w:rFonts w:ascii="Cambria Math" w:cs="Times New Roman" w:hAnsi="Cambria Math"/>
                        <w:color w:val="auto"/>
                        <w:highlight w:val="none"/>
                      </w:rPr>
                      <m:t>’</m:t>
                    </m:r>
                  </m:sup>
                </m:sSup>
              </m:e>
              <m:sub>
                <m:sSub>
                  <m:sSubPr>
                    <m:ctrlPr>
                      <w:rPr>
                        <w:rFonts w:ascii="Cambria Math" w:cs="Times New Roman" w:hAnsi="Cambria Math"/>
                        <w:color w:val="auto"/>
                      </w:rPr>
                    </m:ctrlPr>
                  </m:sSubPr>
                  <m:e>
                    <m:r>
                      <w:rPr>
                        <w:rFonts w:ascii="Cambria Math" w:cs="Times New Roman" w:hAnsi="Cambria Math"/>
                        <w:color w:val="auto"/>
                        <w:highlight w:val="none"/>
                      </w:rPr>
                      <m:t>e</m:t>
                    </m:r>
                  </m:e>
                  <m:sub>
                    <m:r>
                      <w:rPr>
                        <w:rFonts w:ascii="Cambria Math" w:cs="Times New Roman" w:hAnsi="Cambria Math"/>
                        <w:color w:val="auto"/>
                        <w:highlight w:val="none"/>
                      </w:rPr>
                      <m:t>min</m:t>
                    </m:r>
                  </m:sub>
                </m:sSub>
              </m:sub>
            </m:sSub>
          </m:num>
          <m:den>
            <m:sSub>
              <m:sSubPr>
                <m:ctrlPr>
                  <w:rPr>
                    <w:rFonts w:ascii="Cambria Math" w:cs="Times New Roman" w:hAnsi="Cambria Math"/>
                    <w:color w:val="auto"/>
                  </w:rPr>
                </m:ctrlPr>
              </m:sSubPr>
              <m:e>
                <m:sSup>
                  <m:sSupPr>
                    <m:ctrlPr>
                      <w:rPr>
                        <w:rFonts w:ascii="Cambria Math" w:cs="Times New Roman" w:hAnsi="Cambria Math"/>
                        <w:color w:val="auto"/>
                      </w:rPr>
                    </m:ctrlPr>
                  </m:sSupPr>
                  <m:e>
                    <m:r>
                      <w:rPr>
                        <w:rFonts w:ascii="Cambria Math" w:cs="Times New Roman" w:hAnsi="Cambria Math"/>
                        <w:color w:val="auto"/>
                        <w:highlight w:val="none"/>
                      </w:rPr>
                      <m:t>F</m:t>
                    </m:r>
                  </m:e>
                  <m:sup>
                    <m:r>
                      <w:rPr>
                        <w:rFonts w:ascii="Cambria Math" w:cs="Times New Roman" w:hAnsi="Cambria Math"/>
                        <w:color w:val="auto"/>
                        <w:highlight w:val="none"/>
                      </w:rPr>
                      <m:t>’</m:t>
                    </m:r>
                  </m:sup>
                </m:sSup>
              </m:e>
              <m:sub>
                <m:sSub>
                  <m:sSubPr>
                    <m:ctrlPr>
                      <w:rPr>
                        <w:rFonts w:ascii="Cambria Math" w:cs="Times New Roman" w:hAnsi="Cambria Math"/>
                        <w:color w:val="auto"/>
                      </w:rPr>
                    </m:ctrlPr>
                  </m:sSubPr>
                  <m:e>
                    <m:r>
                      <w:rPr>
                        <w:rFonts w:ascii="Cambria Math" w:cs="Times New Roman" w:hAnsi="Cambria Math"/>
                        <w:color w:val="auto"/>
                        <w:highlight w:val="none"/>
                      </w:rPr>
                      <m:t>e</m:t>
                    </m:r>
                  </m:e>
                  <m:sub>
                    <m:r>
                      <w:rPr>
                        <w:rFonts w:ascii="Cambria Math" w:cs="Times New Roman" w:hAnsi="Cambria Math"/>
                        <w:color w:val="auto"/>
                        <w:highlight w:val="none"/>
                      </w:rPr>
                      <m:t>max</m:t>
                    </m:r>
                  </m:sub>
                </m:sSub>
              </m:sub>
            </m:sSub>
            <m:r>
              <w:rPr>
                <w:rFonts w:ascii="Cambria Math" w:cs="Times New Roman" w:hAnsi="Cambria Math"/>
                <w:color w:val="auto"/>
                <w:highlight w:val="none"/>
              </w:rPr>
              <m:t>+</m:t>
            </m:r>
            <m:sSub>
              <m:sSubPr>
                <m:ctrlPr>
                  <w:rPr>
                    <w:rFonts w:ascii="Cambria Math" w:cs="Times New Roman" w:hAnsi="Cambria Math"/>
                    <w:color w:val="auto"/>
                  </w:rPr>
                </m:ctrlPr>
              </m:sSubPr>
              <m:e>
                <m:sSup>
                  <m:sSupPr>
                    <m:ctrlPr>
                      <w:rPr>
                        <w:rFonts w:ascii="Cambria Math" w:cs="Times New Roman" w:hAnsi="Cambria Math"/>
                        <w:color w:val="auto"/>
                      </w:rPr>
                    </m:ctrlPr>
                  </m:sSupPr>
                  <m:e>
                    <m:r>
                      <w:rPr>
                        <w:rFonts w:ascii="Cambria Math" w:cs="Times New Roman" w:hAnsi="Cambria Math"/>
                        <w:color w:val="auto"/>
                        <w:highlight w:val="none"/>
                      </w:rPr>
                      <m:t>F</m:t>
                    </m:r>
                  </m:e>
                  <m:sup>
                    <m:r>
                      <w:rPr>
                        <w:rFonts w:ascii="Cambria Math" w:cs="Times New Roman" w:hAnsi="Cambria Math"/>
                        <w:color w:val="auto"/>
                        <w:highlight w:val="none"/>
                      </w:rPr>
                      <m:t>’</m:t>
                    </m:r>
                  </m:sup>
                </m:sSup>
              </m:e>
              <m:sub>
                <m:sSub>
                  <m:sSubPr>
                    <m:ctrlPr>
                      <w:rPr>
                        <w:rFonts w:ascii="Cambria Math" w:cs="Times New Roman" w:hAnsi="Cambria Math"/>
                        <w:color w:val="auto"/>
                      </w:rPr>
                    </m:ctrlPr>
                  </m:sSubPr>
                  <m:e>
                    <m:r>
                      <w:rPr>
                        <w:rFonts w:ascii="Cambria Math" w:cs="Times New Roman" w:hAnsi="Cambria Math"/>
                        <w:color w:val="auto"/>
                        <w:highlight w:val="none"/>
                      </w:rPr>
                      <m:t>e</m:t>
                    </m:r>
                  </m:e>
                  <m:sub>
                    <m:r>
                      <w:rPr>
                        <w:rFonts w:ascii="Cambria Math" w:cs="Times New Roman" w:hAnsi="Cambria Math"/>
                        <w:color w:val="auto"/>
                        <w:highlight w:val="none"/>
                      </w:rPr>
                      <m:t>min</m:t>
                    </m:r>
                  </m:sub>
                </m:sSub>
              </m:sub>
            </m:sSub>
          </m:den>
        </m:f>
        <m:r>
          <w:rPr>
            <w:rFonts w:ascii="Cambria Math" w:cs="Times New Roman" w:hAnsi="Cambria Math"/>
            <w:color w:val="auto"/>
            <w:highlight w:val="none"/>
          </w:rPr>
          <m:t>×</m:t>
        </m:r>
        <m:r>
          <m:rPr>
            <m:sty m:val="p"/>
          </m:rPr>
          <w:rPr>
            <w:rFonts w:ascii="Cambria Math" w:cs="Times New Roman" w:hAnsi="Cambria Math"/>
            <w:color w:val="auto"/>
            <w:highlight w:val="none"/>
          </w:rPr>
          <m:t>100（%）</m:t>
        </m:r>
      </m:oMath>
      <w:r>
        <w:rPr>
          <w:rFonts w:cs="Times New Roman"/>
          <w:color w:val="auto"/>
          <w:highlight w:val="none"/>
        </w:rPr>
        <w:t xml:space="preserve">             （14.4.6）</w:t>
      </w:r>
    </w:p>
    <w:p>
      <w:pPr>
        <w:ind w:firstLineChars="0" w:firstLine="0"/>
        <w:rPr>
          <w:rFonts w:cs="Times New Roman"/>
          <w:color w:val="auto"/>
          <w:highlight w:val="none"/>
        </w:rPr>
      </w:pPr>
      <w:r>
        <w:rPr>
          <w:rFonts w:cs="Times New Roman"/>
          <w:color w:val="auto"/>
          <w:highlight w:val="none"/>
        </w:rPr>
        <w:t>式中：</w:t>
      </w:r>
      <m:oMath>
        <m:r>
          <w:rPr>
            <w:rFonts w:ascii="Cambria Math" w:cs="Times New Roman" w:hAnsi="Cambria Math"/>
            <w:color w:val="auto"/>
            <w:highlight w:val="none"/>
          </w:rPr>
          <m:t>γ</m:t>
        </m:r>
      </m:oMath>
      <w:r>
        <w:rPr>
          <w:rFonts w:cs="Times New Roman" w:hint="eastAsia"/>
          <w:color w:val="auto"/>
          <w:highlight w:val="none"/>
        </w:rPr>
        <w:t xml:space="preserve"> </w:t>
      </w:r>
      <w:r>
        <w:rPr>
          <w:rFonts w:cs="Times New Roman"/>
          <w:color w:val="auto"/>
          <w:highlight w:val="none"/>
        </w:rPr>
        <w:t>——同断面不均匀度；</w:t>
      </w:r>
    </w:p>
    <w:p>
      <w:pPr>
        <w:ind w:firstLineChars="117" w:firstLine="283"/>
        <w:rPr>
          <w:rFonts w:cs="Times New Roman"/>
          <w:color w:val="auto"/>
          <w:highlight w:val="none"/>
        </w:rPr>
      </w:pPr>
      <m:oMath>
        <m:sSub>
          <m:sSubPr>
            <m:ctrlPr>
              <w:rPr>
                <w:rFonts w:ascii="Cambria Math" w:cs="Times New Roman" w:hAnsi="Cambria Math"/>
                <w:color w:val="auto"/>
              </w:rPr>
            </m:ctrlPr>
          </m:sSubPr>
          <m:e>
            <m:sSub>
              <m:sSubPr>
                <m:ctrlPr>
                  <w:rPr>
                    <w:rFonts w:ascii="Cambria Math" w:cs="Times New Roman" w:hAnsi="Cambria Math"/>
                    <w:color w:val="auto"/>
                  </w:rPr>
                </m:ctrlPr>
              </m:sSubPr>
              <m:e>
                <m:sSup>
                  <m:sSupPr>
                    <m:ctrlPr>
                      <w:rPr>
                        <w:rFonts w:ascii="Cambria Math" w:cs="Times New Roman" w:hAnsi="Cambria Math"/>
                        <w:color w:val="auto"/>
                      </w:rPr>
                    </m:ctrlPr>
                  </m:sSupPr>
                  <m:e>
                    <m:r>
                      <w:rPr>
                        <w:rFonts w:ascii="Cambria Math" w:cs="Times New Roman" w:hAnsi="Cambria Math"/>
                        <w:color w:val="auto"/>
                        <w:highlight w:val="none"/>
                      </w:rPr>
                      <m:t>F</m:t>
                    </m:r>
                  </m:e>
                  <m:sup>
                    <m:r>
                      <w:rPr>
                        <w:rFonts w:ascii="Cambria Math" w:cs="Times New Roman" w:hAnsi="Cambria Math"/>
                        <w:color w:val="auto"/>
                        <w:highlight w:val="none"/>
                      </w:rPr>
                      <m:t>’</m:t>
                    </m:r>
                  </m:sup>
                </m:sSup>
              </m:e>
              <m:sub>
                <m:sSub>
                  <m:sSubPr>
                    <m:ctrlPr>
                      <w:rPr>
                        <w:rFonts w:ascii="Cambria Math" w:cs="Times New Roman" w:hAnsi="Cambria Math"/>
                        <w:color w:val="auto"/>
                      </w:rPr>
                    </m:ctrlPr>
                  </m:sSubPr>
                  <m:e>
                    <m:r>
                      <w:rPr>
                        <w:rFonts w:ascii="Cambria Math" w:cs="Times New Roman" w:hAnsi="Cambria Math"/>
                        <w:color w:val="auto"/>
                        <w:highlight w:val="none"/>
                      </w:rPr>
                      <m:t>e</m:t>
                    </m:r>
                  </m:e>
                  <m:sub>
                    <m:r>
                      <w:rPr>
                        <w:rFonts w:ascii="Cambria Math" w:cs="Times New Roman" w:hAnsi="Cambria Math"/>
                        <w:color w:val="auto"/>
                        <w:highlight w:val="none"/>
                      </w:rPr>
                      <m:t>max</m:t>
                    </m:r>
                  </m:sub>
                </m:sSub>
              </m:sub>
            </m:sSub>
          </m:e>
          <m:sub/>
        </m:sSub>
      </m:oMath>
      <w:r>
        <w:rPr>
          <w:rFonts w:cs="Times New Roman"/>
          <w:color w:val="auto"/>
          <w:highlight w:val="none"/>
        </w:rPr>
        <w:t>——同断面中各孔道束实测锚下有效预应力平均值最大值（kN）；</w:t>
      </w:r>
    </w:p>
    <w:p>
      <w:pPr>
        <w:ind w:firstLineChars="117" w:firstLine="283"/>
        <w:rPr>
          <w:rFonts w:cs="Times New Roman"/>
          <w:color w:val="auto"/>
          <w:highlight w:val="none"/>
        </w:rPr>
      </w:pPr>
      <m:oMath>
        <m:sSub>
          <m:sSubPr>
            <m:ctrlPr>
              <w:rPr>
                <w:rFonts w:ascii="Cambria Math" w:cs="Times New Roman" w:hAnsi="Cambria Math"/>
                <w:color w:val="auto"/>
              </w:rPr>
            </m:ctrlPr>
          </m:sSubPr>
          <m:e>
            <m:sSup>
              <m:sSupPr>
                <m:ctrlPr>
                  <w:rPr>
                    <w:rFonts w:ascii="Cambria Math" w:cs="Times New Roman" w:hAnsi="Cambria Math"/>
                    <w:color w:val="auto"/>
                  </w:rPr>
                </m:ctrlPr>
              </m:sSupPr>
              <m:e>
                <m:r>
                  <w:rPr>
                    <w:rFonts w:ascii="Cambria Math" w:cs="Times New Roman" w:hAnsi="Cambria Math"/>
                    <w:color w:val="auto"/>
                    <w:highlight w:val="none"/>
                  </w:rPr>
                  <m:t>F</m:t>
                </m:r>
              </m:e>
              <m:sup>
                <m:r>
                  <w:rPr>
                    <w:rFonts w:ascii="Cambria Math" w:cs="Times New Roman" w:hAnsi="Cambria Math"/>
                    <w:color w:val="auto"/>
                    <w:highlight w:val="none"/>
                  </w:rPr>
                  <m:t>’</m:t>
                </m:r>
              </m:sup>
            </m:sSup>
          </m:e>
          <m:sub>
            <m:sSub>
              <m:sSubPr>
                <m:ctrlPr>
                  <w:rPr>
                    <w:rFonts w:ascii="Cambria Math" w:cs="Times New Roman" w:hAnsi="Cambria Math"/>
                    <w:color w:val="auto"/>
                  </w:rPr>
                </m:ctrlPr>
              </m:sSubPr>
              <m:e>
                <m:r>
                  <w:rPr>
                    <w:rFonts w:ascii="Cambria Math" w:cs="Times New Roman" w:hAnsi="Cambria Math"/>
                    <w:color w:val="auto"/>
                    <w:highlight w:val="none"/>
                  </w:rPr>
                  <m:t>e</m:t>
                </m:r>
              </m:e>
              <m:sub>
                <m:r>
                  <w:rPr>
                    <w:rFonts w:ascii="Cambria Math" w:cs="Times New Roman" w:hAnsi="Cambria Math"/>
                    <w:color w:val="auto"/>
                    <w:highlight w:val="none"/>
                  </w:rPr>
                  <m:t>min</m:t>
                </m:r>
              </m:sub>
            </m:sSub>
          </m:sub>
        </m:sSub>
      </m:oMath>
      <w:r>
        <w:rPr>
          <w:rFonts w:cs="Times New Roman"/>
          <w:color w:val="auto"/>
          <w:highlight w:val="none"/>
        </w:rPr>
        <w:t>——同断面中各孔道束实测锚下有效预应力平均值最小值（kN）。</w:t>
      </w:r>
    </w:p>
    <w:p>
      <w:pPr>
        <w:pStyle w:val="19"/>
        <w:ind w:firstLineChars="0" w:firstLine="0"/>
        <w:rPr>
          <w:b/>
          <w:bCs/>
          <w:color w:val="auto"/>
          <w:shd w:val="clear" w:color="FFFFFF" w:fill="D9D9D9"/>
          <w:lang w:val="en-US"/>
          <w:highlight w:val="none"/>
        </w:rPr>
      </w:pPr>
      <w:r>
        <w:rPr>
          <w:rFonts w:hint="eastAsia"/>
          <w:b/>
          <w:bCs/>
          <w:color w:val="auto"/>
          <w:shd w:val="clear" w:color="FFFFFF" w:fill="D9D9D9"/>
          <w:lang w:val="en-US"/>
          <w:highlight w:val="none"/>
        </w:rPr>
        <w:t>条文说明</w:t>
      </w:r>
      <w:r>
        <w:rPr>
          <w:b/>
          <w:bCs/>
          <w:color w:val="auto"/>
          <w:shd w:val="clear" w:color="FFFFFF" w:fill="D9D9D9"/>
          <w:lang w:val="en-US"/>
          <w:highlight w:val="none"/>
        </w:rPr>
        <w:t>：</w:t>
      </w:r>
      <w:r>
        <w:rPr>
          <w:rFonts w:hint="eastAsia"/>
          <w:b/>
          <w:bCs/>
          <w:color w:val="auto"/>
          <w:shd w:val="clear" w:color="FFFFFF" w:fill="D9D9D9"/>
          <w:lang w:val="en-US"/>
          <w:highlight w:val="none"/>
        </w:rPr>
        <w:t xml:space="preserve">14.4.6 </w:t>
      </w:r>
      <w:r>
        <w:rPr>
          <w:rFonts w:hint="eastAsia"/>
          <w:color w:val="auto"/>
          <w:shd w:val="clear" w:color="FFFFFF" w:fill="D9D9D9"/>
          <w:lang w:val="en-US"/>
          <w:highlight w:val="none"/>
        </w:rPr>
        <w:t>应对</w:t>
      </w:r>
      <w:r>
        <w:rPr>
          <w:color w:val="auto"/>
          <w:shd w:val="clear" w:color="FFFFFF" w:fill="D9D9D9"/>
          <w:lang w:val="en-US"/>
          <w:highlight w:val="none"/>
        </w:rPr>
        <w:t>对</w:t>
      </w:r>
      <w:r>
        <w:rPr>
          <w:rFonts w:hint="eastAsia"/>
          <w:color w:val="auto"/>
          <w:shd w:val="clear" w:color="FFFFFF" w:fill="D9D9D9"/>
          <w:lang w:val="en-US"/>
          <w:highlight w:val="none"/>
        </w:rPr>
        <w:t>称</w:t>
      </w:r>
      <w:r>
        <w:rPr>
          <w:color w:val="auto"/>
          <w:shd w:val="clear" w:color="FFFFFF" w:fill="D9D9D9"/>
          <w:lang w:val="en-US"/>
          <w:highlight w:val="none"/>
        </w:rPr>
        <w:t>孔道进行</w:t>
      </w:r>
      <w:r>
        <w:rPr>
          <w:rFonts w:hint="eastAsia"/>
          <w:color w:val="auto"/>
          <w:shd w:val="clear" w:color="FFFFFF" w:fill="D9D9D9"/>
          <w:lang w:val="en-US"/>
          <w:highlight w:val="none"/>
        </w:rPr>
        <w:t>同断</w:t>
      </w:r>
      <w:r>
        <w:rPr>
          <w:color w:val="auto"/>
          <w:shd w:val="clear" w:color="FFFFFF" w:fill="D9D9D9"/>
          <w:lang w:val="en-US"/>
          <w:highlight w:val="none"/>
        </w:rPr>
        <w:t>面不均匀度</w:t>
      </w:r>
      <w:r>
        <w:rPr>
          <w:rFonts w:hint="eastAsia"/>
          <w:color w:val="auto"/>
          <w:shd w:val="clear" w:color="FFFFFF" w:fill="D9D9D9"/>
          <w:lang w:val="en-US"/>
          <w:highlight w:val="none"/>
        </w:rPr>
        <w:t>计算</w:t>
      </w:r>
      <w:r>
        <w:rPr>
          <w:color w:val="auto"/>
          <w:shd w:val="clear" w:color="FFFFFF" w:fill="D9D9D9"/>
          <w:lang w:val="en-US"/>
          <w:highlight w:val="none"/>
        </w:rPr>
        <w:t>与评价</w:t>
      </w:r>
      <w:r>
        <w:rPr>
          <w:rFonts w:hint="eastAsia"/>
          <w:color w:val="auto"/>
          <w:shd w:val="clear" w:color="FFFFFF" w:fill="D9D9D9"/>
          <w:lang w:val="en-US"/>
          <w:highlight w:val="none"/>
        </w:rPr>
        <w:t>。</w:t>
      </w:r>
    </w:p>
    <w:p>
      <w:pPr>
        <w:ind w:firstLineChars="117" w:firstLine="283"/>
        <w:rPr>
          <w:rFonts w:cs="Times New Roman"/>
          <w:color w:val="auto"/>
          <w:highlight w:val="none"/>
        </w:rPr>
      </w:pP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14.4.7　</w:t>
      </w:r>
      <w:r>
        <w:rPr>
          <w:rFonts w:cs="Times New Roman"/>
          <w:color w:val="auto"/>
          <w:highlight w:val="none"/>
        </w:rPr>
        <w:t>锚下有效预应力标准值应由设计单位给出。当无设计锚下有效预应力标准值时，宜采用标准试验检测得出</w:t>
      </w:r>
      <w:r>
        <w:rPr>
          <w:rFonts w:cs="Times New Roman" w:hint="eastAsia"/>
          <w:color w:val="auto"/>
          <w:highlight w:val="none"/>
        </w:rPr>
        <w:t>的</w:t>
      </w:r>
      <w:r>
        <w:rPr>
          <w:rFonts w:cs="Times New Roman"/>
          <w:color w:val="auto"/>
          <w:highlight w:val="none"/>
        </w:rPr>
        <w:t>试验值确定，或通过理论计算得出计算值。</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14.4.8　</w:t>
      </w:r>
      <w:r>
        <w:rPr>
          <w:rFonts w:cs="Times New Roman"/>
          <w:color w:val="auto"/>
          <w:highlight w:val="none"/>
        </w:rPr>
        <w:t xml:space="preserve">锚下有效预应力标准值的试验值确定应符合下列规定： </w:t>
      </w:r>
    </w:p>
    <w:p>
      <w:pPr>
        <w:rPr>
          <w:rFonts w:cs="Times New Roman"/>
          <w:color w:val="auto"/>
          <w:highlight w:val="none"/>
        </w:rPr>
      </w:pPr>
      <w:r>
        <w:rPr>
          <w:rFonts w:cs="Times New Roman"/>
          <w:b/>
          <w:bCs/>
          <w:color w:val="auto"/>
          <w:kern w:val="0"/>
          <w:szCs w:val="21"/>
          <w:highlight w:val="none"/>
        </w:rPr>
        <w:t>1　</w:t>
      </w:r>
      <w:r>
        <w:rPr>
          <w:rFonts w:cs="Times New Roman"/>
          <w:color w:val="auto"/>
          <w:highlight w:val="none"/>
        </w:rPr>
        <w:t>标准试验梁应按设计图纸制作；</w:t>
      </w:r>
    </w:p>
    <w:p>
      <w:pPr>
        <w:rPr>
          <w:rFonts w:cs="Times New Roman"/>
          <w:color w:val="auto"/>
          <w:highlight w:val="none"/>
        </w:rPr>
      </w:pPr>
      <w:r>
        <w:rPr>
          <w:rFonts w:cs="Times New Roman"/>
          <w:b/>
          <w:bCs/>
          <w:color w:val="auto"/>
          <w:kern w:val="0"/>
          <w:szCs w:val="21"/>
          <w:highlight w:val="none"/>
        </w:rPr>
        <w:t>2　</w:t>
      </w:r>
      <w:r>
        <w:rPr>
          <w:rFonts w:cs="Times New Roman"/>
          <w:color w:val="auto"/>
          <w:highlight w:val="none"/>
        </w:rPr>
        <w:t>锚下有效预应力值可在预应力筋锚下安装测力传感器，通过标准张拉试验读取；</w:t>
      </w:r>
    </w:p>
    <w:p>
      <w:pPr>
        <w:rPr>
          <w:rFonts w:cs="Times New Roman"/>
          <w:color w:val="auto"/>
          <w:highlight w:val="none"/>
        </w:rPr>
      </w:pPr>
      <w:r>
        <w:rPr>
          <w:rFonts w:cs="Times New Roman"/>
          <w:b/>
          <w:bCs/>
          <w:color w:val="auto"/>
          <w:kern w:val="0"/>
          <w:szCs w:val="21"/>
          <w:highlight w:val="none"/>
        </w:rPr>
        <w:t>3　</w:t>
      </w:r>
      <w:r>
        <w:rPr>
          <w:rFonts w:cs="Times New Roman"/>
          <w:color w:val="auto"/>
          <w:highlight w:val="none"/>
        </w:rPr>
        <w:t>标准试验不应少于3组，标准试验得出的最大试验值、最小试验值与算术平均值的偏差不应大于1%；</w:t>
      </w:r>
    </w:p>
    <w:p>
      <w:pPr>
        <w:rPr>
          <w:rFonts w:cs="Times New Roman"/>
          <w:color w:val="auto"/>
          <w:highlight w:val="none"/>
        </w:rPr>
      </w:pPr>
      <w:r>
        <w:rPr>
          <w:rFonts w:cs="Times New Roman"/>
          <w:b/>
          <w:bCs/>
          <w:color w:val="auto"/>
          <w:kern w:val="0"/>
          <w:szCs w:val="21"/>
          <w:highlight w:val="none"/>
        </w:rPr>
        <w:t>4　</w:t>
      </w:r>
      <w:r>
        <w:rPr>
          <w:rFonts w:cs="Times New Roman"/>
          <w:color w:val="auto"/>
          <w:highlight w:val="none"/>
        </w:rPr>
        <w:t>锚下有效预应力标准值应取标准试验的锚下有效预应力算术平均值。</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14.4.9　</w:t>
      </w:r>
      <w:r>
        <w:rPr>
          <w:rFonts w:cs="Times New Roman"/>
          <w:color w:val="auto"/>
          <w:highlight w:val="none"/>
        </w:rPr>
        <w:t>锚下有效预应力标准值的理论计算值可</w:t>
      </w:r>
      <w:r>
        <w:rPr>
          <w:rFonts w:cs="Times New Roman" w:hint="eastAsia"/>
          <w:color w:val="auto"/>
          <w:highlight w:val="none"/>
        </w:rPr>
        <w:t>按式（14.4.9）</w:t>
      </w:r>
      <w:r>
        <w:rPr>
          <w:rFonts w:cs="Times New Roman"/>
          <w:color w:val="auto"/>
          <w:highlight w:val="none"/>
        </w:rPr>
        <w:t>计算：</w:t>
      </w:r>
    </w:p>
    <w:p>
      <w:pPr>
        <w:ind w:firstLineChars="0" w:firstLine="0"/>
        <w:jc w:val="right"/>
        <w:rPr>
          <w:rFonts w:eastAsia="宋体" w:cs="Times New Roman"/>
          <w:color w:val="auto"/>
          <w:lang w:val="en-US" w:eastAsia="zh-CN"/>
          <w:highlight w:val="none"/>
        </w:rPr>
      </w:pPr>
      <m:oMath>
        <m:sSub>
          <m:sSubPr>
            <m:ctrlPr>
              <w:rPr>
                <w:rFonts w:ascii="Cambria Math" w:cs="Times New Roman" w:hAnsi="Cambria Math"/>
                <w:color w:val="auto"/>
                <w:lang w:val="en-US" w:eastAsia="zh-CN"/>
              </w:rPr>
            </m:ctrlPr>
          </m:sSubPr>
          <m:e>
            <m:r>
              <w:rPr>
                <w:rFonts w:ascii="Cambria Math" w:cs="Times New Roman" w:hAnsi="Cambria Math"/>
                <w:color w:val="auto"/>
                <w:lang w:val="en-US" w:eastAsia="zh-CN"/>
                <w:highlight w:val="none"/>
              </w:rPr>
              <m:t>F</m:t>
            </m:r>
          </m:e>
          <m:sub>
            <m:r>
              <w:rPr>
                <w:rFonts w:ascii="Cambria Math" w:cs="Times New Roman" w:hAnsi="Cambria Math"/>
                <w:color w:val="auto"/>
                <w:lang w:val="en-US" w:eastAsia="zh-CN"/>
                <w:highlight w:val="none"/>
              </w:rPr>
              <m:t>S</m:t>
            </m:r>
          </m:sub>
        </m:sSub>
        <m:r>
          <w:rPr>
            <w:rFonts w:ascii="Cambria Math" w:cs="Times New Roman" w:hAnsi="Cambria Math"/>
            <w:color w:val="auto"/>
            <w:highlight w:val="none"/>
          </w:rPr>
          <m:t>=</m:t>
        </m:r>
        <m:d>
          <m:dPr>
            <m:begChr m:val="["/>
            <m:endChr m:val="]"/>
            <m:ctrlPr>
              <w:rPr>
                <w:rFonts w:ascii="Cambria Math" w:cs="Times New Roman" w:hAnsi="Cambria Math"/>
                <w:color w:val="auto"/>
              </w:rPr>
            </m:ctrlPr>
          </m:dPr>
          <m:e>
            <m:sSub>
              <m:sSubPr>
                <m:ctrlPr>
                  <w:rPr>
                    <w:rFonts w:ascii="Cambria Math" w:cs="Times New Roman" w:hAnsi="Cambria Math"/>
                    <w:color w:val="auto"/>
                  </w:rPr>
                </m:ctrlPr>
              </m:sSubPr>
              <m:e>
                <m:r>
                  <w:rPr>
                    <w:rFonts w:ascii="Cambria Math" w:cs="Times New Roman" w:hAnsi="Cambria Math"/>
                    <w:color w:val="auto"/>
                    <w:highlight w:val="none"/>
                  </w:rPr>
                  <m:t>σ</m:t>
                </m:r>
              </m:e>
              <m:sub>
                <m:r>
                  <w:rPr>
                    <w:rFonts w:ascii="Cambria Math" w:cs="Times New Roman" w:hAnsi="Cambria Math"/>
                    <w:color w:val="auto"/>
                    <w:lang w:val="en-US" w:eastAsia="zh-CN"/>
                    <w:highlight w:val="none"/>
                  </w:rPr>
                  <m:t>con</m:t>
                </m:r>
              </m:sub>
            </m:sSub>
            <m:r>
              <w:rPr>
                <w:rFonts w:ascii="Cambria Math" w:cs="Times New Roman" w:hAnsi="Cambria Math"/>
                <w:color w:val="auto"/>
                <w:lang w:val="en-US" w:eastAsia="zh-CN"/>
                <w:highlight w:val="none"/>
              </w:rPr>
              <m:t>−</m:t>
            </m:r>
            <m:d>
              <m:dPr>
                <m:ctrlPr>
                  <w:rPr>
                    <w:rFonts w:ascii="Cambria Math" w:cs="Times New Roman" w:hAnsi="Cambria Math"/>
                    <w:color w:val="auto"/>
                    <w:lang w:val="en-US" w:eastAsia="zh-CN"/>
                  </w:rPr>
                </m:ctrlPr>
              </m:dPr>
              <m:e>
                <m:sSub>
                  <m:sSubPr>
                    <m:ctrlPr>
                      <w:rPr>
                        <w:rFonts w:ascii="Cambria Math" w:cs="Times New Roman" w:hAnsi="Cambria Math"/>
                        <w:color w:val="auto"/>
                        <w:lang w:val="en-US" w:eastAsia="zh-CN"/>
                      </w:rPr>
                    </m:ctrlPr>
                  </m:sSubPr>
                  <m:e>
                    <m:r>
                      <w:rPr>
                        <w:rFonts w:ascii="Cambria Math" w:cs="Times New Roman" w:hAnsi="Cambria Math"/>
                        <w:color w:val="auto"/>
                        <w:lang w:val="en-US"/>
                        <w:highlight w:val="none"/>
                      </w:rPr>
                      <m:t>σ</m:t>
                    </m:r>
                  </m:e>
                  <m:sub>
                    <m:r>
                      <w:rPr>
                        <w:rFonts w:ascii="Cambria Math" w:cs="Times New Roman" w:hAnsi="Cambria Math"/>
                        <w:color w:val="auto"/>
                        <w:lang w:val="en-US" w:eastAsia="zh-CN"/>
                        <w:highlight w:val="none"/>
                      </w:rPr>
                      <m:t>11</m:t>
                    </m:r>
                  </m:sub>
                </m:sSub>
                <m:sSub>
                  <m:sSubPr>
                    <m:ctrlPr>
                      <w:rPr>
                        <w:rFonts w:ascii="Cambria Math" w:cs="Times New Roman" w:hAnsi="Cambria Math"/>
                        <w:color w:val="auto"/>
                        <w:lang w:val="en-US" w:eastAsia="zh-CN"/>
                      </w:rPr>
                    </m:ctrlPr>
                  </m:sSubPr>
                  <m:e>
                    <m:r>
                      <w:rPr>
                        <w:rFonts w:ascii="Cambria Math" w:cs="Times New Roman" w:hAnsi="Cambria Math"/>
                        <w:color w:val="auto"/>
                        <w:lang w:val="en-US" w:eastAsia="zh-CN"/>
                        <w:highlight w:val="none"/>
                      </w:rPr>
                      <m:t>+</m:t>
                    </m:r>
                    <m:r>
                      <w:rPr>
                        <w:rFonts w:ascii="Cambria Math" w:cs="Times New Roman" w:hAnsi="Cambria Math"/>
                        <w:color w:val="auto"/>
                        <w:lang w:val="en-US"/>
                        <w:highlight w:val="none"/>
                      </w:rPr>
                      <m:t>σ</m:t>
                    </m:r>
                  </m:e>
                  <m:sub>
                    <m:r>
                      <w:rPr>
                        <w:rFonts w:ascii="Cambria Math" w:cs="Times New Roman" w:hAnsi="Cambria Math"/>
                        <w:color w:val="auto"/>
                        <w:lang w:val="en-US" w:eastAsia="zh-CN"/>
                        <w:highlight w:val="none"/>
                      </w:rPr>
                      <m:t>12</m:t>
                    </m:r>
                  </m:sub>
                </m:sSub>
                <m:sSub>
                  <m:sSubPr>
                    <m:ctrlPr>
                      <w:rPr>
                        <w:rFonts w:ascii="Cambria Math" w:cs="Times New Roman" w:hAnsi="Cambria Math"/>
                        <w:color w:val="auto"/>
                        <w:lang w:val="en-US" w:eastAsia="zh-CN"/>
                      </w:rPr>
                    </m:ctrlPr>
                  </m:sSubPr>
                  <m:e>
                    <m:r>
                      <w:rPr>
                        <w:rFonts w:ascii="Cambria Math" w:cs="Times New Roman" w:hAnsi="Cambria Math"/>
                        <w:color w:val="auto"/>
                        <w:lang w:val="en-US" w:eastAsia="zh-CN"/>
                        <w:highlight w:val="none"/>
                      </w:rPr>
                      <m:t>+</m:t>
                    </m:r>
                    <m:r>
                      <w:rPr>
                        <w:rFonts w:ascii="Cambria Math" w:cs="Times New Roman" w:hAnsi="Cambria Math"/>
                        <w:color w:val="auto"/>
                        <w:lang w:val="en-US"/>
                        <w:highlight w:val="none"/>
                      </w:rPr>
                      <m:t>σ</m:t>
                    </m:r>
                  </m:e>
                  <m:sub>
                    <m:r>
                      <w:rPr>
                        <w:rFonts w:ascii="Cambria Math" w:cs="Times New Roman" w:hAnsi="Cambria Math"/>
                        <w:color w:val="auto"/>
                        <w:lang w:val="en-US" w:eastAsia="zh-CN"/>
                        <w:highlight w:val="none"/>
                      </w:rPr>
                      <m:t>13</m:t>
                    </m:r>
                  </m:sub>
                </m:sSub>
              </m:e>
            </m:d>
          </m:e>
        </m:d>
        <m:r>
          <w:rPr>
            <w:rFonts w:ascii="Cambria Math" w:cs="Times New Roman" w:hAnsi="Cambria Math"/>
            <w:color w:val="auto"/>
            <w:lang w:val="en-US" w:eastAsia="zh-CN"/>
            <w:highlight w:val="none"/>
          </w:rPr>
          <m:t>A</m:t>
        </m:r>
        <m:sSub>
          <m:sSubPr>
            <m:ctrlPr>
              <w:rPr>
                <w:rFonts w:ascii="Cambria Math" w:cs="Times New Roman" w:hAnsi="Cambria Math"/>
                <w:color w:val="auto"/>
                <w:lang w:val="en-US" w:eastAsia="zh-CN"/>
              </w:rPr>
            </m:ctrlPr>
          </m:sSubPr>
          <m:e>
            <m:r>
              <w:rPr>
                <w:rFonts w:ascii="Cambria Math" w:cs="Times New Roman" w:hAnsi="Cambria Math"/>
                <w:color w:val="auto"/>
                <w:lang w:val="en-US" w:eastAsia="zh-CN"/>
                <w:highlight w:val="none"/>
              </w:rPr>
              <m:t>A</m:t>
            </m:r>
          </m:e>
          <m:sub>
            <m:r>
              <w:rPr>
                <w:rFonts w:ascii="Cambria Math" w:cs="Times New Roman" w:hAnsi="Cambria Math"/>
                <w:color w:val="auto"/>
                <w:lang w:val="en-US" w:eastAsia="zh-CN"/>
                <w:highlight w:val="none"/>
              </w:rPr>
              <m:t>pk</m:t>
            </m:r>
          </m:sub>
        </m:sSub>
        <m:r>
          <w:rPr>
            <w:rFonts w:ascii="Cambria Math" w:cs="Times New Roman" w:hAnsi="Cambria Math"/>
            <w:color w:val="auto"/>
            <w:lang w:val="en-US" w:eastAsia="zh-CN"/>
            <w:highlight w:val="none"/>
          </w:rPr>
          <m:t>/1000</m:t>
        </m:r>
      </m:oMath>
      <w:r>
        <w:rPr>
          <w:rFonts w:cs="Times New Roman"/>
          <w:iCs/>
          <w:color w:val="auto"/>
          <w:highlight w:val="none"/>
        </w:rPr>
        <w:t>　</w:t>
      </w:r>
      <w:r>
        <w:rPr>
          <w:rFonts w:cs="Times New Roman"/>
          <w:color w:val="auto"/>
          <w:highlight w:val="none"/>
        </w:rPr>
        <w:t xml:space="preserve">       （14.4.9）</w:t>
      </w:r>
    </w:p>
    <w:p>
      <w:pPr>
        <w:ind w:firstLineChars="0" w:firstLine="0"/>
        <w:rPr>
          <w:rFonts w:cs="Times New Roman"/>
          <w:color w:val="auto"/>
          <w:highlight w:val="none"/>
        </w:rPr>
      </w:pPr>
      <w:r>
        <w:rPr>
          <w:rFonts w:cs="Times New Roman"/>
          <w:color w:val="auto"/>
          <w:highlight w:val="none"/>
        </w:rPr>
        <w:t>式中：</w:t>
      </w:r>
      <m:oMath>
        <m:sSub>
          <m:sSubPr>
            <m:ctrlPr>
              <w:rPr>
                <w:rFonts w:ascii="Cambria Math" w:cs="Times New Roman" w:hAnsi="Cambria Math"/>
                <w:color w:val="auto"/>
              </w:rPr>
            </m:ctrlPr>
          </m:sSubPr>
          <m:e>
            <m:r>
              <w:rPr>
                <w:rFonts w:ascii="Cambria Math" w:cs="Times New Roman" w:hAnsi="Cambria Math"/>
                <w:color w:val="auto"/>
                <w:lang w:val="en-US" w:eastAsia="zh-CN"/>
                <w:highlight w:val="none"/>
              </w:rPr>
              <m:t>F</m:t>
            </m:r>
          </m:e>
          <m:sub>
            <m:r>
              <w:rPr>
                <w:rFonts w:ascii="Cambria Math" w:cs="Times New Roman" w:hAnsi="Cambria Math"/>
                <w:color w:val="auto"/>
                <w:lang w:val="en-US" w:eastAsia="zh-CN"/>
                <w:highlight w:val="none"/>
              </w:rPr>
              <m:t>S</m:t>
            </m:r>
          </m:sub>
        </m:sSub>
      </m:oMath>
      <w:r>
        <w:rPr>
          <w:rFonts w:cs="Times New Roman"/>
          <w:color w:val="auto"/>
          <w:highlight w:val="none"/>
        </w:rPr>
        <w:t>——锚下有效预应力标准值（kN）；</w:t>
      </w:r>
    </w:p>
    <w:p>
      <w:pPr>
        <w:ind w:firstLineChars="227" w:firstLine="545"/>
        <w:rPr>
          <w:rFonts w:cs="Times New Roman"/>
          <w:color w:val="auto"/>
          <w:highlight w:val="none"/>
        </w:rPr>
      </w:pPr>
      <m:oMath>
        <m:sSub>
          <m:sSubPr>
            <m:ctrlPr>
              <w:rPr>
                <w:rFonts w:ascii="Cambria Math" w:cs="Times New Roman" w:hAnsi="Cambria Math"/>
                <w:color w:val="auto"/>
              </w:rPr>
            </m:ctrlPr>
          </m:sSubPr>
          <m:e>
            <m:r>
              <w:rPr>
                <w:rFonts w:ascii="Cambria Math" w:cs="Times New Roman" w:hAnsi="Cambria Math"/>
                <w:color w:val="auto"/>
                <w:highlight w:val="none"/>
              </w:rPr>
              <m:t>σ</m:t>
            </m:r>
          </m:e>
          <m:sub>
            <m:r>
              <w:rPr>
                <w:rFonts w:ascii="Cambria Math" w:cs="Times New Roman" w:hAnsi="Cambria Math"/>
                <w:color w:val="auto"/>
                <w:lang w:val="en-US" w:eastAsia="zh-CN"/>
                <w:highlight w:val="none"/>
              </w:rPr>
              <m:t>con</m:t>
            </m:r>
          </m:sub>
        </m:sSub>
      </m:oMath>
      <w:r>
        <w:rPr>
          <w:rFonts w:cs="Times New Roman"/>
          <w:color w:val="auto"/>
          <w:highlight w:val="none"/>
        </w:rPr>
        <w:t>——设计张拉控制应力（MPa）；</w:t>
      </w:r>
    </w:p>
    <w:p>
      <w:pPr>
        <w:rPr>
          <w:rFonts w:cs="Times New Roman"/>
          <w:color w:val="auto"/>
          <w:highlight w:val="none"/>
        </w:rPr>
      </w:pPr>
      <m:oMath>
        <m:sSub>
          <m:sSubPr>
            <m:ctrlPr>
              <w:rPr>
                <w:rFonts w:ascii="Cambria Math" w:cs="Times New Roman" w:hAnsi="Cambria Math"/>
                <w:color w:val="auto"/>
              </w:rPr>
            </m:ctrlPr>
          </m:sSubPr>
          <m:e>
            <m:r>
              <w:rPr>
                <w:rFonts w:ascii="Cambria Math" w:cs="Times New Roman" w:hAnsi="Cambria Math"/>
                <w:color w:val="auto"/>
                <w:highlight w:val="none"/>
              </w:rPr>
              <m:t>σ</m:t>
            </m:r>
          </m:e>
          <m:sub>
            <m:r>
              <w:rPr>
                <w:rFonts w:ascii="Cambria Math" w:cs="Times New Roman" w:hAnsi="Cambria Math"/>
                <w:color w:val="auto"/>
                <w:lang w:val="en-US" w:eastAsia="zh-CN"/>
                <w:highlight w:val="none"/>
              </w:rPr>
              <m:t>11</m:t>
            </m:r>
          </m:sub>
        </m:sSub>
      </m:oMath>
      <w:r>
        <w:rPr>
          <w:rFonts w:cs="Times New Roman"/>
          <w:color w:val="auto"/>
          <w:highlight w:val="none"/>
        </w:rPr>
        <w:t>——预应力筋与管道壁之间摩擦引起的应力损失（MPa）；</w:t>
      </w:r>
    </w:p>
    <w:p>
      <w:pPr>
        <w:rPr>
          <w:rFonts w:cs="Times New Roman"/>
          <w:color w:val="auto"/>
          <w:highlight w:val="none"/>
        </w:rPr>
      </w:pPr>
      <m:oMath>
        <m:sSub>
          <m:sSubPr>
            <m:ctrlPr>
              <w:rPr>
                <w:rFonts w:ascii="Cambria Math" w:cs="Times New Roman" w:hAnsi="Cambria Math"/>
                <w:color w:val="auto"/>
              </w:rPr>
            </m:ctrlPr>
          </m:sSubPr>
          <m:e>
            <m:r>
              <w:rPr>
                <w:rFonts w:ascii="Cambria Math" w:cs="Times New Roman" w:hAnsi="Cambria Math"/>
                <w:color w:val="auto"/>
                <w:highlight w:val="none"/>
              </w:rPr>
              <m:t>σ</m:t>
            </m:r>
          </m:e>
          <m:sub>
            <m:r>
              <w:rPr>
                <w:rFonts w:ascii="Cambria Math" w:cs="Times New Roman" w:hAnsi="Cambria Math"/>
                <w:color w:val="auto"/>
                <w:lang w:val="en-US" w:eastAsia="zh-CN"/>
                <w:highlight w:val="none"/>
              </w:rPr>
              <m:t>12</m:t>
            </m:r>
          </m:sub>
        </m:sSub>
      </m:oMath>
      <w:r>
        <w:rPr>
          <w:rFonts w:cs="Times New Roman"/>
          <w:color w:val="auto"/>
          <w:highlight w:val="none"/>
        </w:rPr>
        <w:t>——锚具变形、钢筋回缩和接缝压缩损失（MPa）；</w:t>
      </w:r>
    </w:p>
    <w:p>
      <w:pPr>
        <w:rPr>
          <w:rFonts w:cs="Times New Roman"/>
          <w:color w:val="auto"/>
          <w:highlight w:val="none"/>
        </w:rPr>
      </w:pPr>
      <w:r>
        <w:rPr>
          <w:rFonts w:cs="Times New Roman"/>
          <w:color w:val="auto"/>
          <w:position w:val="-12"/>
          <w:highlight w:val="none"/>
        </w:rPr>
        <w:object>
          <v:shape id="_x0000_i1061" type="#_x0000_t75" filled="f" alt="" style="width:18.0pt;height:18.0pt;" o:ole="">
            <v:imagedata r:id="rId104" o:title="image52"/>
            <o:lock aspectratio="t"/>
            <w10:anchorLock/>
          </v:shape>
          <o:OLEObject Type="Embed" ProgID="Equation.KSEE3" ShapeID="_x0000_i1061" DrawAspect="Content" ObjectID="_1393063387" r:id="rId105"/>
        </w:object>
      </w:r>
      <w:r>
        <w:rPr>
          <w:rFonts w:cs="Times New Roman"/>
          <w:color w:val="auto"/>
          <w:highlight w:val="none"/>
        </w:rPr>
        <w:t>——混凝土的弹性压缩损失（MPa）。</w:t>
      </w:r>
    </w:p>
    <w:p>
      <w:pPr>
        <w:ind w:firstLineChars="204" w:firstLine="490"/>
        <w:rPr>
          <w:rFonts w:cs="Times New Roman"/>
          <w:color w:val="auto"/>
          <w:highlight w:val="none"/>
        </w:rPr>
      </w:pPr>
      <w:r>
        <w:rPr>
          <w:rFonts w:cs="Times New Roman"/>
          <w:color w:val="auto"/>
          <w:position w:val="-14"/>
          <w:highlight w:val="none"/>
        </w:rPr>
        <w:object>
          <v:shape id="_x0000_i1062" type="#_x0000_t75" filled="f" style="width:20.0pt;height:19.0pt;" o:ole="">
            <v:imagedata r:id="rId106" o:title="image2"/>
            <o:lock aspectratio="t"/>
            <w10:anchorLock/>
          </v:shape>
          <o:OLEObject Type="Embed" ProgID="Equation.KSEE3" ShapeID="_x0000_i1062" DrawAspect="Content" ObjectID="_1393063388" r:id="rId107"/>
        </w:object>
      </w:r>
      <w:r>
        <w:rPr>
          <w:rFonts w:cs="Times New Roman"/>
          <w:color w:val="auto"/>
          <w:vertAlign w:val="subscript"/>
          <w:highlight w:val="none"/>
        </w:rPr>
        <w:t xml:space="preserve"> </w:t>
      </w:r>
      <w:r>
        <w:rPr>
          <w:rFonts w:cs="Times New Roman"/>
          <w:color w:val="auto"/>
          <w:highlight w:val="none"/>
        </w:rPr>
        <w:t>——预应力筋的公称截面面积（mm</w:t>
      </w:r>
      <w:r>
        <w:rPr>
          <w:rFonts w:cs="Times New Roman"/>
          <w:color w:val="auto"/>
          <w:vertAlign w:val="superscript"/>
          <w:highlight w:val="none"/>
        </w:rPr>
        <w:t>2</w:t>
      </w:r>
      <w:r>
        <w:rPr>
          <w:rFonts w:cs="Times New Roman"/>
          <w:color w:val="auto"/>
          <w:highlight w:val="none"/>
        </w:rPr>
        <w:t>）。</w:t>
      </w:r>
    </w:p>
    <w:p>
      <w:pPr>
        <w:ind w:firstLineChars="204" w:firstLine="490"/>
        <w:rPr>
          <w:rFonts w:cs="Times New Roman"/>
          <w:color w:val="auto"/>
          <w:highlight w:val="none"/>
        </w:rPr>
      </w:pP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14.4.10　</w:t>
      </w:r>
      <w:r>
        <w:rPr>
          <w:rFonts w:cs="Times New Roman"/>
          <w:color w:val="auto"/>
          <w:highlight w:val="none"/>
        </w:rPr>
        <w:t>张拉后的锚下有效预应力</w:t>
      </w:r>
      <w:r>
        <w:rPr>
          <w:rFonts w:cs="Times New Roman" w:hint="eastAsia"/>
          <w:color w:val="auto"/>
          <w:highlight w:val="none"/>
        </w:rPr>
        <w:t>控制</w:t>
      </w:r>
      <w:r>
        <w:rPr>
          <w:rFonts w:cs="Times New Roman"/>
          <w:color w:val="auto"/>
          <w:highlight w:val="none"/>
        </w:rPr>
        <w:t>应</w:t>
      </w:r>
      <w:r>
        <w:rPr>
          <w:rFonts w:cs="Times New Roman" w:hint="eastAsia"/>
          <w:color w:val="auto"/>
          <w:highlight w:val="none"/>
        </w:rPr>
        <w:t>符合</w:t>
      </w:r>
      <w:r>
        <w:rPr>
          <w:rFonts w:cs="Times New Roman"/>
          <w:color w:val="auto"/>
          <w:highlight w:val="none"/>
        </w:rPr>
        <w:t>表14.4.10的</w:t>
      </w:r>
      <w:r>
        <w:rPr>
          <w:rFonts w:cs="Times New Roman" w:hint="eastAsia"/>
          <w:color w:val="auto"/>
          <w:highlight w:val="none"/>
        </w:rPr>
        <w:t>规定</w:t>
      </w:r>
      <w:r>
        <w:rPr>
          <w:rFonts w:cs="Times New Roman"/>
          <w:color w:val="auto"/>
          <w:highlight w:val="none"/>
        </w:rPr>
        <w:t>。</w:t>
      </w:r>
    </w:p>
    <w:p>
      <w:pPr>
        <w:pStyle w:val="16"/>
        <w:rPr>
          <w:rFonts w:cs="Times New Roman"/>
          <w:color w:val="auto"/>
          <w:highlight w:val="none"/>
        </w:rPr>
      </w:pPr>
      <w:r>
        <w:rPr>
          <w:rFonts w:cs="Times New Roman"/>
          <w:color w:val="auto"/>
          <w:highlight w:val="none"/>
        </w:rPr>
        <w:t>表14.4.10　锚下有效预应力控制</w:t>
      </w:r>
      <w:r>
        <w:rPr>
          <w:rFonts w:cs="Times New Roman" w:hint="eastAsia"/>
          <w:color w:val="auto"/>
          <w:highlight w:val="none"/>
        </w:rPr>
        <w:t>指标</w:t>
      </w:r>
    </w:p>
    <w:tbl>
      <w:tblPr>
        <w:jc w:val="center"/>
        <w:tblW w:w="8519"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top w:w="0" w:type="dxa"/>
          <w:left w:w="108" w:type="dxa"/>
          <w:bottom w:w="0" w:type="dxa"/>
          <w:right w:w="108" w:type="dxa"/>
        </w:tblCellMar>
        <w:tblLook w:val="0600" w:firstRow="0" w:lastRow="0" w:firstColumn="0" w:lastColumn="0" w:noHBand="1" w:noVBand="1"/>
      </w:tblPr>
      <w:tblGrid>
        <w:gridCol w:w="1384"/>
        <w:gridCol w:w="1276"/>
        <w:gridCol w:w="1417"/>
        <w:gridCol w:w="1162"/>
        <w:gridCol w:w="1554"/>
        <w:gridCol w:w="1726"/>
      </w:tblGrid>
      <w:tr>
        <w:trPr>
          <w:trHeight w:val="627"/>
        </w:trPr>
        <w:tc>
          <w:tcPr>
            <w:tcW w:w="4077" w:type="dxa"/>
            <w:gridSpan w:val="3"/>
            <w:vAlign w:val="center"/>
          </w:tcPr>
          <w:p>
            <w:pPr>
              <w:spacing w:line="240" w:lineRule="auto"/>
              <w:ind w:firstLineChars="0" w:firstLine="0"/>
              <w:jc w:val="center"/>
              <w:rPr>
                <w:rFonts w:cs="Times New Roman"/>
                <w:bCs/>
                <w:color w:val="auto"/>
                <w:highlight w:val="none"/>
              </w:rPr>
            </w:pPr>
            <w:r>
              <w:rPr>
                <w:rFonts w:cs="Times New Roman"/>
                <w:bCs/>
                <w:color w:val="auto"/>
                <w:sz w:val="21"/>
                <w:szCs w:val="21"/>
                <w:highlight w:val="none"/>
              </w:rPr>
              <w:t>有效预应力偏差（%）</w:t>
            </w:r>
          </w:p>
        </w:tc>
        <w:tc>
          <w:tcPr>
            <w:tcW w:w="2716" w:type="dxa"/>
            <w:gridSpan w:val="2"/>
            <w:vAlign w:val="center"/>
          </w:tcPr>
          <w:p>
            <w:pPr>
              <w:spacing w:line="240" w:lineRule="auto"/>
              <w:ind w:firstLineChars="0" w:firstLine="0"/>
              <w:jc w:val="center"/>
              <w:rPr>
                <w:rFonts w:cs="Times New Roman"/>
                <w:bCs/>
                <w:color w:val="auto"/>
                <w:highlight w:val="none"/>
              </w:rPr>
            </w:pPr>
            <w:r>
              <w:rPr>
                <w:rFonts w:cs="Times New Roman"/>
                <w:bCs/>
                <w:color w:val="auto"/>
                <w:sz w:val="21"/>
                <w:szCs w:val="21"/>
                <w:highlight w:val="none"/>
              </w:rPr>
              <w:t>不均匀度（%）</w:t>
            </w:r>
          </w:p>
        </w:tc>
        <w:tc>
          <w:tcPr>
            <w:tcW w:w="1726" w:type="dxa"/>
            <w:vMerge w:val="restart"/>
            <w:vAlign w:val="center"/>
          </w:tcPr>
          <w:p>
            <w:pPr>
              <w:pStyle w:val="65"/>
              <w:adjustRightInd/>
              <w:spacing w:line="240" w:lineRule="auto"/>
              <w:ind w:firstLineChars="0" w:firstLine="0"/>
              <w:jc w:val="center"/>
              <w:rPr>
                <w:rFonts w:cs="Times New Roman"/>
                <w:bCs/>
                <w:color w:val="auto"/>
                <w:sz w:val="21"/>
                <w:highlight w:val="none"/>
              </w:rPr>
            </w:pPr>
            <w:r>
              <w:rPr>
                <w:rFonts w:cs="Times New Roman"/>
                <w:color w:val="auto"/>
                <w:sz w:val="21"/>
                <w:highlight w:val="none"/>
              </w:rPr>
              <w:t>单点极值偏差（%）</w:t>
            </w:r>
          </w:p>
        </w:tc>
      </w:tr>
      <w:tr>
        <w:trPr>
          <w:trHeight w:val="627"/>
        </w:trPr>
        <w:tc>
          <w:tcPr>
            <w:tcW w:w="1384" w:type="dxa"/>
            <w:vAlign w:val="center"/>
          </w:tcPr>
          <w:p>
            <w:pPr>
              <w:pStyle w:val="65"/>
              <w:adjustRightInd/>
              <w:spacing w:line="240" w:lineRule="auto"/>
              <w:ind w:firstLineChars="0" w:firstLine="0"/>
              <w:jc w:val="center"/>
              <w:rPr>
                <w:rFonts w:cs="Times New Roman"/>
                <w:bCs/>
                <w:color w:val="auto"/>
                <w:sz w:val="21"/>
                <w:highlight w:val="none"/>
              </w:rPr>
            </w:pPr>
            <w:r>
              <w:rPr>
                <w:rFonts w:cs="Times New Roman"/>
                <w:bCs/>
                <w:color w:val="auto"/>
                <w:sz w:val="21"/>
                <w:highlight w:val="none"/>
              </w:rPr>
              <w:t>单根</w:t>
            </w:r>
            <m:oMath>
              <m:r>
                <m:rPr>
                  <m:sty m:val="p"/>
                </m:rPr>
                <w:rPr>
                  <w:rFonts w:ascii="Cambria Math" w:cs="Times New Roman" w:hAnsi="Cambria Math"/>
                  <w:color w:val="auto"/>
                  <w:sz w:val="21"/>
                  <w:highlight w:val="none"/>
                </w:rPr>
                <m:t>（</m:t>
              </m:r>
              <m:sSub>
                <m:sSubPr>
                  <m:ctrlPr>
                    <w:rPr>
                      <w:rFonts w:ascii="Cambria Math" w:cs="Times New Roman" w:hAnsi="Cambria Math"/>
                      <w:bCs/>
                      <w:color w:val="auto"/>
                    </w:rPr>
                  </m:ctrlPr>
                </m:sSubPr>
                <m:e>
                  <m:r>
                    <w:rPr>
                      <w:rFonts w:ascii="Cambria Math" w:cs="Times New Roman" w:hAnsi="Cambria Math"/>
                      <w:color w:val="auto"/>
                      <w:highlight w:val="none"/>
                    </w:rPr>
                    <m:t>τ</m:t>
                  </m:r>
                </m:e>
                <m:sub>
                  <m:r>
                    <w:rPr>
                      <w:rFonts w:ascii="Cambria Math" w:cs="Times New Roman" w:hAnsi="Cambria Math"/>
                      <w:color w:val="auto"/>
                      <w:highlight w:val="none"/>
                    </w:rPr>
                    <m:t>i</m:t>
                  </m:r>
                </m:sub>
              </m:sSub>
              <m:r>
                <m:rPr>
                  <m:sty m:val="p"/>
                </m:rPr>
                <w:rPr>
                  <w:rFonts w:ascii="Cambria Math" w:cs="Times New Roman" w:hAnsi="Cambria Math"/>
                  <w:color w:val="auto"/>
                  <w:sz w:val="21"/>
                  <w:highlight w:val="none"/>
                </w:rPr>
                <m:t>）</m:t>
              </m:r>
            </m:oMath>
          </w:p>
        </w:tc>
        <w:tc>
          <w:tcPr>
            <w:tcW w:w="1276" w:type="dxa"/>
            <w:vAlign w:val="center"/>
          </w:tcPr>
          <w:p>
            <w:pPr>
              <w:pStyle w:val="65"/>
              <w:adjustRightInd/>
              <w:spacing w:line="240" w:lineRule="auto"/>
              <w:ind w:firstLineChars="0" w:firstLine="0"/>
              <w:jc w:val="center"/>
              <w:rPr>
                <w:rFonts w:cs="Times New Roman"/>
                <w:bCs/>
                <w:color w:val="auto"/>
                <w:sz w:val="21"/>
                <w:highlight w:val="none"/>
              </w:rPr>
            </w:pPr>
            <w:r>
              <w:rPr>
                <w:rFonts w:cs="Times New Roman"/>
                <w:bCs/>
                <w:color w:val="auto"/>
                <w:sz w:val="21"/>
                <w:highlight w:val="none"/>
              </w:rPr>
              <w:t>整束</w:t>
            </w:r>
            <m:oMath>
              <m:r>
                <m:rPr>
                  <m:sty m:val="p"/>
                </m:rPr>
                <w:rPr>
                  <w:rFonts w:ascii="Cambria Math" w:cs="Times New Roman" w:hAnsi="Cambria Math"/>
                  <w:color w:val="auto"/>
                  <w:sz w:val="21"/>
                  <w:highlight w:val="none"/>
                </w:rPr>
                <m:t>（</m:t>
              </m:r>
              <m:acc>
                <m:accPr>
                  <m:chr m:val="̃"/>
                  <m:ctrlPr>
                    <w:rPr>
                      <w:rFonts w:ascii="Cambria Math" w:cs="Times New Roman" w:hAnsi="Cambria Math"/>
                      <w:bCs/>
                      <w:color w:val="auto"/>
                    </w:rPr>
                  </m:ctrlPr>
                </m:accPr>
                <m:e>
                  <m:r>
                    <w:rPr>
                      <w:rFonts w:ascii="Cambria Math" w:cs="Times New Roman" w:hAnsi="Cambria Math"/>
                      <w:color w:val="auto"/>
                      <w:highlight w:val="none"/>
                    </w:rPr>
                    <m:t>τ</m:t>
                  </m:r>
                </m:e>
              </m:acc>
              <m:r>
                <m:rPr>
                  <m:sty m:val="p"/>
                </m:rPr>
                <w:rPr>
                  <w:rFonts w:ascii="Cambria Math" w:cs="Times New Roman" w:hAnsi="Cambria Math"/>
                  <w:color w:val="auto"/>
                  <w:sz w:val="21"/>
                  <w:highlight w:val="none"/>
                </w:rPr>
                <m:t>）</m:t>
              </m:r>
            </m:oMath>
          </w:p>
        </w:tc>
        <w:tc>
          <w:tcPr>
            <w:tcW w:w="1417" w:type="dxa"/>
            <w:vAlign w:val="center"/>
          </w:tcPr>
          <w:p>
            <w:pPr>
              <w:pStyle w:val="65"/>
              <w:adjustRightInd/>
              <w:spacing w:line="240" w:lineRule="auto"/>
              <w:ind w:firstLineChars="0" w:firstLine="0"/>
              <w:jc w:val="center"/>
              <w:rPr>
                <w:rFonts w:cs="Times New Roman"/>
                <w:bCs/>
                <w:color w:val="auto"/>
                <w:sz w:val="21"/>
                <w:highlight w:val="none"/>
              </w:rPr>
            </w:pPr>
            <w:r>
              <w:rPr>
                <w:rFonts w:cs="Times New Roman"/>
                <w:bCs/>
                <w:color w:val="auto"/>
                <w:sz w:val="21"/>
                <w:highlight w:val="none"/>
              </w:rPr>
              <w:t>断面（</w:t>
            </w:r>
            <m:oMath>
              <m:acc>
                <m:accPr>
                  <m:chr m:val="̅"/>
                  <m:ctrlPr>
                    <w:rPr>
                      <w:rFonts w:ascii="Cambria Math" w:cs="Times New Roman" w:hAnsi="Cambria Math"/>
                      <w:bCs/>
                      <w:color w:val="auto"/>
                    </w:rPr>
                  </m:ctrlPr>
                </m:accPr>
                <m:e>
                  <m:r>
                    <w:rPr>
                      <w:rFonts w:ascii="Cambria Math" w:cs="Times New Roman" w:hAnsi="Cambria Math"/>
                      <w:color w:val="auto"/>
                      <w:highlight w:val="none"/>
                    </w:rPr>
                    <m:t>τ</m:t>
                  </m:r>
                </m:e>
              </m:acc>
            </m:oMath>
            <w:r>
              <w:rPr>
                <w:rFonts w:cs="Times New Roman"/>
                <w:bCs/>
                <w:color w:val="auto"/>
                <w:sz w:val="21"/>
                <w:highlight w:val="none"/>
              </w:rPr>
              <w:t>）</w:t>
            </w:r>
          </w:p>
        </w:tc>
        <w:tc>
          <w:tcPr>
            <w:tcW w:w="1162" w:type="dxa"/>
            <w:vAlign w:val="center"/>
          </w:tcPr>
          <w:p>
            <w:pPr>
              <w:pStyle w:val="65"/>
              <w:adjustRightInd/>
              <w:spacing w:line="240" w:lineRule="auto"/>
              <w:ind w:firstLineChars="0" w:firstLine="0"/>
              <w:jc w:val="center"/>
              <w:rPr>
                <w:rFonts w:cs="Times New Roman"/>
                <w:bCs/>
                <w:color w:val="auto"/>
                <w:sz w:val="21"/>
                <w:highlight w:val="none"/>
              </w:rPr>
            </w:pPr>
            <w:r>
              <w:rPr>
                <w:rFonts w:cs="Times New Roman"/>
                <w:bCs/>
                <w:color w:val="auto"/>
                <w:sz w:val="21"/>
                <w:highlight w:val="none"/>
              </w:rPr>
              <w:t>同束（</w:t>
            </w:r>
            <m:oMath>
              <m:r>
                <m:rPr>
                  <m:sty m:val="p"/>
                </m:rPr>
                <w:rPr>
                  <w:rFonts w:ascii="Cambria Math" w:cs="Times New Roman" w:hAnsi="Cambria Math"/>
                  <w:color w:val="auto"/>
                  <w:highlight w:val="none"/>
                </w:rPr>
                <m:t>θ</m:t>
              </m:r>
            </m:oMath>
            <w:r>
              <w:rPr>
                <w:rFonts w:cs="Times New Roman"/>
                <w:bCs/>
                <w:color w:val="auto"/>
                <w:sz w:val="21"/>
                <w:highlight w:val="none"/>
              </w:rPr>
              <w:t>）</w:t>
            </w:r>
          </w:p>
        </w:tc>
        <w:tc>
          <w:tcPr>
            <w:tcW w:w="1554" w:type="dxa"/>
            <w:vAlign w:val="center"/>
          </w:tcPr>
          <w:p>
            <w:pPr>
              <w:pStyle w:val="65"/>
              <w:adjustRightInd/>
              <w:spacing w:line="240" w:lineRule="auto"/>
              <w:ind w:firstLineChars="0" w:firstLine="0"/>
              <w:jc w:val="center"/>
              <w:rPr>
                <w:rFonts w:cs="Times New Roman"/>
                <w:bCs/>
                <w:color w:val="auto"/>
                <w:sz w:val="21"/>
                <w:highlight w:val="none"/>
              </w:rPr>
            </w:pPr>
            <w:r>
              <w:rPr>
                <w:rFonts w:cs="Times New Roman"/>
                <w:bCs/>
                <w:color w:val="auto"/>
                <w:sz w:val="21"/>
                <w:highlight w:val="none"/>
              </w:rPr>
              <w:t>断面（</w:t>
            </w:r>
            <m:oMath>
              <m:r>
                <w:rPr>
                  <w:rFonts w:ascii="Cambria Math" w:cs="Times New Roman" w:hAnsi="Cambria Math"/>
                  <w:color w:val="auto"/>
                  <w:highlight w:val="none"/>
                </w:rPr>
                <m:t>γ</m:t>
              </m:r>
            </m:oMath>
            <w:r>
              <w:rPr>
                <w:rFonts w:cs="Times New Roman"/>
                <w:bCs/>
                <w:color w:val="auto"/>
                <w:sz w:val="21"/>
                <w:highlight w:val="none"/>
              </w:rPr>
              <w:t>）</w:t>
            </w:r>
          </w:p>
        </w:tc>
        <w:tc>
          <w:tcPr>
            <w:tcW w:w="1726" w:type="dxa"/>
            <w:vMerge/>
            <w:vAlign w:val="center"/>
          </w:tcPr>
          <w:p/>
        </w:tc>
      </w:tr>
      <w:tr>
        <w:trPr>
          <w:trHeight w:val="627"/>
        </w:trPr>
        <w:tc>
          <w:tcPr>
            <w:tcW w:w="1384" w:type="dxa"/>
            <w:vAlign w:val="center"/>
          </w:tcPr>
          <w:p>
            <w:pPr>
              <w:pStyle w:val="65"/>
              <w:adjustRightInd/>
              <w:spacing w:line="240" w:lineRule="auto"/>
              <w:ind w:firstLineChars="0" w:firstLine="0"/>
              <w:jc w:val="center"/>
              <w:rPr>
                <w:rFonts w:cs="Times New Roman"/>
                <w:color w:val="auto"/>
                <w:sz w:val="21"/>
                <w:highlight w:val="none"/>
              </w:rPr>
            </w:pPr>
            <w:r>
              <w:rPr>
                <w:rFonts w:cs="Times New Roman"/>
                <w:color w:val="auto"/>
                <w:sz w:val="21"/>
                <w:highlight w:val="none"/>
              </w:rPr>
              <w:t>±6</w:t>
            </w:r>
          </w:p>
        </w:tc>
        <w:tc>
          <w:tcPr>
            <w:tcW w:w="1276" w:type="dxa"/>
            <w:vAlign w:val="center"/>
          </w:tcPr>
          <w:p>
            <w:pPr>
              <w:pStyle w:val="65"/>
              <w:adjustRightInd/>
              <w:spacing w:line="240" w:lineRule="auto"/>
              <w:ind w:firstLineChars="0" w:firstLine="0"/>
              <w:jc w:val="center"/>
              <w:rPr>
                <w:rFonts w:cs="Times New Roman"/>
                <w:color w:val="auto"/>
                <w:sz w:val="21"/>
                <w:highlight w:val="none"/>
              </w:rPr>
            </w:pPr>
            <w:r>
              <w:rPr>
                <w:rFonts w:cs="Times New Roman"/>
                <w:color w:val="auto"/>
                <w:sz w:val="21"/>
                <w:highlight w:val="none"/>
              </w:rPr>
              <w:t>±5</w:t>
            </w:r>
          </w:p>
        </w:tc>
        <w:tc>
          <w:tcPr>
            <w:tcW w:w="1417" w:type="dxa"/>
            <w:vAlign w:val="center"/>
          </w:tcPr>
          <w:p>
            <w:pPr>
              <w:pStyle w:val="65"/>
              <w:adjustRightInd/>
              <w:spacing w:line="240" w:lineRule="auto"/>
              <w:ind w:firstLineChars="0" w:firstLine="0"/>
              <w:jc w:val="center"/>
              <w:rPr>
                <w:rFonts w:cs="Times New Roman"/>
                <w:color w:val="auto"/>
                <w:sz w:val="21"/>
                <w:highlight w:val="none"/>
              </w:rPr>
            </w:pPr>
            <w:r>
              <w:rPr>
                <w:rFonts w:cs="Times New Roman"/>
                <w:color w:val="auto"/>
                <w:sz w:val="21"/>
                <w:highlight w:val="none"/>
              </w:rPr>
              <w:t>±4</w:t>
            </w:r>
          </w:p>
        </w:tc>
        <w:tc>
          <w:tcPr>
            <w:tcW w:w="1162" w:type="dxa"/>
            <w:vAlign w:val="center"/>
          </w:tcPr>
          <w:p>
            <w:pPr>
              <w:pStyle w:val="65"/>
              <w:adjustRightInd/>
              <w:spacing w:line="240" w:lineRule="auto"/>
              <w:ind w:firstLineChars="0" w:firstLine="0"/>
              <w:jc w:val="center"/>
              <w:rPr>
                <w:rFonts w:cs="Times New Roman"/>
                <w:color w:val="auto"/>
                <w:sz w:val="21"/>
                <w:highlight w:val="none"/>
              </w:rPr>
            </w:pPr>
            <w:r>
              <w:rPr>
                <w:rFonts w:cs="Times New Roman"/>
                <w:color w:val="auto"/>
                <w:sz w:val="21"/>
                <w:highlight w:val="none"/>
              </w:rPr>
              <w:t>5</w:t>
            </w:r>
          </w:p>
        </w:tc>
        <w:tc>
          <w:tcPr>
            <w:tcW w:w="1554" w:type="dxa"/>
            <w:vAlign w:val="center"/>
          </w:tcPr>
          <w:p>
            <w:pPr>
              <w:pStyle w:val="65"/>
              <w:adjustRightInd/>
              <w:spacing w:line="240" w:lineRule="auto"/>
              <w:ind w:firstLineChars="0" w:firstLine="0"/>
              <w:jc w:val="center"/>
              <w:rPr>
                <w:rFonts w:cs="Times New Roman"/>
                <w:color w:val="auto"/>
                <w:sz w:val="21"/>
                <w:highlight w:val="none"/>
              </w:rPr>
            </w:pPr>
            <w:r>
              <w:rPr>
                <w:rFonts w:cs="Times New Roman"/>
                <w:color w:val="auto"/>
                <w:sz w:val="21"/>
                <w:highlight w:val="none"/>
              </w:rPr>
              <w:t>2</w:t>
            </w:r>
          </w:p>
        </w:tc>
        <w:tc>
          <w:tcPr>
            <w:tcW w:w="1726" w:type="dxa"/>
            <w:vAlign w:val="center"/>
          </w:tcPr>
          <w:p>
            <w:pPr>
              <w:pStyle w:val="65"/>
              <w:adjustRightInd/>
              <w:spacing w:line="240" w:lineRule="auto"/>
              <w:ind w:firstLineChars="0" w:firstLine="0"/>
              <w:jc w:val="center"/>
              <w:rPr>
                <w:rFonts w:eastAsia="宋体" w:cs="Times New Roman" w:hint="eastAsia"/>
                <w:color w:val="auto"/>
                <w:sz w:val="21"/>
                <w:lang w:val="en-US" w:eastAsia="zh-CN"/>
                <w:highlight w:val="none"/>
              </w:rPr>
            </w:pPr>
            <w:r>
              <w:rPr>
                <w:rFonts w:cs="Times New Roman"/>
                <w:color w:val="auto"/>
                <w:sz w:val="21"/>
                <w:highlight w:val="none"/>
              </w:rPr>
              <w:t>±</w:t>
            </w:r>
            <w:r>
              <w:rPr>
                <w:rFonts w:cs="Times New Roman" w:hint="eastAsia"/>
                <w:color w:val="auto"/>
                <w:sz w:val="21"/>
                <w:lang w:val="en-US" w:eastAsia="zh-CN"/>
                <w:highlight w:val="none"/>
              </w:rPr>
              <w:t>7</w:t>
            </w:r>
          </w:p>
        </w:tc>
      </w:tr>
    </w:tbl>
    <w:p>
      <w:pPr>
        <w:pStyle w:val="3"/>
        <w:tabs>
          <w:tab w:val="left" w:pos="0"/>
          <w:tab w:val="left" w:pos="567"/>
          <w:tab w:val="left" w:pos="709"/>
          <w:tab w:val="left" w:pos="1560"/>
        </w:tabs>
        <w:rPr>
          <w:rFonts w:cs="Times New Roman"/>
          <w:b/>
          <w:color w:val="auto"/>
          <w:highlight w:val="none"/>
        </w:rPr>
      </w:pPr>
      <w:r>
        <w:rPr>
          <w:rFonts w:cs="Times New Roman"/>
          <w:b/>
          <w:color w:val="auto"/>
          <w:highlight w:val="none"/>
        </w:rPr>
        <w:t>14.4.11　</w:t>
      </w:r>
      <w:r>
        <w:rPr>
          <w:rFonts w:cs="Times New Roman" w:hint="eastAsia"/>
          <w:color w:val="auto"/>
          <w:highlight w:val="none"/>
        </w:rPr>
        <w:t>后张预应力张拉质量评定应符合</w:t>
      </w:r>
      <w:r>
        <w:rPr>
          <w:rFonts w:cs="Times New Roman"/>
          <w:color w:val="auto"/>
          <w:highlight w:val="none"/>
        </w:rPr>
        <w:t>表14.4.11</w:t>
      </w:r>
      <w:r>
        <w:rPr>
          <w:rFonts w:cs="Times New Roman" w:hint="eastAsia"/>
          <w:color w:val="auto"/>
          <w:highlight w:val="none"/>
        </w:rPr>
        <w:t>的规定</w:t>
      </w:r>
      <w:r>
        <w:rPr>
          <w:rFonts w:cs="Times New Roman"/>
          <w:color w:val="auto"/>
          <w:highlight w:val="none"/>
        </w:rPr>
        <w:t>。</w:t>
      </w:r>
      <w:bookmarkStart w:id="417" w:name="_Toc21118"/>
      <w:bookmarkStart w:id="418" w:name="_Toc22396"/>
      <w:bookmarkStart w:id="419" w:name="_Toc8170"/>
      <w:bookmarkStart w:id="420" w:name="_Toc15372"/>
    </w:p>
    <w:p>
      <w:pPr>
        <w:pStyle w:val="16"/>
        <w:rPr>
          <w:rFonts w:cs="Times New Roman"/>
          <w:color w:val="auto"/>
          <w:highlight w:val="none"/>
        </w:rPr>
      </w:pPr>
      <w:r>
        <w:rPr>
          <w:rFonts w:cs="Times New Roman"/>
          <w:color w:val="auto"/>
          <w:highlight w:val="none"/>
        </w:rPr>
        <w:t>表14.4.11　后张预应力张拉质量</w:t>
      </w:r>
      <w:bookmarkEnd w:id="417"/>
      <w:bookmarkEnd w:id="418"/>
      <w:bookmarkEnd w:id="419"/>
      <w:bookmarkEnd w:id="420"/>
      <w:r>
        <w:rPr>
          <w:rFonts w:cs="Times New Roman"/>
          <w:color w:val="auto"/>
          <w:highlight w:val="none"/>
        </w:rPr>
        <w:t>评定标准</w:t>
      </w:r>
    </w:p>
    <w:tbl>
      <w:tblPr>
        <w:jc w:val="center"/>
        <w:tblW w:w="4724" w:type="pct"/>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CellMar>
          <w:top w:w="0" w:type="dxa"/>
          <w:left w:w="108" w:type="dxa"/>
          <w:bottom w:w="0" w:type="dxa"/>
          <w:right w:w="108" w:type="dxa"/>
        </w:tblCellMar>
        <w:tblLook w:val="0600" w:firstRow="0" w:lastRow="0" w:firstColumn="0" w:lastColumn="0" w:noHBand="1" w:noVBand="1"/>
      </w:tblPr>
      <w:tblGrid>
        <w:gridCol w:w="7403"/>
        <w:gridCol w:w="1138"/>
      </w:tblGrid>
      <w:tr>
        <w:trPr>
          <w:trHeight w:val="454"/>
        </w:trPr>
        <w:tc>
          <w:tcPr>
            <w:tcW w:w="4333" w:type="pct"/>
            <w:tcBorders>
              <w:tl2br w:val="nil"/>
              <w:tr2bl w:val="nil"/>
            </w:tcBorders>
            <w:vAlign w:val="center"/>
          </w:tcPr>
          <w:p>
            <w:pPr>
              <w:widowControl/>
              <w:spacing w:line="264" w:lineRule="auto"/>
              <w:ind w:firstLineChars="0" w:firstLine="0"/>
              <w:jc w:val="center"/>
              <w:textAlignment w:val="auto"/>
              <w:rPr>
                <w:rFonts w:cs="Times New Roman"/>
                <w:b/>
                <w:bCs/>
                <w:color w:val="auto"/>
                <w:kern w:val="0"/>
                <w:sz w:val="21"/>
                <w:szCs w:val="21"/>
                <w:highlight w:val="none"/>
              </w:rPr>
            </w:pPr>
            <w:r>
              <w:rPr>
                <w:rFonts w:cs="Times New Roman"/>
                <w:b/>
                <w:bCs/>
                <w:color w:val="auto"/>
                <w:sz w:val="21"/>
                <w:szCs w:val="21"/>
                <w:highlight w:val="none"/>
              </w:rPr>
              <w:t>检测结果</w:t>
            </w:r>
          </w:p>
        </w:tc>
        <w:tc>
          <w:tcPr>
            <w:tcW w:w="666" w:type="pct"/>
            <w:tcBorders>
              <w:tl2br w:val="nil"/>
              <w:tr2bl w:val="nil"/>
            </w:tcBorders>
            <w:vAlign w:val="center"/>
          </w:tcPr>
          <w:p>
            <w:pPr>
              <w:widowControl/>
              <w:spacing w:line="264" w:lineRule="auto"/>
              <w:ind w:firstLineChars="0" w:firstLine="0"/>
              <w:jc w:val="center"/>
              <w:textAlignment w:val="auto"/>
              <w:rPr>
                <w:rFonts w:cs="Times New Roman"/>
                <w:b/>
                <w:bCs/>
                <w:color w:val="auto"/>
                <w:kern w:val="0"/>
                <w:sz w:val="21"/>
                <w:szCs w:val="21"/>
                <w:highlight w:val="none"/>
              </w:rPr>
            </w:pPr>
            <w:r>
              <w:rPr>
                <w:rFonts w:cs="Times New Roman"/>
                <w:b/>
                <w:bCs/>
                <w:color w:val="auto"/>
                <w:sz w:val="21"/>
                <w:szCs w:val="21"/>
                <w:highlight w:val="none"/>
              </w:rPr>
              <w:t>评定等级</w:t>
            </w:r>
          </w:p>
        </w:tc>
      </w:tr>
      <w:tr>
        <w:trPr>
          <w:trHeight w:val="454"/>
        </w:trPr>
        <w:tc>
          <w:tcPr>
            <w:tcW w:w="4333" w:type="pct"/>
            <w:tcBorders>
              <w:tl2br w:val="nil"/>
              <w:tr2bl w:val="nil"/>
            </w:tcBorders>
            <w:vAlign w:val="center"/>
          </w:tcPr>
          <w:p>
            <w:pPr>
              <w:widowControl/>
              <w:spacing w:line="264" w:lineRule="auto"/>
              <w:ind w:firstLineChars="0" w:firstLine="0"/>
              <w:textAlignment w:val="auto"/>
              <w:rPr>
                <w:rFonts w:cs="Times New Roman"/>
                <w:color w:val="auto"/>
                <w:kern w:val="0"/>
                <w:sz w:val="21"/>
                <w:szCs w:val="21"/>
                <w:highlight w:val="none"/>
              </w:rPr>
            </w:pPr>
            <w:r>
              <w:rPr>
                <w:rFonts w:cs="Times New Roman"/>
                <w:color w:val="auto"/>
                <w:kern w:val="0"/>
                <w:sz w:val="21"/>
                <w:szCs w:val="21"/>
                <w:highlight w:val="none"/>
              </w:rPr>
              <w:t>各指标均满足控制要求。</w:t>
            </w:r>
          </w:p>
        </w:tc>
        <w:tc>
          <w:tcPr>
            <w:tcW w:w="666" w:type="pct"/>
            <w:tcBorders>
              <w:tl2br w:val="nil"/>
              <w:tr2bl w:val="nil"/>
            </w:tcBorders>
            <w:vAlign w:val="center"/>
          </w:tcPr>
          <w:p>
            <w:pPr>
              <w:widowControl/>
              <w:spacing w:line="264" w:lineRule="auto"/>
              <w:ind w:firstLineChars="0" w:firstLine="0"/>
              <w:jc w:val="center"/>
              <w:textAlignment w:val="auto"/>
              <w:rPr>
                <w:rFonts w:cs="Times New Roman"/>
                <w:color w:val="auto"/>
                <w:kern w:val="0"/>
                <w:sz w:val="21"/>
                <w:szCs w:val="21"/>
                <w:highlight w:val="none"/>
              </w:rPr>
            </w:pPr>
            <w:r>
              <w:rPr>
                <w:rFonts w:cs="Times New Roman"/>
                <w:color w:val="auto"/>
                <w:kern w:val="0"/>
                <w:sz w:val="21"/>
                <w:szCs w:val="21"/>
                <w:highlight w:val="none"/>
              </w:rPr>
              <w:t>Ⅰ类</w:t>
            </w:r>
          </w:p>
        </w:tc>
      </w:tr>
      <w:tr>
        <w:trPr>
          <w:trHeight w:val="454"/>
        </w:trPr>
        <w:tc>
          <w:tcPr>
            <w:tcW w:w="4333" w:type="pct"/>
            <w:tcBorders>
              <w:tl2br w:val="nil"/>
              <w:tr2bl w:val="nil"/>
            </w:tcBorders>
            <w:vAlign w:val="center"/>
          </w:tcPr>
          <w:p>
            <w:pPr>
              <w:widowControl/>
              <w:spacing w:line="264" w:lineRule="auto"/>
              <w:ind w:firstLineChars="0" w:firstLine="0"/>
              <w:textAlignment w:val="auto"/>
              <w:rPr>
                <w:rFonts w:cs="Times New Roman"/>
                <w:color w:val="auto"/>
                <w:kern w:val="0"/>
                <w:sz w:val="21"/>
                <w:szCs w:val="21"/>
                <w:highlight w:val="none"/>
              </w:rPr>
            </w:pPr>
            <w:r>
              <w:rPr>
                <w:rFonts w:cs="Times New Roman"/>
                <w:color w:val="auto"/>
                <w:kern w:val="0"/>
                <w:sz w:val="21"/>
                <w:szCs w:val="21"/>
                <w:highlight w:val="none"/>
              </w:rPr>
              <w:t>不均匀度不满足，其余指标均满足。</w:t>
            </w:r>
          </w:p>
        </w:tc>
        <w:tc>
          <w:tcPr>
            <w:tcW w:w="666" w:type="pct"/>
            <w:tcBorders>
              <w:tl2br w:val="nil"/>
              <w:tr2bl w:val="nil"/>
            </w:tcBorders>
            <w:vAlign w:val="center"/>
          </w:tcPr>
          <w:p>
            <w:pPr>
              <w:widowControl/>
              <w:spacing w:line="264" w:lineRule="auto"/>
              <w:ind w:firstLineChars="0" w:firstLine="0"/>
              <w:jc w:val="center"/>
              <w:textAlignment w:val="auto"/>
              <w:rPr>
                <w:rFonts w:cs="Times New Roman"/>
                <w:color w:val="auto"/>
                <w:kern w:val="0"/>
                <w:sz w:val="21"/>
                <w:szCs w:val="21"/>
                <w:highlight w:val="none"/>
              </w:rPr>
            </w:pPr>
            <w:r>
              <w:rPr>
                <w:rFonts w:cs="Times New Roman"/>
                <w:color w:val="auto"/>
                <w:kern w:val="0"/>
                <w:sz w:val="21"/>
                <w:szCs w:val="21"/>
                <w:highlight w:val="none"/>
              </w:rPr>
              <w:t>Ⅱ类</w:t>
            </w:r>
          </w:p>
        </w:tc>
      </w:tr>
      <w:tr>
        <w:trPr>
          <w:trHeight w:val="454"/>
        </w:trPr>
        <w:tc>
          <w:tcPr>
            <w:tcW w:w="4333" w:type="pct"/>
            <w:tcBorders>
              <w:tl2br w:val="nil"/>
              <w:tr2bl w:val="nil"/>
            </w:tcBorders>
            <w:vAlign w:val="center"/>
          </w:tcPr>
          <w:p>
            <w:pPr>
              <w:widowControl/>
              <w:spacing w:line="264" w:lineRule="auto"/>
              <w:ind w:firstLineChars="0" w:firstLine="0"/>
              <w:textAlignment w:val="auto"/>
              <w:rPr>
                <w:rFonts w:cs="Times New Roman"/>
                <w:color w:val="auto"/>
                <w:kern w:val="0"/>
                <w:sz w:val="21"/>
                <w:szCs w:val="21"/>
                <w:highlight w:val="none"/>
              </w:rPr>
            </w:pPr>
            <w:r>
              <w:rPr>
                <w:rFonts w:cs="Times New Roman"/>
                <w:color w:val="auto"/>
                <w:kern w:val="0"/>
                <w:sz w:val="21"/>
                <w:szCs w:val="21"/>
                <w:highlight w:val="none"/>
              </w:rPr>
              <w:t>力值结果出现下列四种不满足控制要求之一的：</w:t>
            </w:r>
          </w:p>
          <w:p>
            <w:pPr>
              <w:widowControl/>
              <w:spacing w:line="264" w:lineRule="auto"/>
              <w:ind w:firstLineChars="0" w:firstLine="0"/>
              <w:textAlignment w:val="auto"/>
              <w:rPr>
                <w:rFonts w:cs="Times New Roman"/>
                <w:color w:val="auto"/>
                <w:kern w:val="0"/>
                <w:sz w:val="21"/>
                <w:szCs w:val="21"/>
                <w:highlight w:val="none"/>
              </w:rPr>
            </w:pPr>
            <w:r>
              <w:rPr>
                <w:rFonts w:cs="Times New Roman"/>
                <w:color w:val="auto"/>
                <w:kern w:val="0"/>
                <w:sz w:val="21"/>
                <w:szCs w:val="21"/>
                <w:highlight w:val="none"/>
              </w:rPr>
              <w:t>1　单根力值合格率低于90%；</w:t>
            </w:r>
          </w:p>
          <w:p>
            <w:pPr>
              <w:widowControl/>
              <w:spacing w:line="264" w:lineRule="auto"/>
              <w:ind w:firstLineChars="0" w:firstLine="0"/>
              <w:textAlignment w:val="auto"/>
              <w:rPr>
                <w:rFonts w:cs="Times New Roman"/>
                <w:color w:val="auto"/>
                <w:kern w:val="0"/>
                <w:sz w:val="21"/>
                <w:szCs w:val="21"/>
                <w:highlight w:val="none"/>
              </w:rPr>
            </w:pPr>
            <w:r>
              <w:rPr>
                <w:rFonts w:cs="Times New Roman"/>
                <w:color w:val="auto"/>
                <w:kern w:val="0"/>
                <w:sz w:val="21"/>
                <w:szCs w:val="21"/>
                <w:highlight w:val="none"/>
              </w:rPr>
              <w:t>2　单根力值超出极值要求；</w:t>
            </w:r>
          </w:p>
          <w:p>
            <w:pPr>
              <w:widowControl/>
              <w:spacing w:line="264" w:lineRule="auto"/>
              <w:ind w:firstLineChars="0" w:firstLine="0"/>
              <w:textAlignment w:val="auto"/>
              <w:rPr>
                <w:rFonts w:cs="Times New Roman"/>
                <w:color w:val="auto"/>
                <w:kern w:val="0"/>
                <w:sz w:val="21"/>
                <w:szCs w:val="21"/>
                <w:highlight w:val="none"/>
              </w:rPr>
            </w:pPr>
            <w:r>
              <w:rPr>
                <w:rFonts w:cs="Times New Roman"/>
                <w:color w:val="auto"/>
                <w:kern w:val="0"/>
                <w:sz w:val="21"/>
                <w:szCs w:val="21"/>
                <w:highlight w:val="none"/>
              </w:rPr>
              <w:t>3　整束平均力值超出控制要求；</w:t>
            </w:r>
          </w:p>
          <w:p>
            <w:pPr>
              <w:widowControl/>
              <w:spacing w:line="264" w:lineRule="auto"/>
              <w:ind w:firstLineChars="0" w:firstLine="0"/>
              <w:textAlignment w:val="auto"/>
              <w:rPr>
                <w:rFonts w:cs="Times New Roman"/>
                <w:color w:val="auto"/>
                <w:kern w:val="0"/>
                <w:sz w:val="21"/>
                <w:szCs w:val="21"/>
                <w:highlight w:val="none"/>
              </w:rPr>
            </w:pPr>
            <w:r>
              <w:rPr>
                <w:rFonts w:cs="Times New Roman"/>
                <w:color w:val="auto"/>
                <w:kern w:val="0"/>
                <w:sz w:val="21"/>
                <w:szCs w:val="21"/>
                <w:highlight w:val="none"/>
              </w:rPr>
              <w:t>4　断面平均力值超出控制要求。</w:t>
            </w:r>
          </w:p>
        </w:tc>
        <w:tc>
          <w:tcPr>
            <w:tcW w:w="666" w:type="pct"/>
            <w:tcBorders>
              <w:tl2br w:val="nil"/>
              <w:tr2bl w:val="nil"/>
            </w:tcBorders>
            <w:vAlign w:val="center"/>
          </w:tcPr>
          <w:p>
            <w:pPr>
              <w:widowControl/>
              <w:spacing w:line="264" w:lineRule="auto"/>
              <w:ind w:firstLineChars="0" w:firstLine="0"/>
              <w:jc w:val="center"/>
              <w:textAlignment w:val="auto"/>
              <w:rPr>
                <w:rFonts w:cs="Times New Roman"/>
                <w:color w:val="auto"/>
                <w:kern w:val="0"/>
                <w:sz w:val="21"/>
                <w:szCs w:val="21"/>
                <w:highlight w:val="none"/>
              </w:rPr>
            </w:pPr>
            <w:r>
              <w:rPr>
                <w:rFonts w:cs="Times New Roman"/>
                <w:color w:val="auto"/>
                <w:kern w:val="0"/>
                <w:sz w:val="21"/>
                <w:szCs w:val="21"/>
                <w:highlight w:val="none"/>
              </w:rPr>
              <w:t>Ⅲ类</w:t>
            </w:r>
          </w:p>
        </w:tc>
      </w:tr>
      <w:tr>
        <w:trPr>
          <w:trHeight w:val="454"/>
        </w:trPr>
        <w:tc>
          <w:tcPr>
            <w:tcW w:w="4333" w:type="pct"/>
            <w:tcBorders>
              <w:tl2br w:val="nil"/>
              <w:tr2bl w:val="nil"/>
            </w:tcBorders>
            <w:vAlign w:val="center"/>
          </w:tcPr>
          <w:p>
            <w:pPr>
              <w:widowControl/>
              <w:spacing w:line="264" w:lineRule="auto"/>
              <w:ind w:firstLineChars="0" w:firstLine="0"/>
              <w:textAlignment w:val="auto"/>
              <w:rPr>
                <w:rFonts w:cs="Times New Roman"/>
                <w:color w:val="auto"/>
                <w:kern w:val="0"/>
                <w:sz w:val="21"/>
                <w:szCs w:val="21"/>
                <w:highlight w:val="none"/>
              </w:rPr>
            </w:pPr>
            <w:r>
              <w:rPr>
                <w:rFonts w:cs="Times New Roman"/>
                <w:color w:val="auto"/>
                <w:kern w:val="0"/>
                <w:sz w:val="21"/>
                <w:szCs w:val="21"/>
                <w:highlight w:val="none"/>
              </w:rPr>
              <w:t>力值结果不满足控制要求（同Ⅲ类）且同断面不均匀度都不满足控制要求。</w:t>
            </w:r>
          </w:p>
        </w:tc>
        <w:tc>
          <w:tcPr>
            <w:tcW w:w="666" w:type="pct"/>
            <w:tcBorders>
              <w:tl2br w:val="nil"/>
              <w:tr2bl w:val="nil"/>
            </w:tcBorders>
            <w:vAlign w:val="center"/>
          </w:tcPr>
          <w:p>
            <w:pPr>
              <w:widowControl/>
              <w:spacing w:line="264" w:lineRule="auto"/>
              <w:ind w:firstLineChars="0" w:firstLine="0"/>
              <w:jc w:val="center"/>
              <w:textAlignment w:val="auto"/>
              <w:rPr>
                <w:rFonts w:cs="Times New Roman"/>
                <w:color w:val="auto"/>
                <w:kern w:val="0"/>
                <w:sz w:val="21"/>
                <w:szCs w:val="21"/>
                <w:highlight w:val="none"/>
              </w:rPr>
            </w:pPr>
            <w:r>
              <w:rPr>
                <w:rFonts w:cs="Times New Roman"/>
                <w:color w:val="auto"/>
                <w:kern w:val="0"/>
                <w:sz w:val="21"/>
                <w:szCs w:val="21"/>
                <w:highlight w:val="none"/>
              </w:rPr>
              <w:t>Ⅳ类</w:t>
            </w:r>
          </w:p>
        </w:tc>
      </w:tr>
    </w:tbl>
    <w:p>
      <w:pPr>
        <w:widowControl/>
        <w:spacing w:line="240" w:lineRule="auto"/>
        <w:ind w:firstLineChars="0" w:firstLine="0"/>
        <w:jc w:val="left"/>
        <w:textAlignment w:val="auto"/>
        <w:rPr>
          <w:rFonts w:eastAsia="仿宋" w:cs="Times New Roman"/>
          <w:color w:val="auto"/>
          <w:szCs w:val="24"/>
          <w:shd w:val="pct10" w:color="auto" w:fill="FFFFFF"/>
          <w:highlight w:val="none"/>
        </w:rPr>
      </w:pPr>
      <w:bookmarkStart w:id="421" w:name="_Toc25823"/>
      <w:bookmarkStart w:id="422" w:name="_Toc32191"/>
      <w:bookmarkStart w:id="423" w:name="_Toc17698"/>
      <w:r>
        <w:rPr>
          <w:rFonts w:cs="Times New Roman"/>
          <w:b/>
          <w:bCs/>
          <w:color w:val="auto"/>
          <w:highlight w:val="none"/>
        </w:rPr>
        <w:br w:type="page"/>
      </w:r>
      <w:r>
        <w:rPr>
          <w:rFonts w:eastAsia="仿宋" w:cs="Times New Roman" w:hint="eastAsia"/>
          <w:b/>
          <w:bCs/>
          <w:color w:val="auto"/>
          <w:szCs w:val="24"/>
          <w:shd w:val="clear" w:color="FFFFFF" w:fill="D9D9D9"/>
          <w:lang w:val="en-US" w:eastAsia="zh-CN"/>
          <w:highlight w:val="none"/>
        </w:rPr>
        <w:t>条文说明</w:t>
      </w:r>
      <w:r>
        <w:rPr>
          <w:rFonts w:eastAsia="仿宋" w:cs="Times New Roman"/>
          <w:b/>
          <w:bCs/>
          <w:color w:val="auto"/>
          <w:szCs w:val="24"/>
          <w:shd w:val="pct10" w:color="auto" w:fill="FFFFFF"/>
          <w:highlight w:val="none"/>
        </w:rPr>
        <w:t>14.4.11　</w:t>
      </w:r>
      <w:r>
        <w:rPr>
          <w:rFonts w:eastAsia="仿宋" w:cs="Times New Roman"/>
          <w:color w:val="auto"/>
          <w:szCs w:val="24"/>
          <w:shd w:val="pct10" w:color="auto" w:fill="FFFFFF"/>
          <w:highlight w:val="none"/>
        </w:rPr>
        <w:t>当锚下有效预应力检测结果的评定等级为Ⅱ</w:t>
      </w:r>
      <w:r>
        <w:rPr>
          <w:rFonts w:eastAsia="仿宋" w:cs="Times New Roman" w:hint="eastAsia"/>
          <w:color w:val="auto"/>
          <w:szCs w:val="24"/>
          <w:shd w:val="pct10" w:color="auto" w:fill="FFFFFF"/>
          <w:highlight w:val="none"/>
        </w:rPr>
        <w:t>、Ⅲ、Ⅳ</w:t>
      </w:r>
      <w:r>
        <w:rPr>
          <w:rFonts w:eastAsia="仿宋" w:cs="Times New Roman"/>
          <w:color w:val="auto"/>
          <w:szCs w:val="24"/>
          <w:shd w:val="pct10" w:color="auto" w:fill="FFFFFF"/>
          <w:highlight w:val="none"/>
        </w:rPr>
        <w:t>类时，应采取有效措施予以处治；处治后，应再按2倍抽检比例进行复检，复检结果达到Ⅰ类时，方可继续施工；如有退索处理的，退出的钢绞线和夹片应报废处理，严禁重复使用。</w:t>
      </w:r>
    </w:p>
    <w:p>
      <w:pPr>
        <w:widowControl/>
        <w:spacing w:line="240" w:lineRule="auto"/>
        <w:ind w:firstLineChars="0" w:firstLine="0"/>
        <w:jc w:val="left"/>
        <w:textAlignment w:val="auto"/>
        <w:rPr>
          <w:rFonts w:cs="Times New Roman"/>
          <w:b/>
          <w:bCs/>
          <w:color w:val="auto"/>
          <w:highlight w:val="none"/>
        </w:rPr>
      </w:pPr>
    </w:p>
    <w:p>
      <w:pPr>
        <w:widowControl/>
        <w:spacing w:line="240" w:lineRule="auto"/>
        <w:ind w:firstLineChars="0" w:firstLine="0"/>
        <w:jc w:val="left"/>
        <w:textAlignment w:val="auto"/>
        <w:rPr>
          <w:rFonts w:cs="Times New Roman"/>
          <w:b/>
          <w:bCs/>
          <w:color w:val="auto"/>
          <w:highlight w:val="none"/>
        </w:rPr>
      </w:pPr>
    </w:p>
    <w:p>
      <w:pPr>
        <w:rPr>
          <w:rFonts w:cs="Times New Roman" w:hint="eastAsia"/>
          <w:b/>
          <w:bCs/>
          <w:color w:val="auto"/>
          <w:lang w:val="en-US" w:eastAsia="zh-CN"/>
          <w:highlight w:val="none"/>
        </w:rPr>
      </w:pPr>
      <w:r>
        <w:rPr>
          <w:rFonts w:cs="Times New Roman"/>
          <w:b/>
          <w:bCs/>
          <w:color w:val="auto"/>
          <w:highlight w:val="none"/>
        </w:rPr>
        <w:br w:type="page"/>
      </w:r>
    </w:p>
    <w:p>
      <w:pPr>
        <w:pStyle w:val="1"/>
        <w:ind w:rightChars="17" w:right="41" w:firstLineChars="0" w:firstLine="0"/>
        <w:rPr>
          <w:rStyle w:val="44"/>
          <w:rFonts w:cs="Times New Roman"/>
          <w:b w:val="0"/>
          <w:bCs w:val="0"/>
          <w:color w:val="auto"/>
          <w:kern w:val="2"/>
          <w:highlight w:val="none"/>
        </w:rPr>
      </w:pPr>
      <w:bookmarkStart w:id="424" w:name="_Toc30293"/>
      <w:bookmarkStart w:id="425" w:name="_Toc15662"/>
      <w:r>
        <w:rPr>
          <w:rFonts w:cs="Times New Roman"/>
          <w:color w:val="auto"/>
          <w:highlight w:val="none"/>
        </w:rPr>
        <w:t>15　</w:t>
      </w:r>
      <w:r>
        <w:rPr>
          <w:rFonts w:hint="eastAsia"/>
          <w:color w:val="auto"/>
          <w:highlight w:val="none"/>
        </w:rPr>
        <w:t>水洗法</w:t>
      </w:r>
      <w:bookmarkEnd w:id="424"/>
      <w:bookmarkEnd w:id="425"/>
    </w:p>
    <w:p>
      <w:pPr>
        <w:pStyle w:val="2"/>
        <w:tabs>
          <w:tab w:val="left" w:pos="0"/>
        </w:tabs>
        <w:rPr>
          <w:rFonts w:ascii="Times New Roman" w:cs="Times New Roman" w:hAnsi="Times New Roman"/>
          <w:color w:val="auto"/>
          <w:highlight w:val="none"/>
        </w:rPr>
      </w:pPr>
      <w:bookmarkStart w:id="426" w:name="_Toc7409"/>
      <w:bookmarkStart w:id="427" w:name="_Toc25215"/>
      <w:r>
        <w:rPr>
          <w:rFonts w:ascii="Times New Roman" w:cs="Times New Roman" w:hAnsi="Times New Roman"/>
          <w:color w:val="auto"/>
          <w:highlight w:val="none"/>
        </w:rPr>
        <w:t>15.1　一般规定</w:t>
      </w:r>
      <w:bookmarkEnd w:id="426"/>
      <w:bookmarkEnd w:id="427"/>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15.1.1　</w:t>
      </w:r>
      <w:r>
        <w:rPr>
          <w:rFonts w:cs="Times New Roman"/>
          <w:color w:val="auto"/>
          <w:highlight w:val="none"/>
        </w:rPr>
        <w:t>水洗法</w:t>
      </w:r>
      <w:r>
        <w:rPr>
          <w:rFonts w:cs="Times New Roman" w:hint="eastAsia"/>
          <w:color w:val="auto"/>
          <w:highlight w:val="none"/>
        </w:rPr>
        <w:t>可</w:t>
      </w:r>
      <w:r>
        <w:rPr>
          <w:rFonts w:cs="Times New Roman"/>
          <w:color w:val="auto"/>
          <w:highlight w:val="none"/>
        </w:rPr>
        <w:t>用于超高性能混凝土拌合物中钢纤维分布均匀性检测。</w:t>
      </w:r>
    </w:p>
    <w:p>
      <w:pPr>
        <w:pStyle w:val="3"/>
        <w:tabs>
          <w:tab w:val="left" w:pos="0"/>
          <w:tab w:val="left" w:pos="567"/>
          <w:tab w:val="left" w:pos="709"/>
          <w:tab w:val="left" w:pos="1560"/>
        </w:tabs>
        <w:rPr>
          <w:rFonts w:cs="Times New Roman"/>
          <w:color w:val="auto"/>
          <w:highlight w:val="none"/>
        </w:rPr>
      </w:pPr>
      <w:r>
        <w:rPr>
          <w:rFonts w:cs="Times New Roman"/>
          <w:b/>
          <w:color w:val="auto"/>
          <w:highlight w:val="none"/>
        </w:rPr>
        <w:t>15.1.</w:t>
      </w:r>
      <w:r>
        <w:rPr>
          <w:rFonts w:cs="Times New Roman" w:hint="eastAsia"/>
          <w:b/>
          <w:color w:val="auto"/>
          <w:highlight w:val="none"/>
        </w:rPr>
        <w:t>2</w:t>
      </w:r>
      <w:r>
        <w:rPr>
          <w:rFonts w:cs="Times New Roman"/>
          <w:b/>
          <w:color w:val="auto"/>
          <w:highlight w:val="none"/>
        </w:rPr>
        <w:t>　</w:t>
      </w:r>
      <w:r>
        <w:rPr>
          <w:rFonts w:cs="Times New Roman" w:hint="eastAsia"/>
          <w:color w:val="auto"/>
          <w:highlight w:val="none"/>
        </w:rPr>
        <w:t>应在超高性能混凝土搅拌完成后，提取拌合物样品进行水洗法检测</w:t>
      </w:r>
      <w:r>
        <w:rPr>
          <w:rFonts w:cs="Times New Roman"/>
          <w:color w:val="auto"/>
          <w:highlight w:val="none"/>
        </w:rPr>
        <w:t>。</w:t>
      </w:r>
    </w:p>
    <w:p>
      <w:pPr>
        <w:rPr>
          <w:rFonts w:cs="Times New Roman" w:hint="eastAsia"/>
          <w:color w:val="auto"/>
          <w:highlight w:val="none"/>
        </w:rPr>
      </w:pPr>
    </w:p>
    <w:p>
      <w:pPr>
        <w:pStyle w:val="2"/>
        <w:tabs>
          <w:tab w:val="left" w:pos="0"/>
        </w:tabs>
        <w:rPr>
          <w:rFonts w:ascii="Times New Roman" w:cs="Times New Roman" w:hAnsi="Times New Roman"/>
          <w:color w:val="auto"/>
          <w:highlight w:val="none"/>
        </w:rPr>
      </w:pPr>
      <w:bookmarkStart w:id="428" w:name="_Toc11398"/>
      <w:bookmarkStart w:id="429" w:name="_Toc21407"/>
      <w:r>
        <w:rPr>
          <w:rFonts w:ascii="Times New Roman" w:cs="Times New Roman" w:hAnsi="Times New Roman"/>
          <w:color w:val="auto"/>
          <w:highlight w:val="none"/>
        </w:rPr>
        <w:t>15.2　检测设备</w:t>
      </w:r>
      <w:bookmarkEnd w:id="428"/>
      <w:bookmarkEnd w:id="429"/>
    </w:p>
    <w:p>
      <w:pPr>
        <w:pStyle w:val="3"/>
        <w:tabs>
          <w:tab w:val="left" w:pos="0"/>
          <w:tab w:val="left" w:pos="567"/>
          <w:tab w:val="left" w:pos="709"/>
          <w:tab w:val="left" w:pos="1560"/>
        </w:tabs>
        <w:rPr>
          <w:rFonts w:cs="Times New Roman"/>
          <w:b/>
          <w:color w:val="auto"/>
          <w:highlight w:val="none"/>
        </w:rPr>
      </w:pPr>
      <w:r>
        <w:rPr>
          <w:rFonts w:cs="Times New Roman"/>
          <w:b/>
          <w:color w:val="auto"/>
          <w:highlight w:val="none"/>
        </w:rPr>
        <w:t>15.2.1　</w:t>
      </w:r>
      <w:r>
        <w:rPr>
          <w:rFonts w:cs="Times New Roman" w:hint="eastAsia"/>
          <w:b/>
          <w:color w:val="auto"/>
          <w:highlight w:val="none"/>
        </w:rPr>
        <w:t>检测设备应符合下列要求：</w:t>
      </w:r>
    </w:p>
    <w:p>
      <w:pPr>
        <w:rPr>
          <w:rFonts w:ascii="宋体" w:hAnsi="宋体" w:hint="eastAsia"/>
          <w:color w:val="auto"/>
          <w:szCs w:val="24"/>
          <w:highlight w:val="none"/>
        </w:rPr>
      </w:pPr>
      <w:r>
        <w:rPr>
          <w:rFonts w:cs="Times New Roman"/>
          <w:b/>
          <w:bCs/>
          <w:color w:val="auto"/>
          <w:kern w:val="0"/>
          <w:szCs w:val="21"/>
          <w:highlight w:val="none"/>
        </w:rPr>
        <w:t>1　</w:t>
      </w:r>
      <w:r>
        <w:rPr>
          <w:rFonts w:ascii="宋体" w:hAnsi="宋体" w:hint="eastAsia"/>
          <w:color w:val="auto"/>
          <w:szCs w:val="24"/>
          <w:highlight w:val="none"/>
        </w:rPr>
        <w:t>电子天平：称量1kg；</w:t>
      </w:r>
    </w:p>
    <w:p>
      <w:pPr>
        <w:rPr>
          <w:rFonts w:ascii="宋体" w:hAnsi="宋体" w:hint="eastAsia"/>
          <w:color w:val="auto"/>
          <w:szCs w:val="24"/>
          <w:highlight w:val="none"/>
        </w:rPr>
      </w:pPr>
      <w:r>
        <w:rPr>
          <w:rFonts w:cs="Times New Roman" w:hint="eastAsia"/>
          <w:b/>
          <w:bCs/>
          <w:color w:val="auto"/>
          <w:kern w:val="0"/>
          <w:szCs w:val="21"/>
          <w:highlight w:val="none"/>
        </w:rPr>
        <w:t>2</w:t>
      </w:r>
      <w:r>
        <w:rPr>
          <w:rFonts w:cs="Times New Roman"/>
          <w:b/>
          <w:bCs/>
          <w:color w:val="auto"/>
          <w:kern w:val="0"/>
          <w:szCs w:val="21"/>
          <w:highlight w:val="none"/>
        </w:rPr>
        <w:t>　</w:t>
      </w:r>
      <w:r>
        <w:rPr>
          <w:rFonts w:ascii="宋体" w:hAnsi="宋体" w:hint="eastAsia"/>
          <w:color w:val="auto"/>
          <w:szCs w:val="24"/>
          <w:highlight w:val="none"/>
        </w:rPr>
        <w:t>容量筒： 1</w:t>
      </w:r>
      <w:r>
        <w:rPr>
          <w:rFonts w:ascii="宋体" w:hAnsi="宋体"/>
          <w:color w:val="auto"/>
          <w:szCs w:val="24"/>
          <w:highlight w:val="none"/>
        </w:rPr>
        <w:t>L</w:t>
      </w:r>
      <w:r>
        <w:rPr>
          <w:rFonts w:ascii="宋体" w:hAnsi="宋体" w:hint="eastAsia"/>
          <w:color w:val="auto"/>
          <w:szCs w:val="24"/>
          <w:highlight w:val="none"/>
        </w:rPr>
        <w:t>容量筒，数量2个。容量筒</w:t>
      </w:r>
      <w:r>
        <w:rPr>
          <w:rFonts w:ascii="宋体" w:hAnsi="宋体"/>
          <w:color w:val="auto"/>
          <w:szCs w:val="24"/>
          <w:highlight w:val="none"/>
        </w:rPr>
        <w:t>应符合现行国家标准《普通混凝土拌合物性能试验方法标准》GB/T 50080的</w:t>
      </w:r>
      <w:r>
        <w:rPr>
          <w:rFonts w:ascii="宋体" w:hAnsi="宋体" w:hint="eastAsia"/>
          <w:color w:val="auto"/>
          <w:szCs w:val="24"/>
          <w:lang w:val="en-US" w:eastAsia="zh-CN"/>
          <w:highlight w:val="none"/>
        </w:rPr>
        <w:t>有关</w:t>
      </w:r>
      <w:r>
        <w:rPr>
          <w:rFonts w:ascii="宋体" w:hAnsi="宋体"/>
          <w:color w:val="auto"/>
          <w:szCs w:val="24"/>
          <w:highlight w:val="none"/>
        </w:rPr>
        <w:t>规定</w:t>
      </w:r>
      <w:r>
        <w:rPr>
          <w:rFonts w:ascii="宋体" w:hAnsi="宋体" w:hint="eastAsia"/>
          <w:color w:val="auto"/>
          <w:szCs w:val="24"/>
          <w:highlight w:val="none"/>
        </w:rPr>
        <w:t>；</w:t>
      </w:r>
    </w:p>
    <w:p>
      <w:pPr>
        <w:rPr>
          <w:rFonts w:ascii="宋体" w:hAnsi="宋体"/>
          <w:color w:val="auto"/>
          <w:szCs w:val="24"/>
          <w:highlight w:val="none"/>
        </w:rPr>
      </w:pPr>
      <w:r>
        <w:rPr>
          <w:rFonts w:cs="Times New Roman" w:hint="eastAsia"/>
          <w:b/>
          <w:bCs/>
          <w:color w:val="auto"/>
          <w:kern w:val="0"/>
          <w:szCs w:val="21"/>
          <w:highlight w:val="none"/>
        </w:rPr>
        <w:t>3</w:t>
      </w:r>
      <w:r>
        <w:rPr>
          <w:rFonts w:cs="Times New Roman"/>
          <w:b/>
          <w:bCs/>
          <w:color w:val="auto"/>
          <w:kern w:val="0"/>
          <w:szCs w:val="21"/>
          <w:highlight w:val="none"/>
        </w:rPr>
        <w:t>　</w:t>
      </w:r>
      <w:r>
        <w:rPr>
          <w:rFonts w:ascii="宋体" w:hAnsi="宋体" w:hint="eastAsia"/>
          <w:color w:val="auto"/>
          <w:szCs w:val="24"/>
          <w:highlight w:val="none"/>
        </w:rPr>
        <w:t>磁铁。</w:t>
      </w:r>
    </w:p>
    <w:p>
      <w:pPr>
        <w:pStyle w:val="3"/>
        <w:tabs>
          <w:tab w:val="left" w:pos="0"/>
          <w:tab w:val="left" w:pos="567"/>
          <w:tab w:val="left" w:pos="709"/>
          <w:tab w:val="left" w:pos="1560"/>
        </w:tabs>
        <w:rPr>
          <w:rFonts w:cs="Times New Roman"/>
          <w:b/>
          <w:color w:val="auto"/>
          <w:highlight w:val="none"/>
        </w:rPr>
      </w:pPr>
      <w:r>
        <w:rPr>
          <w:rFonts w:cs="Times New Roman"/>
          <w:b/>
          <w:color w:val="auto"/>
          <w:highlight w:val="none"/>
        </w:rPr>
        <w:t>15.2.</w:t>
      </w:r>
      <w:r>
        <w:rPr>
          <w:rFonts w:cs="Times New Roman" w:hint="eastAsia"/>
          <w:b/>
          <w:color w:val="auto"/>
          <w:lang w:val="en-US" w:eastAsia="zh-CN"/>
          <w:highlight w:val="none"/>
        </w:rPr>
        <w:t>2</w:t>
      </w:r>
      <w:r>
        <w:rPr>
          <w:rFonts w:cs="Times New Roman"/>
          <w:b/>
          <w:color w:val="auto"/>
          <w:highlight w:val="none"/>
        </w:rPr>
        <w:t>　</w:t>
      </w:r>
      <w:r>
        <w:rPr>
          <w:rFonts w:ascii="宋体" w:hAnsi="宋体" w:hint="eastAsia"/>
          <w:color w:val="auto"/>
          <w:szCs w:val="24"/>
          <w:highlight w:val="none"/>
        </w:rPr>
        <w:t>电子天平的精度应不低于1g</w:t>
      </w:r>
      <w:r>
        <w:rPr>
          <w:rFonts w:cs="Times New Roman" w:hint="eastAsia"/>
          <w:b/>
          <w:color w:val="auto"/>
          <w:highlight w:val="none"/>
        </w:rPr>
        <w:t>。</w:t>
      </w:r>
    </w:p>
    <w:p>
      <w:pPr>
        <w:rPr>
          <w:rFonts w:ascii="宋体" w:hAnsi="宋体" w:hint="eastAsia"/>
          <w:color w:val="auto"/>
          <w:szCs w:val="24"/>
          <w:highlight w:val="none"/>
        </w:rPr>
      </w:pPr>
    </w:p>
    <w:p>
      <w:pPr>
        <w:pStyle w:val="2"/>
        <w:tabs>
          <w:tab w:val="left" w:pos="0"/>
        </w:tabs>
        <w:rPr>
          <w:rFonts w:ascii="Times New Roman" w:cs="Times New Roman" w:hAnsi="Times New Roman"/>
          <w:color w:val="auto"/>
          <w:highlight w:val="none"/>
        </w:rPr>
      </w:pPr>
      <w:bookmarkStart w:id="430" w:name="_Toc19768"/>
      <w:bookmarkStart w:id="431" w:name="_Toc24186"/>
      <w:r>
        <w:rPr>
          <w:rFonts w:ascii="Times New Roman" w:cs="Times New Roman" w:hAnsi="Times New Roman"/>
          <w:color w:val="auto"/>
          <w:highlight w:val="none"/>
        </w:rPr>
        <w:t>15.3　检测</w:t>
      </w:r>
      <w:bookmarkEnd w:id="430"/>
      <w:bookmarkEnd w:id="431"/>
    </w:p>
    <w:p>
      <w:pPr>
        <w:pStyle w:val="3"/>
        <w:tabs>
          <w:tab w:val="left" w:pos="0"/>
          <w:tab w:val="left" w:pos="567"/>
          <w:tab w:val="left" w:pos="709"/>
          <w:tab w:val="left" w:pos="1560"/>
        </w:tabs>
        <w:rPr>
          <w:rFonts w:ascii="黑体" w:eastAsia="黑体" w:hAnsi="黑体" w:hint="eastAsia"/>
          <w:color w:val="auto"/>
          <w:szCs w:val="24"/>
          <w:highlight w:val="none"/>
        </w:rPr>
      </w:pPr>
      <w:r>
        <w:rPr>
          <w:rFonts w:cs="Times New Roman"/>
          <w:b/>
          <w:color w:val="auto"/>
          <w:highlight w:val="none"/>
        </w:rPr>
        <w:t>15.3.1　</w:t>
      </w:r>
      <w:r>
        <w:rPr>
          <w:rFonts w:ascii="宋体" w:hAnsi="宋体" w:hint="eastAsia"/>
          <w:color w:val="auto"/>
          <w:szCs w:val="24"/>
          <w:highlight w:val="none"/>
        </w:rPr>
        <w:t>检测应按以下流程操作：</w:t>
      </w:r>
      <w:r>
        <w:rPr>
          <w:rFonts w:cs="Times New Roman" w:hint="eastAsia"/>
          <w:color w:val="auto"/>
          <w:highlight w:val="none"/>
        </w:rPr>
        <w:t>在拌合物中随机取样→水冲法分离提取钢纤维→去除钢纤维表面水分→称重钢纤维→计算钢纤维体积比</w:t>
      </w:r>
      <w:r>
        <w:rPr>
          <w:rFonts w:ascii="宋体" w:hAnsi="宋体" w:hint="eastAsia"/>
          <w:color w:val="auto"/>
          <w:szCs w:val="24"/>
          <w:highlight w:val="none"/>
        </w:rPr>
        <w:t>。</w:t>
      </w:r>
    </w:p>
    <w:p>
      <w:pPr>
        <w:pStyle w:val="3"/>
        <w:tabs>
          <w:tab w:val="left" w:pos="0"/>
          <w:tab w:val="left" w:pos="567"/>
          <w:tab w:val="left" w:pos="709"/>
          <w:tab w:val="left" w:pos="1560"/>
        </w:tabs>
        <w:rPr>
          <w:rFonts w:ascii="宋体" w:hAnsi="宋体" w:hint="eastAsia"/>
          <w:color w:val="auto"/>
          <w:szCs w:val="24"/>
          <w:highlight w:val="none"/>
        </w:rPr>
      </w:pPr>
      <w:r>
        <w:rPr>
          <w:rFonts w:cs="Times New Roman"/>
          <w:b/>
          <w:color w:val="auto"/>
          <w:highlight w:val="none"/>
        </w:rPr>
        <w:t>15.3.</w:t>
      </w:r>
      <w:r>
        <w:rPr>
          <w:rFonts w:cs="Times New Roman" w:hint="eastAsia"/>
          <w:b/>
          <w:color w:val="auto"/>
          <w:highlight w:val="none"/>
        </w:rPr>
        <w:t>2</w:t>
      </w:r>
      <w:r>
        <w:rPr>
          <w:rFonts w:cs="Times New Roman"/>
          <w:b/>
          <w:color w:val="auto"/>
          <w:highlight w:val="none"/>
        </w:rPr>
        <w:t>　</w:t>
      </w:r>
      <w:r>
        <w:rPr>
          <w:rFonts w:ascii="宋体" w:hAnsi="宋体" w:hint="eastAsia"/>
          <w:color w:val="auto"/>
          <w:szCs w:val="24"/>
          <w:highlight w:val="none"/>
        </w:rPr>
        <w:t>检测应符合下列要求：</w:t>
      </w:r>
    </w:p>
    <w:p>
      <w:pPr>
        <w:jc w:val="left"/>
        <w:rPr>
          <w:rFonts w:ascii="Calibri" w:hAnsi="Calibri"/>
          <w:color w:val="auto"/>
          <w:szCs w:val="24"/>
          <w:highlight w:val="none"/>
        </w:rPr>
      </w:pPr>
      <w:r>
        <w:rPr>
          <w:rFonts w:cs="Times New Roman" w:hint="eastAsia"/>
          <w:b/>
          <w:bCs/>
          <w:color w:val="auto"/>
          <w:kern w:val="0"/>
          <w:szCs w:val="21"/>
          <w:highlight w:val="none"/>
        </w:rPr>
        <w:t>1</w:t>
      </w:r>
      <w:r>
        <w:rPr>
          <w:rFonts w:cs="Times New Roman"/>
          <w:b/>
          <w:bCs/>
          <w:color w:val="auto"/>
          <w:kern w:val="0"/>
          <w:szCs w:val="21"/>
          <w:highlight w:val="none"/>
        </w:rPr>
        <w:t>　</w:t>
      </w:r>
      <w:r>
        <w:rPr>
          <w:rFonts w:ascii="宋体" w:hAnsi="宋体" w:hint="eastAsia"/>
          <w:color w:val="auto"/>
          <w:szCs w:val="24"/>
          <w:highlight w:val="none"/>
        </w:rPr>
        <w:t>试验取样时，</w:t>
      </w:r>
      <w:r>
        <w:rPr>
          <w:rFonts w:ascii="Calibri" w:hAnsi="Calibri" w:hint="eastAsia"/>
          <w:color w:val="auto"/>
          <w:szCs w:val="24"/>
          <w:highlight w:val="none"/>
        </w:rPr>
        <w:t>随机取拌合物装至2个容量筒中，应振动填实，表面刮平，分别做标记。</w:t>
      </w:r>
    </w:p>
    <w:p>
      <w:pPr>
        <w:jc w:val="left"/>
        <w:rPr>
          <w:rFonts w:ascii="Calibri" w:hAnsi="Calibri"/>
          <w:color w:val="auto"/>
          <w:szCs w:val="24"/>
          <w:highlight w:val="none"/>
        </w:rPr>
      </w:pPr>
      <w:r>
        <w:rPr>
          <w:rFonts w:cs="Times New Roman" w:hint="eastAsia"/>
          <w:b/>
          <w:bCs/>
          <w:color w:val="auto"/>
          <w:kern w:val="0"/>
          <w:szCs w:val="21"/>
          <w:highlight w:val="none"/>
        </w:rPr>
        <w:t>2</w:t>
      </w:r>
      <w:r>
        <w:rPr>
          <w:rFonts w:cs="Times New Roman"/>
          <w:b/>
          <w:bCs/>
          <w:color w:val="auto"/>
          <w:kern w:val="0"/>
          <w:szCs w:val="21"/>
          <w:highlight w:val="none"/>
        </w:rPr>
        <w:t>　</w:t>
      </w:r>
      <w:r>
        <w:rPr>
          <w:rFonts w:ascii="Calibri" w:hAnsi="Calibri" w:hint="eastAsia"/>
          <w:color w:val="auto"/>
          <w:szCs w:val="24"/>
          <w:highlight w:val="none"/>
        </w:rPr>
        <w:t>将2个容量筒中拌合物分别倒入不</w:t>
      </w:r>
      <w:r>
        <w:rPr>
          <w:rFonts w:ascii="宋体" w:hAnsi="宋体" w:hint="eastAsia"/>
          <w:color w:val="auto"/>
          <w:szCs w:val="24"/>
          <w:highlight w:val="none"/>
        </w:rPr>
        <w:t>小于5倍拌合物体积的大容器中，加水搅拌，把稀释的浆液倒出，在所余的砂石及钢纤维残渣</w:t>
      </w:r>
      <w:r>
        <w:rPr>
          <w:rFonts w:ascii="Calibri" w:hAnsi="Calibri" w:hint="eastAsia"/>
          <w:color w:val="auto"/>
          <w:szCs w:val="24"/>
          <w:highlight w:val="none"/>
        </w:rPr>
        <w:t>中，用磁铁搜集钢纤维，洗净粘附在纤维上的异物。各容量筒中的钢纤维应分别收集，不可丢失。</w:t>
      </w:r>
    </w:p>
    <w:p>
      <w:pPr>
        <w:jc w:val="left"/>
        <w:rPr>
          <w:rFonts w:cs="Times New Roman"/>
          <w:color w:val="auto"/>
          <w:highlight w:val="none"/>
        </w:rPr>
      </w:pPr>
      <w:r>
        <w:rPr>
          <w:rFonts w:cs="Times New Roman" w:hint="eastAsia"/>
          <w:b/>
          <w:bCs/>
          <w:color w:val="auto"/>
          <w:kern w:val="0"/>
          <w:szCs w:val="21"/>
          <w:highlight w:val="none"/>
        </w:rPr>
        <w:t>3</w:t>
      </w:r>
      <w:r>
        <w:rPr>
          <w:rFonts w:cs="Times New Roman"/>
          <w:b/>
          <w:bCs/>
          <w:color w:val="auto"/>
          <w:kern w:val="0"/>
          <w:szCs w:val="21"/>
          <w:highlight w:val="none"/>
        </w:rPr>
        <w:t>　</w:t>
      </w:r>
      <w:r>
        <w:rPr>
          <w:rFonts w:ascii="Calibri" w:hAnsi="Calibri" w:hint="eastAsia"/>
          <w:color w:val="auto"/>
          <w:szCs w:val="24"/>
          <w:highlight w:val="none"/>
        </w:rPr>
        <w:t>对钢纤维进行干燥处理，去除钢纤维表面的水分。可将收集的钢纤维在105℃±5℃的温度下烘干，烘干时间应不小于4h，之后每隔1h称量一次，直至连续两次称重的数值之差小于较小值的0.5%时为止；</w:t>
      </w:r>
    </w:p>
    <w:p>
      <w:pPr>
        <w:jc w:val="left"/>
        <w:rPr>
          <w:rFonts w:ascii="Calibri" w:hAnsi="Calibri"/>
          <w:color w:val="auto"/>
          <w:szCs w:val="24"/>
          <w:highlight w:val="none"/>
        </w:rPr>
      </w:pPr>
      <w:r>
        <w:rPr>
          <w:rFonts w:cs="Times New Roman" w:hint="eastAsia"/>
          <w:b/>
          <w:bCs/>
          <w:color w:val="auto"/>
          <w:kern w:val="0"/>
          <w:szCs w:val="21"/>
          <w:highlight w:val="none"/>
        </w:rPr>
        <w:t>4</w:t>
      </w:r>
      <w:r>
        <w:rPr>
          <w:rFonts w:cs="Times New Roman"/>
          <w:b/>
          <w:bCs/>
          <w:color w:val="auto"/>
          <w:kern w:val="0"/>
          <w:szCs w:val="21"/>
          <w:highlight w:val="none"/>
        </w:rPr>
        <w:t>　</w:t>
      </w:r>
      <w:r>
        <w:rPr>
          <w:rFonts w:cs="Times New Roman" w:hint="eastAsia"/>
          <w:color w:val="auto"/>
          <w:highlight w:val="none"/>
        </w:rPr>
        <w:t>分别称量从2个</w:t>
      </w:r>
      <w:r>
        <w:rPr>
          <w:rFonts w:ascii="Calibri" w:hAnsi="Calibri" w:hint="eastAsia"/>
          <w:color w:val="auto"/>
          <w:szCs w:val="24"/>
          <w:highlight w:val="none"/>
        </w:rPr>
        <w:t>容量筒</w:t>
      </w:r>
      <w:r>
        <w:rPr>
          <w:rFonts w:cs="Times New Roman" w:hint="eastAsia"/>
          <w:color w:val="auto"/>
          <w:highlight w:val="none"/>
        </w:rPr>
        <w:t>中提取的干燥钢纤维重量。</w:t>
      </w:r>
    </w:p>
    <w:p>
      <w:pPr>
        <w:pStyle w:val="3"/>
        <w:tabs>
          <w:tab w:val="left" w:pos="0"/>
          <w:tab w:val="left" w:pos="567"/>
          <w:tab w:val="left" w:pos="709"/>
          <w:tab w:val="left" w:pos="1560"/>
        </w:tabs>
        <w:rPr>
          <w:rFonts w:ascii="Calibri" w:hAnsi="Calibri"/>
          <w:color w:val="auto"/>
          <w:szCs w:val="24"/>
          <w:highlight w:val="none"/>
        </w:rPr>
      </w:pPr>
      <w:bookmarkStart w:id="432" w:name="OLE_LINK21"/>
      <w:r>
        <w:rPr>
          <w:rFonts w:cs="Times New Roman"/>
          <w:b/>
          <w:color w:val="auto"/>
          <w:highlight w:val="none"/>
        </w:rPr>
        <w:t>15.3.</w:t>
      </w:r>
      <w:r>
        <w:rPr>
          <w:rFonts w:cs="Times New Roman" w:hint="eastAsia"/>
          <w:b/>
          <w:color w:val="auto"/>
          <w:highlight w:val="none"/>
        </w:rPr>
        <w:t>3</w:t>
      </w:r>
      <w:r>
        <w:rPr>
          <w:rFonts w:cs="Times New Roman"/>
          <w:b/>
          <w:color w:val="auto"/>
          <w:highlight w:val="none"/>
        </w:rPr>
        <w:t>　</w:t>
      </w:r>
      <w:r>
        <w:rPr>
          <w:rFonts w:ascii="Calibri" w:hAnsi="Calibri" w:hint="eastAsia"/>
          <w:color w:val="auto"/>
          <w:szCs w:val="24"/>
          <w:highlight w:val="none"/>
        </w:rPr>
        <w:t>钢纤维在超高性能混凝土拌合物中的体积率应按下式计算：</w:t>
      </w:r>
    </w:p>
    <w:p>
      <w:pPr>
        <w:wordWrap w:val="0"/>
        <w:jc w:val="right"/>
        <w:rPr>
          <w:rFonts w:ascii="Calibri" w:hAnsi="Calibri"/>
          <w:color w:val="auto"/>
          <w:szCs w:val="24"/>
          <w:highlight w:val="none"/>
        </w:rPr>
      </w:pPr>
      <w:bookmarkEnd w:id="432"/>
      <m:oMath>
        <m:sSub>
          <m:sSubPr>
            <m:ctrlPr>
              <w:rPr>
                <w:rFonts w:ascii="Cambria Math" w:hAnsi="Cambria Math"/>
                <w:color w:val="auto"/>
                <w:szCs w:val="24"/>
              </w:rPr>
            </m:ctrlPr>
          </m:sSubPr>
          <m:e>
            <m:r>
              <w:rPr>
                <w:rFonts w:ascii="Cambria Math" w:hAnsi="Cambria Math" w:hint="eastAsia"/>
                <w:color w:val="auto"/>
                <w:szCs w:val="24"/>
                <w:highlight w:val="none"/>
              </w:rPr>
              <m:t>ρ</m:t>
            </m:r>
          </m:e>
          <m:sub>
            <m:r>
              <w:rPr>
                <w:rFonts w:ascii="Cambria Math" w:hAnsi="Cambria Math" w:hint="eastAsia"/>
                <w:color w:val="auto"/>
                <w:szCs w:val="24"/>
                <w:highlight w:val="none"/>
              </w:rPr>
              <m:t>s</m:t>
            </m:r>
          </m:sub>
        </m:sSub>
        <m:r>
          <w:rPr>
            <w:rFonts w:ascii="Cambria Math" w:hAnsi="Cambria Math"/>
            <w:color w:val="auto"/>
            <w:szCs w:val="24"/>
            <w:highlight w:val="none"/>
          </w:rPr>
          <m:t>=</m:t>
        </m:r>
        <m:f>
          <m:fPr>
            <m:ctrlPr>
              <w:rPr>
                <w:rFonts w:ascii="Cambria Math" w:hAnsi="Cambria Math"/>
                <w:color w:val="auto"/>
                <w:szCs w:val="24"/>
              </w:rPr>
            </m:ctrlPr>
          </m:fPr>
          <m:num>
            <m:sSub>
              <m:sSubPr>
                <m:ctrlPr>
                  <w:rPr>
                    <w:rFonts w:ascii="Cambria Math" w:hAnsi="Cambria Math"/>
                    <w:color w:val="auto"/>
                    <w:szCs w:val="24"/>
                  </w:rPr>
                </m:ctrlPr>
              </m:sSubPr>
              <m:e>
                <m:r>
                  <w:rPr>
                    <w:rFonts w:ascii="Cambria Math" w:hAnsi="Cambria Math"/>
                    <w:color w:val="auto"/>
                    <w:szCs w:val="24"/>
                    <w:highlight w:val="none"/>
                  </w:rPr>
                  <m:t>m</m:t>
                </m:r>
              </m:e>
              <m:sub>
                <m:r>
                  <w:rPr>
                    <w:rFonts w:ascii="Cambria Math" w:hAnsi="Cambria Math"/>
                    <w:color w:val="auto"/>
                    <w:szCs w:val="24"/>
                    <w:highlight w:val="none"/>
                  </w:rPr>
                  <m:t>s</m:t>
                </m:r>
              </m:sub>
            </m:sSub>
          </m:num>
          <m:den>
            <m:sSub>
              <m:sSubPr>
                <m:ctrlPr>
                  <w:rPr>
                    <w:rFonts w:ascii="Cambria Math" w:hAnsi="Cambria Math"/>
                    <w:color w:val="auto"/>
                    <w:szCs w:val="24"/>
                  </w:rPr>
                </m:ctrlPr>
              </m:sSubPr>
              <m:e>
                <m:r>
                  <w:rPr>
                    <w:rFonts w:ascii="Cambria Math" w:hAnsi="Cambria Math"/>
                    <w:color w:val="auto"/>
                    <w:szCs w:val="24"/>
                    <w:highlight w:val="none"/>
                  </w:rPr>
                  <m:t>γ</m:t>
                </m:r>
              </m:e>
              <m:sub>
                <m:r>
                  <w:rPr>
                    <w:rFonts w:ascii="Cambria Math" w:hAnsi="Cambria Math" w:hint="eastAsia"/>
                    <w:color w:val="auto"/>
                    <w:szCs w:val="24"/>
                    <w:highlight w:val="none"/>
                  </w:rPr>
                  <m:t>s</m:t>
                </m:r>
              </m:sub>
            </m:sSub>
            <m:r>
              <w:rPr>
                <w:rFonts w:ascii="Cambria Math" w:hAnsi="Cambria Math"/>
                <w:color w:val="auto"/>
                <w:szCs w:val="24"/>
                <w:highlight w:val="none"/>
              </w:rPr>
              <m:t>V</m:t>
            </m:r>
          </m:den>
        </m:f>
        <m:r>
          <w:rPr>
            <w:rFonts w:ascii="Cambria Math" w:hAnsi="Cambria Math"/>
            <w:color w:val="auto"/>
            <w:szCs w:val="24"/>
            <w:highlight w:val="none"/>
          </w:rPr>
          <m:t>100</m:t>
        </m:r>
      </m:oMath>
      <w:r>
        <w:rPr>
          <w:rFonts w:ascii="Calibri" w:hAnsi="Calibri"/>
          <w:color w:val="auto"/>
          <w:szCs w:val="24"/>
          <w:highlight w:val="none"/>
        </w:rPr>
        <w:t xml:space="preserve">                     </w:t>
      </w:r>
      <w:r>
        <w:rPr>
          <w:rFonts w:cs="Times New Roman" w:hint="eastAsia"/>
          <w:color w:val="auto"/>
          <w:highlight w:val="none"/>
        </w:rPr>
        <w:t>（</w:t>
      </w:r>
      <w:r>
        <w:rPr>
          <w:rFonts w:cs="Times New Roman" w:hint="eastAsia"/>
          <w:color w:val="auto"/>
          <w:lang w:val="en-US" w:eastAsia="zh-CN"/>
          <w:highlight w:val="none"/>
        </w:rPr>
        <w:t>15.3.3</w:t>
      </w:r>
      <w:r>
        <w:rPr>
          <w:rFonts w:cs="Times New Roman"/>
          <w:color w:val="auto"/>
          <w:highlight w:val="none"/>
        </w:rPr>
        <w:t>）</w:t>
      </w:r>
    </w:p>
    <w:p>
      <w:pPr>
        <w:jc w:val="left"/>
        <w:rPr>
          <w:rFonts w:ascii="Calibri" w:hAnsi="Calibri"/>
          <w:color w:val="auto"/>
          <w:szCs w:val="24"/>
          <w:highlight w:val="none"/>
        </w:rPr>
      </w:pPr>
      <w:r>
        <w:rPr>
          <w:rFonts w:ascii="Calibri" w:hAnsi="Calibri" w:hint="eastAsia"/>
          <w:color w:val="auto"/>
          <w:szCs w:val="24"/>
          <w:highlight w:val="none"/>
        </w:rPr>
        <w:t>式中：</w:t>
      </w:r>
      <m:oMath>
        <m:sSub>
          <m:sSubPr>
            <m:ctrlPr>
              <w:rPr>
                <w:rFonts w:ascii="Cambria Math" w:hAnsi="Cambria Math"/>
                <w:color w:val="auto"/>
                <w:szCs w:val="24"/>
              </w:rPr>
            </m:ctrlPr>
          </m:sSubPr>
          <m:e>
            <m:r>
              <w:rPr>
                <w:rFonts w:ascii="Cambria Math" w:hAnsi="Cambria Math" w:hint="eastAsia"/>
                <w:color w:val="auto"/>
                <w:szCs w:val="24"/>
                <w:highlight w:val="none"/>
              </w:rPr>
              <m:t>ρ</m:t>
            </m:r>
          </m:e>
          <m:sub>
            <m:r>
              <w:rPr>
                <w:rFonts w:ascii="Cambria Math" w:hAnsi="Cambria Math" w:hint="eastAsia"/>
                <w:color w:val="auto"/>
                <w:szCs w:val="24"/>
                <w:highlight w:val="none"/>
              </w:rPr>
              <m:t>s</m:t>
            </m:r>
          </m:sub>
        </m:sSub>
      </m:oMath>
      <w:r>
        <w:rPr>
          <w:rFonts w:eastAsia="仿宋_GB2312"/>
          <w:color w:val="auto"/>
          <w:szCs w:val="24"/>
          <w:highlight w:val="none"/>
        </w:rPr>
        <w:t>——</w:t>
      </w:r>
      <w:r>
        <w:rPr>
          <w:rFonts w:ascii="Calibri" w:hAnsi="Calibri" w:hint="eastAsia"/>
          <w:color w:val="auto"/>
          <w:szCs w:val="24"/>
          <w:highlight w:val="none"/>
        </w:rPr>
        <w:t>超高性能混凝土拌合物</w:t>
      </w:r>
      <w:r>
        <w:rPr>
          <w:rFonts w:ascii="宋体" w:hAnsi="宋体" w:hint="eastAsia"/>
          <w:color w:val="auto"/>
          <w:szCs w:val="24"/>
          <w:highlight w:val="none"/>
        </w:rPr>
        <w:t>中钢纤维体积率（%）</w:t>
      </w:r>
    </w:p>
    <w:p>
      <w:pPr>
        <w:ind w:firstLineChars="494" w:firstLine="1188"/>
        <w:jc w:val="left"/>
        <w:rPr>
          <w:rFonts w:ascii="Calibri" w:hAnsi="Calibri"/>
          <w:color w:val="auto"/>
          <w:szCs w:val="24"/>
          <w:highlight w:val="none"/>
        </w:rPr>
      </w:pPr>
      <m:oMath>
        <m:sSub>
          <m:sSubPr>
            <m:ctrlPr>
              <w:rPr>
                <w:rFonts w:ascii="Cambria Math" w:hAnsi="Cambria Math"/>
                <w:color w:val="auto"/>
                <w:szCs w:val="24"/>
              </w:rPr>
            </m:ctrlPr>
          </m:sSubPr>
          <m:e>
            <m:r>
              <w:rPr>
                <w:rFonts w:ascii="Cambria Math" w:hAnsi="Cambria Math"/>
                <w:color w:val="auto"/>
                <w:szCs w:val="24"/>
                <w:highlight w:val="none"/>
              </w:rPr>
              <m:t>m</m:t>
            </m:r>
          </m:e>
          <m:sub>
            <m:r>
              <w:rPr>
                <w:rFonts w:ascii="Cambria Math" w:hAnsi="Cambria Math"/>
                <w:color w:val="auto"/>
                <w:szCs w:val="24"/>
                <w:highlight w:val="none"/>
              </w:rPr>
              <m:t>s</m:t>
            </m:r>
          </m:sub>
        </m:sSub>
      </m:oMath>
      <w:r>
        <w:rPr>
          <w:rFonts w:eastAsia="仿宋_GB2312"/>
          <w:color w:val="auto"/>
          <w:szCs w:val="24"/>
          <w:highlight w:val="none"/>
        </w:rPr>
        <w:t>——</w:t>
      </w:r>
      <w:r>
        <w:rPr>
          <w:rFonts w:ascii="Calibri" w:hAnsi="Calibri" w:hint="eastAsia"/>
          <w:color w:val="auto"/>
          <w:szCs w:val="24"/>
          <w:highlight w:val="none"/>
        </w:rPr>
        <w:t>容量</w:t>
      </w:r>
      <w:r>
        <w:rPr>
          <w:rFonts w:ascii="宋体" w:hAnsi="宋体" w:hint="eastAsia"/>
          <w:color w:val="auto"/>
          <w:szCs w:val="24"/>
          <w:highlight w:val="none"/>
        </w:rPr>
        <w:t>筒中钢纤维质量（g）</w:t>
      </w:r>
      <w:r>
        <w:rPr>
          <w:rFonts w:ascii="Calibri" w:hAnsi="Calibri" w:hint="eastAsia"/>
          <w:color w:val="auto"/>
          <w:szCs w:val="24"/>
          <w:highlight w:val="none"/>
        </w:rPr>
        <w:t>；</w:t>
      </w:r>
    </w:p>
    <w:p>
      <w:pPr>
        <w:ind w:firstLineChars="494" w:firstLine="1188"/>
        <w:jc w:val="left"/>
        <w:rPr>
          <w:rFonts w:ascii="Calibri" w:eastAsia="宋体" w:hAnsi="Calibri" w:hint="eastAsia"/>
          <w:color w:val="auto"/>
          <w:szCs w:val="24"/>
          <w:lang w:eastAsia="zh-CN"/>
          <w:highlight w:val="none"/>
        </w:rPr>
      </w:pPr>
      <m:oMath>
        <m:sSub>
          <m:sSubPr>
            <m:ctrlPr>
              <w:rPr>
                <w:rFonts w:ascii="Cambria Math" w:hAnsi="Cambria Math"/>
                <w:color w:val="auto"/>
                <w:szCs w:val="24"/>
              </w:rPr>
            </m:ctrlPr>
          </m:sSubPr>
          <m:e>
            <m:r>
              <w:rPr>
                <w:rFonts w:ascii="Cambria Math" w:hAnsi="Cambria Math"/>
                <w:color w:val="auto"/>
                <w:szCs w:val="24"/>
                <w:highlight w:val="none"/>
              </w:rPr>
              <m:t>γ</m:t>
            </m:r>
          </m:e>
          <m:sub>
            <m:r>
              <w:rPr>
                <w:rFonts w:ascii="Cambria Math" w:hAnsi="Cambria Math" w:hint="eastAsia"/>
                <w:color w:val="auto"/>
                <w:szCs w:val="24"/>
                <w:highlight w:val="none"/>
              </w:rPr>
              <m:t>s</m:t>
            </m:r>
          </m:sub>
        </m:sSub>
      </m:oMath>
      <w:r>
        <w:rPr>
          <w:rFonts w:eastAsia="仿宋_GB2312"/>
          <w:color w:val="auto"/>
          <w:szCs w:val="24"/>
          <w:highlight w:val="none"/>
        </w:rPr>
        <w:t>——</w:t>
      </w:r>
      <w:r>
        <w:rPr>
          <w:rFonts w:ascii="Calibri" w:hAnsi="Calibri" w:hint="eastAsia"/>
          <w:color w:val="auto"/>
          <w:szCs w:val="24"/>
          <w:highlight w:val="none"/>
        </w:rPr>
        <w:t>钢纤</w:t>
      </w:r>
      <w:r>
        <w:rPr>
          <w:rFonts w:ascii="宋体" w:hAnsi="宋体" w:hint="eastAsia"/>
          <w:color w:val="auto"/>
          <w:szCs w:val="24"/>
          <w:highlight w:val="none"/>
        </w:rPr>
        <w:t>维的质量密度（kg/</w:t>
      </w:r>
      <w:r>
        <w:rPr>
          <w:rFonts w:ascii="宋体" w:hAnsi="宋体"/>
          <w:color w:val="auto"/>
          <w:szCs w:val="24"/>
          <w:highlight w:val="none"/>
        </w:rPr>
        <w:t>m</w:t>
      </w:r>
      <w:r>
        <w:rPr>
          <w:rFonts w:ascii="宋体" w:hAnsi="宋体"/>
          <w:color w:val="auto"/>
          <w:szCs w:val="24"/>
          <w:vertAlign w:val="superscript"/>
          <w:highlight w:val="none"/>
        </w:rPr>
        <w:t>3</w:t>
      </w:r>
      <w:r>
        <w:rPr>
          <w:rFonts w:ascii="宋体" w:hAnsi="宋体" w:hint="eastAsia"/>
          <w:color w:val="auto"/>
          <w:szCs w:val="24"/>
          <w:highlight w:val="none"/>
        </w:rPr>
        <w:t>）</w:t>
      </w:r>
      <w:r>
        <w:rPr>
          <w:rFonts w:ascii="宋体" w:hAnsi="宋体" w:hint="eastAsia"/>
          <w:color w:val="auto"/>
          <w:szCs w:val="24"/>
          <w:lang w:eastAsia="zh-CN"/>
          <w:highlight w:val="none"/>
        </w:rPr>
        <w:t>；</w:t>
      </w:r>
    </w:p>
    <w:p>
      <w:pPr>
        <w:ind w:firstLineChars="504" w:firstLine="1210"/>
        <w:jc w:val="left"/>
        <w:rPr>
          <w:rFonts w:ascii="Calibri" w:hAnsi="Calibri"/>
          <w:color w:val="auto"/>
          <w:szCs w:val="24"/>
          <w:highlight w:val="none"/>
        </w:rPr>
      </w:pPr>
      <m:oMath>
        <m:r>
          <w:rPr>
            <w:rFonts w:ascii="Cambria Math" w:hAnsi="Cambria Math"/>
            <w:color w:val="auto"/>
            <w:szCs w:val="24"/>
            <w:highlight w:val="none"/>
          </w:rPr>
          <m:t>V</m:t>
        </m:r>
      </m:oMath>
      <w:r>
        <w:rPr>
          <w:rFonts w:eastAsia="仿宋_GB2312" w:hint="eastAsia"/>
          <w:color w:val="auto"/>
          <w:szCs w:val="24"/>
          <w:highlight w:val="none"/>
        </w:rPr>
        <w:t>——</w:t>
      </w:r>
      <w:r>
        <w:rPr>
          <w:rFonts w:ascii="Calibri" w:hAnsi="Calibri" w:hint="eastAsia"/>
          <w:color w:val="auto"/>
          <w:szCs w:val="24"/>
          <w:highlight w:val="none"/>
        </w:rPr>
        <w:t>容量筒</w:t>
      </w:r>
      <w:r>
        <w:rPr>
          <w:rFonts w:ascii="宋体" w:hAnsi="宋体" w:hint="eastAsia"/>
          <w:color w:val="auto"/>
          <w:szCs w:val="24"/>
          <w:highlight w:val="none"/>
        </w:rPr>
        <w:t>容积（L</w:t>
      </w:r>
      <w:r>
        <w:rPr>
          <w:rFonts w:ascii="宋体" w:hAnsi="宋体"/>
          <w:color w:val="auto"/>
          <w:szCs w:val="24"/>
          <w:highlight w:val="none"/>
        </w:rPr>
        <w:t>）</w:t>
      </w:r>
      <w:r>
        <w:rPr>
          <w:rFonts w:ascii="Calibri" w:hAnsi="Calibri" w:hint="eastAsia"/>
          <w:color w:val="auto"/>
          <w:szCs w:val="24"/>
          <w:highlight w:val="none"/>
        </w:rPr>
        <w:t>。</w:t>
      </w:r>
    </w:p>
    <w:p>
      <w:pPr>
        <w:rPr>
          <w:color w:val="auto"/>
          <w:highlight w:val="none"/>
        </w:rPr>
      </w:pPr>
    </w:p>
    <w:p>
      <w:pPr>
        <w:pStyle w:val="2"/>
        <w:tabs>
          <w:tab w:val="left" w:pos="0"/>
        </w:tabs>
        <w:rPr>
          <w:rFonts w:ascii="Times New Roman" w:cs="Times New Roman" w:hAnsi="Times New Roman"/>
          <w:color w:val="auto"/>
          <w:highlight w:val="none"/>
        </w:rPr>
      </w:pPr>
      <w:bookmarkStart w:id="433" w:name="_Toc12227"/>
      <w:bookmarkStart w:id="434" w:name="_Toc24296"/>
      <w:r>
        <w:rPr>
          <w:rFonts w:ascii="Times New Roman" w:cs="Times New Roman" w:hAnsi="Times New Roman"/>
          <w:color w:val="auto"/>
          <w:highlight w:val="none"/>
        </w:rPr>
        <w:t>15.4　评定</w:t>
      </w:r>
      <w:bookmarkEnd w:id="433"/>
      <w:bookmarkEnd w:id="434"/>
    </w:p>
    <w:p>
      <w:pPr>
        <w:pStyle w:val="3"/>
        <w:tabs>
          <w:tab w:val="left" w:pos="0"/>
          <w:tab w:val="left" w:pos="567"/>
          <w:tab w:val="left" w:pos="709"/>
          <w:tab w:val="left" w:pos="1560"/>
        </w:tabs>
        <w:rPr>
          <w:rFonts w:ascii="宋体" w:hAnsi="宋体" w:hint="eastAsia"/>
          <w:color w:val="auto"/>
          <w:kern w:val="0"/>
          <w:highlight w:val="none"/>
        </w:rPr>
      </w:pPr>
      <w:r>
        <w:rPr>
          <w:rFonts w:cs="Times New Roman"/>
          <w:b/>
          <w:color w:val="auto"/>
          <w:highlight w:val="none"/>
        </w:rPr>
        <w:t>15.</w:t>
      </w:r>
      <w:r>
        <w:rPr>
          <w:rFonts w:cs="Times New Roman" w:hint="eastAsia"/>
          <w:b/>
          <w:color w:val="auto"/>
          <w:highlight w:val="none"/>
        </w:rPr>
        <w:t>4</w:t>
      </w:r>
      <w:r>
        <w:rPr>
          <w:rFonts w:cs="Times New Roman"/>
          <w:b/>
          <w:color w:val="auto"/>
          <w:highlight w:val="none"/>
        </w:rPr>
        <w:t>.</w:t>
      </w:r>
      <w:r>
        <w:rPr>
          <w:rFonts w:cs="Times New Roman" w:hint="eastAsia"/>
          <w:b/>
          <w:color w:val="auto"/>
          <w:highlight w:val="none"/>
        </w:rPr>
        <w:t>1</w:t>
      </w:r>
      <w:r>
        <w:rPr>
          <w:rFonts w:cs="Times New Roman"/>
          <w:b/>
          <w:color w:val="auto"/>
          <w:highlight w:val="none"/>
        </w:rPr>
        <w:t>　</w:t>
      </w:r>
      <w:bookmarkStart w:id="435" w:name="OLE_LINK29"/>
      <w:r>
        <w:rPr>
          <w:rFonts w:ascii="宋体" w:hAnsi="宋体" w:hint="eastAsia"/>
          <w:color w:val="auto"/>
          <w:kern w:val="0"/>
          <w:highlight w:val="none"/>
        </w:rPr>
        <w:t>钢纤维体积率的检验结果</w:t>
      </w:r>
      <m:oMath>
        <m:sSub>
          <m:sSubPr>
            <m:ctrlPr>
              <w:rPr>
                <w:rFonts w:ascii="Cambria Math" w:hAnsi="Cambria Math"/>
                <w:color w:val="auto"/>
                <w:szCs w:val="24"/>
              </w:rPr>
            </m:ctrlPr>
          </m:sSubPr>
          <m:e>
            <m:r>
              <w:rPr>
                <w:rFonts w:ascii="Cambria Math" w:hAnsi="Cambria Math"/>
                <w:color w:val="auto"/>
                <w:szCs w:val="24"/>
                <w:highlight w:val="none"/>
              </w:rPr>
              <m:t>ρ</m:t>
            </m:r>
          </m:e>
          <m:sub>
            <m:r>
              <w:rPr>
                <w:rFonts w:ascii="Cambria Math" w:hAnsi="Cambria Math"/>
                <w:color w:val="auto"/>
                <w:szCs w:val="24"/>
                <w:highlight w:val="none"/>
              </w:rPr>
              <m:t>sm</m:t>
            </m:r>
          </m:sub>
        </m:sSub>
      </m:oMath>
      <w:r>
        <w:rPr>
          <w:rFonts w:ascii="宋体" w:hAnsi="宋体" w:hint="eastAsia"/>
          <w:color w:val="auto"/>
          <w:kern w:val="0"/>
          <w:highlight w:val="none"/>
        </w:rPr>
        <w:t>取2个</w:t>
      </w:r>
      <w:r>
        <w:rPr>
          <w:rFonts w:ascii="Calibri" w:hAnsi="Calibri" w:hint="eastAsia"/>
          <w:color w:val="auto"/>
          <w:szCs w:val="24"/>
          <w:highlight w:val="none"/>
        </w:rPr>
        <w:t>容量筒</w:t>
      </w:r>
      <w:r>
        <w:rPr>
          <w:rFonts w:ascii="宋体" w:hAnsi="宋体" w:hint="eastAsia"/>
          <w:color w:val="auto"/>
          <w:kern w:val="0"/>
          <w:highlight w:val="none"/>
        </w:rPr>
        <w:t>测定体积率的平均值，应按式（</w:t>
      </w:r>
      <w:r>
        <w:rPr>
          <w:rFonts w:ascii="Times New Roman" w:cs="Times New Roman" w:hAnsi="Times New Roman"/>
          <w:color w:val="auto"/>
          <w:kern w:val="0"/>
          <w:highlight w:val="none"/>
        </w:rPr>
        <w:t>15.4.1</w:t>
      </w:r>
      <w:r>
        <w:rPr>
          <w:rFonts w:ascii="宋体" w:hAnsi="宋体" w:hint="eastAsia"/>
          <w:color w:val="auto"/>
          <w:kern w:val="0"/>
          <w:highlight w:val="none"/>
        </w:rPr>
        <w:t>）计算</w:t>
      </w:r>
      <w:bookmarkEnd w:id="435"/>
      <w:r>
        <w:rPr>
          <w:rFonts w:ascii="宋体" w:hAnsi="宋体" w:hint="eastAsia"/>
          <w:color w:val="auto"/>
          <w:kern w:val="0"/>
          <w:highlight w:val="none"/>
        </w:rPr>
        <w:t>：</w:t>
      </w:r>
    </w:p>
    <w:p>
      <w:pPr>
        <w:wordWrap w:val="0"/>
        <w:jc w:val="right"/>
        <w:rPr>
          <w:rFonts w:ascii="Calibri" w:hAnsi="Calibri"/>
          <w:color w:val="auto"/>
          <w:szCs w:val="24"/>
          <w:highlight w:val="none"/>
        </w:rPr>
      </w:pPr>
      <m:oMath>
        <m:sSub>
          <m:sSubPr>
            <m:ctrlPr>
              <w:rPr>
                <w:rFonts w:ascii="Cambria Math" w:hAnsi="Cambria Math"/>
                <w:color w:val="auto"/>
                <w:szCs w:val="24"/>
              </w:rPr>
            </m:ctrlPr>
          </m:sSubPr>
          <m:e>
            <m:r>
              <w:rPr>
                <w:rFonts w:ascii="Cambria Math" w:hAnsi="Cambria Math" w:hint="eastAsia"/>
                <w:color w:val="auto"/>
                <w:szCs w:val="24"/>
                <w:highlight w:val="none"/>
              </w:rPr>
              <m:t>ρ</m:t>
            </m:r>
          </m:e>
          <m:sub>
            <m:r>
              <w:rPr>
                <w:rFonts w:ascii="Cambria Math" w:hAnsi="Cambria Math"/>
                <w:color w:val="auto"/>
                <w:szCs w:val="24"/>
                <w:highlight w:val="none"/>
              </w:rPr>
              <m:t>sm</m:t>
            </m:r>
          </m:sub>
        </m:sSub>
        <m:r>
          <w:rPr>
            <w:rFonts w:ascii="Cambria Math" w:hAnsi="Cambria Math"/>
            <w:color w:val="auto"/>
            <w:szCs w:val="24"/>
            <w:highlight w:val="none"/>
          </w:rPr>
          <m:t>=</m:t>
        </m:r>
        <m:sSub>
          <m:sSubPr>
            <m:ctrlPr>
              <w:rPr>
                <w:rFonts w:ascii="Cambria Math" w:hAnsi="Cambria Math"/>
                <w:color w:val="auto"/>
                <w:szCs w:val="24"/>
              </w:rPr>
            </m:ctrlPr>
          </m:sSubPr>
          <m:e>
            <m:r>
              <w:rPr>
                <w:rFonts w:ascii="Cambria Math" w:hAnsi="Cambria Math" w:hint="eastAsia"/>
                <w:color w:val="auto"/>
                <w:szCs w:val="24"/>
                <w:highlight w:val="none"/>
              </w:rPr>
              <m:t>（ρ</m:t>
            </m:r>
          </m:e>
          <m:sub>
            <m:r>
              <w:rPr>
                <w:rFonts w:ascii="Cambria Math" w:hAnsi="Cambria Math" w:hint="eastAsia"/>
                <w:color w:val="auto"/>
                <w:szCs w:val="24"/>
                <w:highlight w:val="none"/>
              </w:rPr>
              <m:t>s</m:t>
            </m:r>
            <m:r>
              <w:rPr>
                <w:rFonts w:ascii="Cambria Math" w:hAnsi="Cambria Math"/>
                <w:color w:val="auto"/>
                <w:szCs w:val="24"/>
                <w:highlight w:val="none"/>
              </w:rPr>
              <m:t>1</m:t>
            </m:r>
          </m:sub>
        </m:sSub>
        <m:r>
          <w:rPr>
            <w:rFonts w:ascii="Cambria Math" w:hAnsi="Cambria Math" w:hint="eastAsia"/>
            <w:color w:val="auto"/>
            <w:szCs w:val="24"/>
            <w:highlight w:val="none"/>
          </w:rPr>
          <m:t>+</m:t>
        </m:r>
        <m:sSub>
          <m:sSubPr>
            <m:ctrlPr>
              <w:rPr>
                <w:rFonts w:ascii="Cambria Math" w:hAnsi="Cambria Math"/>
                <w:color w:val="auto"/>
                <w:szCs w:val="24"/>
              </w:rPr>
            </m:ctrlPr>
          </m:sSubPr>
          <m:e>
            <m:r>
              <w:rPr>
                <w:rFonts w:ascii="Cambria Math" w:hAnsi="Cambria Math" w:hint="eastAsia"/>
                <w:color w:val="auto"/>
                <w:szCs w:val="24"/>
                <w:highlight w:val="none"/>
              </w:rPr>
              <m:t>ρ</m:t>
            </m:r>
          </m:e>
          <m:sub>
            <m:r>
              <w:rPr>
                <w:rFonts w:ascii="Cambria Math" w:hAnsi="Cambria Math"/>
                <w:color w:val="auto"/>
                <w:szCs w:val="24"/>
                <w:highlight w:val="none"/>
              </w:rPr>
              <m:t>s2</m:t>
            </m:r>
          </m:sub>
        </m:sSub>
        <m:r>
          <w:rPr>
            <w:rFonts w:ascii="Cambria Math" w:hAnsi="Cambria Math" w:hint="eastAsia"/>
            <w:color w:val="auto"/>
            <w:szCs w:val="24"/>
            <w:highlight w:val="none"/>
          </w:rPr>
          <m:t>）</m:t>
        </m:r>
        <m:r>
          <w:rPr>
            <w:rFonts w:ascii="Cambria Math" w:hAnsi="Cambria Math"/>
            <w:color w:val="auto"/>
            <w:szCs w:val="24"/>
            <w:highlight w:val="none"/>
          </w:rPr>
          <m:t>/2</m:t>
        </m:r>
      </m:oMath>
      <w:r>
        <w:rPr>
          <w:rFonts w:ascii="Calibri" w:hAnsi="Calibri"/>
          <w:color w:val="auto"/>
          <w:szCs w:val="24"/>
          <w:highlight w:val="none"/>
        </w:rPr>
        <w:t xml:space="preserve">                   </w:t>
      </w:r>
      <w:r>
        <w:rPr>
          <w:rFonts w:cs="Times New Roman" w:hint="eastAsia"/>
          <w:color w:val="auto"/>
          <w:highlight w:val="none"/>
        </w:rPr>
        <w:t>（</w:t>
      </w:r>
      <w:r>
        <w:rPr>
          <w:rFonts w:cs="Times New Roman" w:hint="eastAsia"/>
          <w:color w:val="auto"/>
          <w:lang w:val="en-US" w:eastAsia="zh-CN"/>
          <w:highlight w:val="none"/>
        </w:rPr>
        <w:t>15.4.1</w:t>
      </w:r>
      <w:r>
        <w:rPr>
          <w:rFonts w:cs="Times New Roman"/>
          <w:color w:val="auto"/>
          <w:highlight w:val="none"/>
        </w:rPr>
        <w:t>）</w:t>
      </w:r>
    </w:p>
    <w:p>
      <w:pPr>
        <w:jc w:val="left"/>
        <w:rPr>
          <w:rFonts w:ascii="宋体" w:eastAsia="宋体" w:hAnsi="宋体" w:hint="eastAsia"/>
          <w:color w:val="auto"/>
          <w:szCs w:val="24"/>
          <w:lang w:eastAsia="zh-CN"/>
          <w:highlight w:val="none"/>
        </w:rPr>
      </w:pPr>
      <w:r>
        <w:rPr>
          <w:rFonts w:ascii="Calibri" w:hAnsi="Calibri" w:hint="eastAsia"/>
          <w:color w:val="auto"/>
          <w:szCs w:val="24"/>
          <w:highlight w:val="none"/>
        </w:rPr>
        <w:t>式中：</w:t>
      </w:r>
      <m:oMath>
        <m:sSub>
          <m:sSubPr>
            <m:ctrlPr>
              <w:rPr>
                <w:rFonts w:ascii="Cambria Math" w:hAnsi="Cambria Math"/>
                <w:color w:val="auto"/>
                <w:szCs w:val="24"/>
              </w:rPr>
            </m:ctrlPr>
          </m:sSubPr>
          <m:e>
            <m:r>
              <w:rPr>
                <w:rFonts w:ascii="Cambria Math" w:hAnsi="Cambria Math" w:hint="eastAsia"/>
                <w:color w:val="auto"/>
                <w:szCs w:val="24"/>
                <w:highlight w:val="none"/>
              </w:rPr>
              <m:t>ρ</m:t>
            </m:r>
          </m:e>
          <m:sub>
            <m:r>
              <w:rPr>
                <w:rFonts w:ascii="Cambria Math" w:hAnsi="Cambria Math"/>
                <w:color w:val="auto"/>
                <w:szCs w:val="24"/>
                <w:highlight w:val="none"/>
              </w:rPr>
              <m:t>sm</m:t>
            </m:r>
          </m:sub>
        </m:sSub>
      </m:oMath>
      <w:r>
        <w:rPr>
          <w:rFonts w:eastAsia="仿宋_GB2312"/>
          <w:color w:val="auto"/>
          <w:szCs w:val="24"/>
          <w:highlight w:val="none"/>
        </w:rPr>
        <w:t>——</w:t>
      </w:r>
      <w:r>
        <w:rPr>
          <w:rFonts w:ascii="宋体" w:hAnsi="宋体" w:hint="eastAsia"/>
          <w:color w:val="auto"/>
          <w:kern w:val="0"/>
          <w:highlight w:val="none"/>
        </w:rPr>
        <w:t>钢纤维体积率的检验结果</w:t>
      </w:r>
      <w:r>
        <w:rPr>
          <w:rFonts w:ascii="宋体" w:hAnsi="宋体" w:hint="eastAsia"/>
          <w:color w:val="auto"/>
          <w:szCs w:val="24"/>
          <w:highlight w:val="none"/>
        </w:rPr>
        <w:t>（%）</w:t>
      </w:r>
      <w:r>
        <w:rPr>
          <w:rFonts w:ascii="宋体" w:hAnsi="宋体" w:hint="eastAsia"/>
          <w:color w:val="auto"/>
          <w:szCs w:val="24"/>
          <w:lang w:eastAsia="zh-CN"/>
          <w:highlight w:val="none"/>
        </w:rPr>
        <w:t>；</w:t>
      </w:r>
    </w:p>
    <w:p>
      <w:pPr>
        <w:jc w:val="left"/>
        <w:rPr>
          <w:rFonts w:ascii="宋体" w:eastAsia="宋体" w:hAnsi="宋体" w:hint="eastAsia"/>
          <w:color w:val="auto"/>
          <w:szCs w:val="24"/>
          <w:lang w:eastAsia="zh-CN"/>
          <w:highlight w:val="none"/>
        </w:rPr>
      </w:pPr>
      <w:r>
        <w:rPr>
          <w:rFonts w:ascii="宋体" w:hAnsi="宋体" w:hint="eastAsia"/>
          <w:color w:val="auto"/>
          <w:szCs w:val="24"/>
          <w:highlight w:val="none"/>
        </w:rPr>
        <w:t xml:space="preserve">      </w:t>
      </w:r>
      <m:oMath>
        <m:sSub>
          <m:sSubPr>
            <m:ctrlPr>
              <w:rPr>
                <w:rFonts w:ascii="Cambria Math" w:hAnsi="Cambria Math"/>
                <w:color w:val="auto"/>
                <w:szCs w:val="24"/>
              </w:rPr>
            </m:ctrlPr>
          </m:sSubPr>
          <m:e>
            <m:r>
              <w:rPr>
                <w:rFonts w:ascii="Cambria Math" w:hAnsi="Cambria Math" w:hint="eastAsia"/>
                <w:color w:val="auto"/>
                <w:szCs w:val="24"/>
                <w:highlight w:val="none"/>
              </w:rPr>
              <m:t>ρ</m:t>
            </m:r>
          </m:e>
          <m:sub>
            <m:r>
              <w:rPr>
                <w:rFonts w:ascii="Cambria Math" w:hAnsi="Cambria Math"/>
                <w:color w:val="auto"/>
                <w:szCs w:val="24"/>
                <w:highlight w:val="none"/>
              </w:rPr>
              <m:t>s1</m:t>
            </m:r>
          </m:sub>
        </m:sSub>
      </m:oMath>
      <w:r>
        <w:rPr>
          <w:rFonts w:eastAsia="仿宋_GB2312"/>
          <w:color w:val="auto"/>
          <w:szCs w:val="24"/>
          <w:highlight w:val="none"/>
        </w:rPr>
        <w:t>——</w:t>
      </w:r>
      <w:r>
        <w:rPr>
          <w:rFonts w:ascii="Calibri" w:hAnsi="Calibri" w:hint="eastAsia"/>
          <w:color w:val="auto"/>
          <w:szCs w:val="24"/>
          <w:highlight w:val="none"/>
        </w:rPr>
        <w:t>第1个容量筒超高性能混凝土拌合物</w:t>
      </w:r>
      <w:r>
        <w:rPr>
          <w:rFonts w:ascii="宋体" w:hAnsi="宋体" w:hint="eastAsia"/>
          <w:color w:val="auto"/>
          <w:szCs w:val="24"/>
          <w:highlight w:val="none"/>
        </w:rPr>
        <w:t>中钢纤维体积率（%）</w:t>
      </w:r>
      <w:r>
        <w:rPr>
          <w:rFonts w:ascii="宋体" w:hAnsi="宋体" w:hint="eastAsia"/>
          <w:color w:val="auto"/>
          <w:szCs w:val="24"/>
          <w:lang w:eastAsia="zh-CN"/>
          <w:highlight w:val="none"/>
        </w:rPr>
        <w:t>；</w:t>
      </w:r>
    </w:p>
    <w:p>
      <w:pPr>
        <w:ind w:firstLineChars="500" w:firstLine="1200"/>
        <w:jc w:val="left"/>
        <w:rPr>
          <w:rFonts w:ascii="Calibri" w:eastAsia="宋体" w:hAnsi="Calibri" w:hint="eastAsia"/>
          <w:color w:val="auto"/>
          <w:szCs w:val="24"/>
          <w:lang w:eastAsia="zh-CN"/>
          <w:highlight w:val="none"/>
        </w:rPr>
      </w:pPr>
      <m:oMath>
        <m:sSub>
          <m:sSubPr>
            <m:ctrlPr>
              <w:rPr>
                <w:rFonts w:ascii="Cambria Math" w:hAnsi="Cambria Math"/>
                <w:color w:val="auto"/>
                <w:szCs w:val="24"/>
              </w:rPr>
            </m:ctrlPr>
          </m:sSubPr>
          <m:e>
            <m:r>
              <w:rPr>
                <w:rFonts w:ascii="Cambria Math" w:hAnsi="Cambria Math" w:hint="eastAsia"/>
                <w:color w:val="auto"/>
                <w:szCs w:val="24"/>
                <w:highlight w:val="none"/>
              </w:rPr>
              <m:t>ρ</m:t>
            </m:r>
          </m:e>
          <m:sub>
            <m:r>
              <w:rPr>
                <w:rFonts w:ascii="Cambria Math" w:hAnsi="Cambria Math" w:hint="eastAsia"/>
                <w:color w:val="auto"/>
                <w:szCs w:val="24"/>
                <w:highlight w:val="none"/>
              </w:rPr>
              <m:t>S2</m:t>
            </m:r>
          </m:sub>
        </m:sSub>
      </m:oMath>
      <w:r>
        <w:rPr>
          <w:rFonts w:eastAsia="仿宋_GB2312"/>
          <w:color w:val="auto"/>
          <w:szCs w:val="24"/>
          <w:highlight w:val="none"/>
        </w:rPr>
        <w:t>——</w:t>
      </w:r>
      <w:r>
        <w:rPr>
          <w:rFonts w:ascii="Calibri" w:hAnsi="Calibri" w:hint="eastAsia"/>
          <w:color w:val="auto"/>
          <w:szCs w:val="24"/>
          <w:highlight w:val="none"/>
        </w:rPr>
        <w:t>第2个容量筒超高性能混凝土拌合物</w:t>
      </w:r>
      <w:r>
        <w:rPr>
          <w:rFonts w:ascii="宋体" w:hAnsi="宋体" w:hint="eastAsia"/>
          <w:color w:val="auto"/>
          <w:szCs w:val="24"/>
          <w:highlight w:val="none"/>
        </w:rPr>
        <w:t>中钢纤维体积率（%）</w:t>
      </w:r>
      <w:r>
        <w:rPr>
          <w:rFonts w:ascii="宋体" w:hAnsi="宋体" w:hint="eastAsia"/>
          <w:color w:val="auto"/>
          <w:szCs w:val="24"/>
          <w:lang w:eastAsia="zh-CN"/>
          <w:highlight w:val="none"/>
        </w:rPr>
        <w:t>。</w:t>
      </w:r>
    </w:p>
    <w:p>
      <w:pPr>
        <w:pStyle w:val="3"/>
        <w:tabs>
          <w:tab w:val="left" w:pos="0"/>
          <w:tab w:val="left" w:pos="567"/>
          <w:tab w:val="left" w:pos="709"/>
          <w:tab w:val="left" w:pos="1560"/>
        </w:tabs>
        <w:rPr>
          <w:rFonts w:ascii="宋体" w:hAnsi="宋体" w:hint="eastAsia"/>
          <w:color w:val="auto"/>
          <w:kern w:val="0"/>
          <w:highlight w:val="none"/>
        </w:rPr>
      </w:pPr>
      <w:r>
        <w:rPr>
          <w:rFonts w:cs="Times New Roman"/>
          <w:b/>
          <w:color w:val="auto"/>
          <w:highlight w:val="none"/>
        </w:rPr>
        <w:t>15.4.</w:t>
      </w:r>
      <w:r>
        <w:rPr>
          <w:rFonts w:cs="Times New Roman" w:hint="eastAsia"/>
          <w:b/>
          <w:color w:val="auto"/>
          <w:highlight w:val="none"/>
        </w:rPr>
        <w:t>2</w:t>
      </w:r>
      <w:r>
        <w:rPr>
          <w:rFonts w:cs="Times New Roman"/>
          <w:b/>
          <w:color w:val="auto"/>
          <w:highlight w:val="none"/>
        </w:rPr>
        <w:t>　</w:t>
      </w:r>
      <w:r>
        <w:rPr>
          <w:rFonts w:ascii="宋体" w:hAnsi="宋体" w:hint="eastAsia"/>
          <w:color w:val="auto"/>
          <w:szCs w:val="24"/>
          <w:highlight w:val="none"/>
        </w:rPr>
        <w:t>钢纤维测试体积率应</w:t>
      </w:r>
      <w:r>
        <w:rPr>
          <w:rFonts w:ascii="宋体" w:hAnsi="宋体" w:hint="eastAsia"/>
          <w:color w:val="auto"/>
          <w:kern w:val="0"/>
          <w:highlight w:val="none"/>
        </w:rPr>
        <w:t>符合式</w:t>
      </w:r>
      <w:r>
        <w:rPr>
          <w:rFonts w:ascii="Times New Roman" w:cs="Times New Roman" w:hAnsi="Times New Roman"/>
          <w:color w:val="auto"/>
          <w:kern w:val="0"/>
          <w:highlight w:val="none"/>
        </w:rPr>
        <w:t>（15.4.2）</w:t>
      </w:r>
      <w:r>
        <w:rPr>
          <w:rFonts w:ascii="宋体" w:hAnsi="宋体" w:hint="eastAsia"/>
          <w:color w:val="auto"/>
          <w:kern w:val="0"/>
          <w:highlight w:val="none"/>
        </w:rPr>
        <w:t>要求：</w:t>
      </w:r>
    </w:p>
    <w:p>
      <w:pPr>
        <w:wordWrap w:val="0"/>
        <w:jc w:val="right"/>
        <w:rPr>
          <w:rFonts w:cs="Times New Roman"/>
          <w:color w:val="auto"/>
          <w:highlight w:val="none"/>
        </w:rPr>
      </w:pPr>
      <w:r>
        <w:rPr>
          <w:rFonts w:ascii="宋体" w:hAnsi="宋体" w:hint="eastAsia"/>
          <w:color w:val="auto"/>
          <w:kern w:val="0"/>
          <w:lang w:bidi="en-US"/>
          <w:highlight w:val="none"/>
        </w:rPr>
        <w:t xml:space="preserve"> </w:t>
      </w:r>
      <m:oMath>
        <m:f>
          <m:fPr>
            <m:ctrlPr>
              <w:rPr>
                <w:rFonts w:ascii="Cambria Math" w:hAnsi="Cambria Math"/>
                <w:color w:val="auto"/>
                <w:szCs w:val="24"/>
              </w:rPr>
            </m:ctrlPr>
          </m:fPr>
          <m:num>
            <m:d>
              <m:dPr>
                <m:begChr m:val="|"/>
                <m:endChr m:val="|"/>
                <m:ctrlPr>
                  <w:rPr>
                    <w:rFonts w:ascii="Cambria Math" w:hAnsi="Cambria Math"/>
                    <w:color w:val="auto"/>
                    <w:kern w:val="0"/>
                    <w:lang w:bidi="en-US"/>
                  </w:rPr>
                </m:ctrlPr>
              </m:dPr>
              <m:e>
                <m:sSub>
                  <m:sSubPr>
                    <m:ctrlPr>
                      <w:rPr>
                        <w:rFonts w:ascii="Cambria Math" w:hAnsi="Cambria Math"/>
                        <w:color w:val="auto"/>
                        <w:szCs w:val="24"/>
                      </w:rPr>
                    </m:ctrlPr>
                  </m:sSubPr>
                  <m:e>
                    <m:r>
                      <w:rPr>
                        <w:rFonts w:ascii="Cambria Math" w:hAnsi="Cambria Math" w:hint="eastAsia"/>
                        <w:color w:val="auto"/>
                        <w:szCs w:val="24"/>
                        <w:highlight w:val="none"/>
                      </w:rPr>
                      <m:t>ρ</m:t>
                    </m:r>
                  </m:e>
                  <m:sub>
                    <m:r>
                      <w:rPr>
                        <w:rFonts w:ascii="Cambria Math" w:hAnsi="Cambria Math"/>
                        <w:color w:val="auto"/>
                        <w:szCs w:val="24"/>
                        <w:highlight w:val="none"/>
                      </w:rPr>
                      <m:t>s</m:t>
                    </m:r>
                    <m:r>
                      <w:rPr>
                        <w:rFonts w:ascii="Cambria Math" w:hAnsi="Cambria Math" w:hint="eastAsia"/>
                        <w:color w:val="auto"/>
                        <w:szCs w:val="24"/>
                        <w:highlight w:val="none"/>
                      </w:rPr>
                      <m:t>1</m:t>
                    </m:r>
                  </m:sub>
                </m:sSub>
                <m:r>
                  <w:rPr>
                    <w:rFonts w:ascii="Cambria Math" w:hAnsi="Cambria Math"/>
                    <w:color w:val="auto"/>
                    <w:szCs w:val="24"/>
                    <w:highlight w:val="none"/>
                  </w:rPr>
                  <m:t>−</m:t>
                </m:r>
                <m:sSub>
                  <m:sSubPr>
                    <m:ctrlPr>
                      <w:rPr>
                        <w:rFonts w:ascii="Cambria Math" w:hAnsi="Cambria Math"/>
                        <w:color w:val="auto"/>
                        <w:szCs w:val="24"/>
                      </w:rPr>
                    </m:ctrlPr>
                  </m:sSubPr>
                  <m:e>
                    <m:r>
                      <w:rPr>
                        <w:rFonts w:ascii="Cambria Math" w:hAnsi="Cambria Math" w:hint="eastAsia"/>
                        <w:color w:val="auto"/>
                        <w:szCs w:val="24"/>
                        <w:highlight w:val="none"/>
                      </w:rPr>
                      <m:t>ρ</m:t>
                    </m:r>
                  </m:e>
                  <m:sub>
                    <m:r>
                      <w:rPr>
                        <w:rFonts w:ascii="Cambria Math" w:hAnsi="Cambria Math"/>
                        <w:color w:val="auto"/>
                        <w:szCs w:val="24"/>
                        <w:highlight w:val="none"/>
                      </w:rPr>
                      <m:t>s</m:t>
                    </m:r>
                    <m:r>
                      <w:rPr>
                        <w:rFonts w:ascii="Cambria Math" w:hAnsi="Cambria Math" w:hint="eastAsia"/>
                        <w:color w:val="auto"/>
                        <w:szCs w:val="24"/>
                        <w:highlight w:val="none"/>
                      </w:rPr>
                      <m:t>2</m:t>
                    </m:r>
                  </m:sub>
                </m:sSub>
              </m:e>
            </m:d>
          </m:num>
          <m:den>
            <m:sSub>
              <m:sSubPr>
                <m:ctrlPr>
                  <w:rPr>
                    <w:rFonts w:ascii="Cambria Math" w:hAnsi="Cambria Math"/>
                    <w:color w:val="auto"/>
                    <w:szCs w:val="24"/>
                  </w:rPr>
                </m:ctrlPr>
              </m:sSubPr>
              <m:e>
                <m:r>
                  <w:rPr>
                    <w:rFonts w:ascii="Cambria Math" w:hAnsi="Cambria Math" w:hint="eastAsia"/>
                    <w:color w:val="auto"/>
                    <w:szCs w:val="24"/>
                    <w:highlight w:val="none"/>
                  </w:rPr>
                  <m:t>ρ</m:t>
                </m:r>
              </m:e>
              <m:sub>
                <m:r>
                  <w:rPr>
                    <w:rFonts w:ascii="Cambria Math" w:hAnsi="Cambria Math"/>
                    <w:color w:val="auto"/>
                    <w:szCs w:val="24"/>
                    <w:highlight w:val="none"/>
                  </w:rPr>
                  <m:t>sm</m:t>
                </m:r>
              </m:sub>
            </m:sSub>
          </m:den>
        </m:f>
        <m:r>
          <w:rPr>
            <w:rFonts w:ascii="Cambria Math" w:hAnsi="Cambria Math" w:hint="eastAsia"/>
            <w:color w:val="auto"/>
            <w:szCs w:val="24"/>
            <w:highlight w:val="none"/>
          </w:rPr>
          <m:t>≤</m:t>
        </m:r>
        <m:r>
          <w:rPr>
            <w:rFonts w:ascii="Cambria Math" w:hAnsi="Cambria Math"/>
            <w:color w:val="auto"/>
            <w:szCs w:val="24"/>
            <w:highlight w:val="none"/>
          </w:rPr>
          <m:t>0.05</m:t>
        </m:r>
      </m:oMath>
      <w:r>
        <w:rPr>
          <w:rFonts w:ascii="Calibri" w:hAnsi="Calibri"/>
          <w:color w:val="auto"/>
          <w:szCs w:val="24"/>
          <w:highlight w:val="none"/>
        </w:rPr>
        <w:t xml:space="preserve">                    </w:t>
      </w:r>
      <w:r>
        <w:rPr>
          <w:rFonts w:cs="Times New Roman" w:hint="eastAsia"/>
          <w:color w:val="auto"/>
          <w:highlight w:val="none"/>
        </w:rPr>
        <w:t>（</w:t>
      </w:r>
      <w:r>
        <w:rPr>
          <w:rFonts w:cs="Times New Roman" w:hint="eastAsia"/>
          <w:color w:val="auto"/>
          <w:lang w:val="en-US" w:eastAsia="zh-CN"/>
          <w:highlight w:val="none"/>
        </w:rPr>
        <w:t>15.4.2</w:t>
      </w:r>
      <w:r>
        <w:rPr>
          <w:rFonts w:cs="Times New Roman"/>
          <w:color w:val="auto"/>
          <w:highlight w:val="none"/>
        </w:rPr>
        <w:t>）</w:t>
      </w:r>
    </w:p>
    <w:p>
      <w:pPr>
        <w:jc w:val="left"/>
        <w:rPr>
          <w:rFonts w:ascii="宋体" w:eastAsia="宋体" w:hAnsi="宋体" w:hint="eastAsia"/>
          <w:color w:val="auto"/>
          <w:szCs w:val="24"/>
          <w:lang w:eastAsia="zh-CN"/>
          <w:highlight w:val="none"/>
        </w:rPr>
      </w:pPr>
      <w:r>
        <w:rPr>
          <w:rFonts w:ascii="Calibri" w:hAnsi="Calibri" w:hint="eastAsia"/>
          <w:color w:val="auto"/>
          <w:szCs w:val="24"/>
          <w:highlight w:val="none"/>
        </w:rPr>
        <w:t>式中：</w:t>
      </w:r>
      <m:oMath>
        <m:sSub>
          <m:sSubPr>
            <m:ctrlPr>
              <w:rPr>
                <w:rFonts w:ascii="Cambria Math" w:hAnsi="Cambria Math"/>
                <w:color w:val="auto"/>
                <w:szCs w:val="24"/>
              </w:rPr>
            </m:ctrlPr>
          </m:sSubPr>
          <m:e>
            <m:r>
              <w:rPr>
                <w:rFonts w:ascii="Cambria Math" w:hAnsi="Cambria Math" w:hint="eastAsia"/>
                <w:color w:val="auto"/>
                <w:szCs w:val="24"/>
                <w:highlight w:val="none"/>
              </w:rPr>
              <m:t>ρ</m:t>
            </m:r>
          </m:e>
          <m:sub>
            <m:r>
              <w:rPr>
                <w:rFonts w:ascii="Cambria Math" w:hAnsi="Cambria Math"/>
                <w:color w:val="auto"/>
                <w:szCs w:val="24"/>
                <w:highlight w:val="none"/>
              </w:rPr>
              <m:t>sm</m:t>
            </m:r>
          </m:sub>
        </m:sSub>
      </m:oMath>
      <w:r>
        <w:rPr>
          <w:rFonts w:eastAsia="仿宋_GB2312"/>
          <w:color w:val="auto"/>
          <w:szCs w:val="24"/>
          <w:highlight w:val="none"/>
        </w:rPr>
        <w:t>——</w:t>
      </w:r>
      <w:r>
        <w:rPr>
          <w:rFonts w:ascii="Calibri" w:hAnsi="Calibri" w:hint="eastAsia"/>
          <w:color w:val="auto"/>
          <w:szCs w:val="24"/>
          <w:highlight w:val="none"/>
        </w:rPr>
        <w:t>2个容量筒超高性能混凝土拌合物</w:t>
      </w:r>
      <w:r>
        <w:rPr>
          <w:rFonts w:ascii="宋体" w:hAnsi="宋体" w:hint="eastAsia"/>
          <w:color w:val="auto"/>
          <w:szCs w:val="24"/>
          <w:highlight w:val="none"/>
        </w:rPr>
        <w:t>中钢纤维体积率平均值（%）</w:t>
      </w:r>
      <w:r>
        <w:rPr>
          <w:rFonts w:ascii="宋体" w:hAnsi="宋体" w:hint="eastAsia"/>
          <w:color w:val="auto"/>
          <w:szCs w:val="24"/>
          <w:lang w:eastAsia="zh-CN"/>
          <w:highlight w:val="none"/>
        </w:rPr>
        <w:t>；</w:t>
      </w:r>
    </w:p>
    <w:p>
      <w:pPr>
        <w:jc w:val="left"/>
        <w:rPr>
          <w:rFonts w:ascii="宋体" w:eastAsia="宋体" w:hAnsi="宋体" w:hint="eastAsia"/>
          <w:color w:val="auto"/>
          <w:szCs w:val="24"/>
          <w:lang w:eastAsia="zh-CN"/>
          <w:highlight w:val="none"/>
        </w:rPr>
      </w:pPr>
      <w:r>
        <w:rPr>
          <w:rFonts w:ascii="宋体" w:hAnsi="宋体" w:hint="eastAsia"/>
          <w:color w:val="auto"/>
          <w:szCs w:val="24"/>
          <w:highlight w:val="none"/>
        </w:rPr>
        <w:t xml:space="preserve">      </w:t>
      </w:r>
      <m:oMath>
        <m:sSub>
          <m:sSubPr>
            <m:ctrlPr>
              <w:rPr>
                <w:rFonts w:ascii="Cambria Math" w:hAnsi="Cambria Math"/>
                <w:color w:val="auto"/>
                <w:szCs w:val="24"/>
              </w:rPr>
            </m:ctrlPr>
          </m:sSubPr>
          <m:e>
            <m:r>
              <w:rPr>
                <w:rFonts w:ascii="Cambria Math" w:hAnsi="Cambria Math" w:hint="eastAsia"/>
                <w:color w:val="auto"/>
                <w:szCs w:val="24"/>
                <w:highlight w:val="none"/>
              </w:rPr>
              <m:t>ρ</m:t>
            </m:r>
          </m:e>
          <m:sub>
            <m:r>
              <w:rPr>
                <w:rFonts w:ascii="Cambria Math" w:hAnsi="Cambria Math"/>
                <w:color w:val="auto"/>
                <w:szCs w:val="24"/>
                <w:highlight w:val="none"/>
              </w:rPr>
              <m:t>s1</m:t>
            </m:r>
          </m:sub>
        </m:sSub>
      </m:oMath>
      <w:r>
        <w:rPr>
          <w:rFonts w:eastAsia="仿宋_GB2312"/>
          <w:color w:val="auto"/>
          <w:szCs w:val="24"/>
          <w:highlight w:val="none"/>
        </w:rPr>
        <w:t>——</w:t>
      </w:r>
      <w:r>
        <w:rPr>
          <w:rFonts w:ascii="Calibri" w:hAnsi="Calibri" w:hint="eastAsia"/>
          <w:color w:val="auto"/>
          <w:szCs w:val="24"/>
          <w:highlight w:val="none"/>
        </w:rPr>
        <w:t>第1个容量筒超高性能混凝土拌合物</w:t>
      </w:r>
      <w:r>
        <w:rPr>
          <w:rFonts w:ascii="宋体" w:hAnsi="宋体" w:hint="eastAsia"/>
          <w:color w:val="auto"/>
          <w:szCs w:val="24"/>
          <w:highlight w:val="none"/>
        </w:rPr>
        <w:t>中钢纤维体积率（%）</w:t>
      </w:r>
      <w:r>
        <w:rPr>
          <w:rFonts w:ascii="宋体" w:hAnsi="宋体" w:hint="eastAsia"/>
          <w:color w:val="auto"/>
          <w:szCs w:val="24"/>
          <w:lang w:eastAsia="zh-CN"/>
          <w:highlight w:val="none"/>
        </w:rPr>
        <w:t>；</w:t>
      </w:r>
    </w:p>
    <w:p>
      <w:pPr>
        <w:ind w:firstLineChars="500" w:firstLine="1200"/>
        <w:jc w:val="left"/>
        <w:rPr>
          <w:rFonts w:ascii="Calibri" w:eastAsia="宋体" w:hAnsi="Calibri" w:hint="eastAsia"/>
          <w:color w:val="auto"/>
          <w:szCs w:val="24"/>
          <w:lang w:eastAsia="zh-CN"/>
          <w:highlight w:val="none"/>
        </w:rPr>
      </w:pPr>
      <m:oMath>
        <m:sSub>
          <m:sSubPr>
            <m:ctrlPr>
              <w:rPr>
                <w:rFonts w:ascii="Cambria Math" w:hAnsi="Cambria Math"/>
                <w:color w:val="auto"/>
                <w:szCs w:val="24"/>
              </w:rPr>
            </m:ctrlPr>
          </m:sSubPr>
          <m:e>
            <m:r>
              <w:rPr>
                <w:rFonts w:ascii="Cambria Math" w:hAnsi="Cambria Math" w:hint="eastAsia"/>
                <w:color w:val="auto"/>
                <w:szCs w:val="24"/>
                <w:highlight w:val="none"/>
              </w:rPr>
              <m:t>ρ</m:t>
            </m:r>
          </m:e>
          <m:sub>
            <m:r>
              <w:rPr>
                <w:rFonts w:ascii="Cambria Math" w:hAnsi="Cambria Math" w:hint="eastAsia"/>
                <w:color w:val="auto"/>
                <w:szCs w:val="24"/>
                <w:highlight w:val="none"/>
              </w:rPr>
              <m:t>S2</m:t>
            </m:r>
          </m:sub>
        </m:sSub>
      </m:oMath>
      <w:r>
        <w:rPr>
          <w:rFonts w:eastAsia="仿宋_GB2312"/>
          <w:color w:val="auto"/>
          <w:szCs w:val="24"/>
          <w:highlight w:val="none"/>
        </w:rPr>
        <w:t>——</w:t>
      </w:r>
      <w:r>
        <w:rPr>
          <w:rFonts w:ascii="Calibri" w:hAnsi="Calibri" w:hint="eastAsia"/>
          <w:color w:val="auto"/>
          <w:szCs w:val="24"/>
          <w:highlight w:val="none"/>
        </w:rPr>
        <w:t>第2个容量筒超高性能混凝土拌合物</w:t>
      </w:r>
      <w:r>
        <w:rPr>
          <w:rFonts w:ascii="宋体" w:hAnsi="宋体" w:hint="eastAsia"/>
          <w:color w:val="auto"/>
          <w:szCs w:val="24"/>
          <w:highlight w:val="none"/>
        </w:rPr>
        <w:t>中钢纤维体积率（%）</w:t>
      </w:r>
      <w:r>
        <w:rPr>
          <w:rFonts w:ascii="宋体" w:hAnsi="宋体" w:hint="eastAsia"/>
          <w:color w:val="auto"/>
          <w:szCs w:val="24"/>
          <w:lang w:eastAsia="zh-CN"/>
          <w:highlight w:val="none"/>
        </w:rPr>
        <w:t>。</w:t>
      </w:r>
    </w:p>
    <w:p>
      <w:pPr>
        <w:widowControl/>
        <w:spacing w:line="240" w:lineRule="auto"/>
        <w:ind w:firstLineChars="0" w:firstLine="0"/>
        <w:jc w:val="left"/>
        <w:textAlignment w:val="auto"/>
        <w:rPr>
          <w:rFonts w:cs="Times New Roman"/>
          <w:b/>
          <w:bCs/>
          <w:color w:val="auto"/>
          <w:lang w:val="en-US" w:eastAsia="zh-CN"/>
          <w:highlight w:val="none"/>
        </w:rPr>
      </w:pPr>
    </w:p>
    <w:p>
      <w:pPr>
        <w:widowControl/>
        <w:spacing w:line="240" w:lineRule="auto"/>
        <w:ind w:firstLineChars="0" w:firstLine="0"/>
        <w:jc w:val="left"/>
        <w:textAlignment w:val="auto"/>
        <w:rPr>
          <w:rFonts w:cs="Times New Roman"/>
          <w:b/>
          <w:bCs/>
          <w:color w:val="auto"/>
          <w:highlight w:val="none"/>
        </w:rPr>
      </w:pPr>
    </w:p>
    <w:p>
      <w:pPr>
        <w:ind w:rightChars="17" w:right="41" w:firstLineChars="0" w:firstLine="480"/>
        <w:rPr>
          <w:rFonts w:cs="Times New Roman"/>
          <w:color w:val="auto"/>
          <w:highlight w:val="none"/>
        </w:rPr>
      </w:pPr>
      <w:r>
        <w:rPr>
          <w:rFonts w:cs="Times New Roman"/>
          <w:color w:val="auto"/>
          <w:highlight w:val="none"/>
        </w:rPr>
        <w:br w:type="page"/>
      </w:r>
    </w:p>
    <w:p>
      <w:pPr>
        <w:pStyle w:val="1"/>
        <w:ind w:rightChars="17" w:right="41" w:firstLineChars="0" w:firstLine="0"/>
        <w:rPr>
          <w:rFonts w:cs="Times New Roman"/>
          <w:color w:val="auto"/>
          <w:highlight w:val="none"/>
        </w:rPr>
      </w:pPr>
      <w:bookmarkStart w:id="436" w:name="_Toc24946"/>
      <w:bookmarkStart w:id="437" w:name="_Toc1938"/>
      <w:r>
        <w:rPr>
          <w:rFonts w:cs="Times New Roman"/>
          <w:color w:val="auto"/>
          <w:highlight w:val="none"/>
        </w:rPr>
        <w:t>1</w:t>
      </w:r>
      <w:r>
        <w:rPr>
          <w:rFonts w:cs="Times New Roman" w:hint="eastAsia"/>
          <w:color w:val="auto"/>
          <w:lang w:val="en-US" w:eastAsia="zh-CN"/>
          <w:highlight w:val="none"/>
        </w:rPr>
        <w:t>6</w:t>
      </w:r>
      <w:r>
        <w:rPr>
          <w:rFonts w:cs="Times New Roman"/>
          <w:color w:val="auto"/>
          <w:highlight w:val="none"/>
        </w:rPr>
        <w:t>　射钉法</w:t>
      </w:r>
      <w:bookmarkEnd w:id="421"/>
      <w:bookmarkEnd w:id="422"/>
      <w:bookmarkEnd w:id="423"/>
      <w:bookmarkEnd w:id="436"/>
      <w:bookmarkEnd w:id="437"/>
    </w:p>
    <w:p>
      <w:pPr>
        <w:pStyle w:val="2"/>
        <w:tabs>
          <w:tab w:val="left" w:pos="0"/>
        </w:tabs>
        <w:rPr>
          <w:rFonts w:ascii="Times New Roman" w:cs="Times New Roman" w:hAnsi="Times New Roman"/>
          <w:color w:val="auto"/>
          <w:highlight w:val="none"/>
        </w:rPr>
      </w:pPr>
      <w:bookmarkStart w:id="438" w:name="_Toc15241"/>
      <w:bookmarkStart w:id="439" w:name="_Toc7752"/>
      <w:bookmarkStart w:id="440" w:name="_Toc9359"/>
      <w:bookmarkStart w:id="441" w:name="_Toc2789"/>
      <w:bookmarkStart w:id="442" w:name="_Toc10469"/>
      <w:r>
        <w:rPr>
          <w:rFonts w:ascii="Times New Roman" w:cs="Times New Roman" w:hAnsi="Times New Roman" w:hint="eastAsia"/>
          <w:color w:val="auto"/>
          <w:lang w:eastAsia="zh-CN"/>
          <w:highlight w:val="none"/>
        </w:rPr>
        <w:t>16.</w:t>
      </w:r>
      <w:r>
        <w:rPr>
          <w:rFonts w:ascii="Times New Roman" w:cs="Times New Roman" w:hAnsi="Times New Roman"/>
          <w:color w:val="auto"/>
          <w:highlight w:val="none"/>
        </w:rPr>
        <w:t>1　一般规定</w:t>
      </w:r>
      <w:bookmarkEnd w:id="438"/>
      <w:bookmarkEnd w:id="439"/>
      <w:bookmarkEnd w:id="440"/>
      <w:bookmarkEnd w:id="441"/>
      <w:bookmarkEnd w:id="442"/>
    </w:p>
    <w:p>
      <w:pPr>
        <w:pStyle w:val="3"/>
        <w:tabs>
          <w:tab w:val="left" w:pos="0"/>
          <w:tab w:val="left" w:pos="567"/>
          <w:tab w:val="left" w:pos="709"/>
          <w:tab w:val="left" w:pos="1560"/>
        </w:tabs>
        <w:rPr>
          <w:rFonts w:cs="Times New Roman"/>
          <w:color w:val="auto"/>
          <w:highlight w:val="none"/>
        </w:rPr>
      </w:pPr>
      <w:r>
        <w:rPr>
          <w:rFonts w:cs="Times New Roman" w:hint="eastAsia"/>
          <w:b/>
          <w:color w:val="auto"/>
          <w:lang w:eastAsia="zh-CN"/>
          <w:highlight w:val="none"/>
        </w:rPr>
        <w:t>16.</w:t>
      </w:r>
      <w:r>
        <w:rPr>
          <w:rFonts w:cs="Times New Roman"/>
          <w:b/>
          <w:color w:val="auto"/>
          <w:highlight w:val="none"/>
        </w:rPr>
        <w:t>1.1　</w:t>
      </w:r>
      <w:r>
        <w:rPr>
          <w:rFonts w:cs="Times New Roman"/>
          <w:color w:val="auto"/>
          <w:highlight w:val="none"/>
        </w:rPr>
        <w:t>射钉法适用于超高性能混凝土现场检测抗压强度。</w:t>
      </w:r>
    </w:p>
    <w:p>
      <w:pPr>
        <w:ind w:firstLineChars="0" w:firstLine="0"/>
        <w:rPr>
          <w:rFonts w:eastAsia="仿宋" w:cs="Times New Roman"/>
          <w:color w:val="auto"/>
          <w:shd w:val="clear" w:color="FFFFFF" w:fill="D9D9D9"/>
          <w:highlight w:val="none"/>
        </w:rPr>
      </w:pPr>
      <w:r>
        <w:rPr>
          <w:rFonts w:eastAsia="仿宋" w:cs="Times New Roman" w:hint="eastAsia"/>
          <w:b/>
          <w:bCs/>
          <w:color w:val="auto"/>
          <w:szCs w:val="24"/>
          <w:shd w:val="clear" w:color="FFFFFF" w:fill="D9D9D9"/>
          <w:lang w:val="en-US" w:eastAsia="zh-CN"/>
          <w:highlight w:val="none"/>
        </w:rPr>
        <w:t>条文说明</w:t>
      </w:r>
      <w:r>
        <w:rPr>
          <w:rFonts w:eastAsia="仿宋" w:cs="Times New Roman" w:hint="eastAsia"/>
          <w:b/>
          <w:bCs/>
          <w:color w:val="auto"/>
          <w:szCs w:val="24"/>
          <w:shd w:val="clear" w:color="FFFFFF" w:fill="D9D9D9"/>
          <w:lang w:eastAsia="zh-CN"/>
          <w:highlight w:val="none"/>
        </w:rPr>
        <w:t>16.</w:t>
      </w:r>
      <w:r>
        <w:rPr>
          <w:rFonts w:eastAsia="仿宋" w:cs="Times New Roman"/>
          <w:b/>
          <w:bCs/>
          <w:color w:val="auto"/>
          <w:szCs w:val="24"/>
          <w:shd w:val="clear" w:color="FFFFFF" w:fill="D9D9D9"/>
          <w:highlight w:val="none"/>
        </w:rPr>
        <w:t>1.1　</w:t>
      </w:r>
      <w:r>
        <w:rPr>
          <w:rFonts w:eastAsia="仿宋" w:cs="Times New Roman"/>
          <w:color w:val="auto"/>
          <w:szCs w:val="24"/>
          <w:shd w:val="clear" w:color="FFFFFF" w:fill="D9D9D9"/>
          <w:highlight w:val="none"/>
        </w:rPr>
        <w:t>针对每个实际工程强度不小于80MPa的超高性能混凝土，建立专用的回归曲线。</w:t>
      </w:r>
    </w:p>
    <w:p>
      <w:pPr>
        <w:rPr>
          <w:color w:val="auto"/>
          <w:highlight w:val="none"/>
        </w:rPr>
      </w:pPr>
    </w:p>
    <w:p>
      <w:pPr>
        <w:pStyle w:val="3"/>
        <w:tabs>
          <w:tab w:val="left" w:pos="0"/>
          <w:tab w:val="left" w:pos="567"/>
          <w:tab w:val="left" w:pos="709"/>
          <w:tab w:val="left" w:pos="1560"/>
        </w:tabs>
        <w:rPr>
          <w:rFonts w:cs="Times New Roman"/>
          <w:color w:val="auto"/>
          <w:highlight w:val="none"/>
        </w:rPr>
      </w:pPr>
      <w:r>
        <w:rPr>
          <w:rFonts w:cs="Times New Roman" w:hint="eastAsia"/>
          <w:b/>
          <w:color w:val="auto"/>
          <w:lang w:eastAsia="zh-CN"/>
          <w:highlight w:val="none"/>
        </w:rPr>
        <w:t>16.</w:t>
      </w:r>
      <w:r>
        <w:rPr>
          <w:rFonts w:cs="Times New Roman"/>
          <w:b/>
          <w:color w:val="auto"/>
          <w:highlight w:val="none"/>
        </w:rPr>
        <w:t>1.2　</w:t>
      </w:r>
      <w:r>
        <w:rPr>
          <w:rFonts w:cs="Times New Roman"/>
          <w:color w:val="auto"/>
          <w:highlight w:val="none"/>
        </w:rPr>
        <w:t>若检测结果存在疑问，应采用取芯法进行验证。</w:t>
      </w:r>
    </w:p>
    <w:p>
      <w:pPr>
        <w:pStyle w:val="2"/>
        <w:tabs>
          <w:tab w:val="left" w:pos="0"/>
        </w:tabs>
        <w:rPr>
          <w:rFonts w:ascii="Times New Roman" w:cs="Times New Roman" w:hAnsi="Times New Roman"/>
          <w:color w:val="auto"/>
          <w:highlight w:val="none"/>
        </w:rPr>
      </w:pPr>
      <w:bookmarkStart w:id="443" w:name="_Toc21575"/>
      <w:bookmarkStart w:id="444" w:name="_Toc22635"/>
      <w:bookmarkStart w:id="445" w:name="_Toc30057"/>
      <w:bookmarkStart w:id="446" w:name="_Toc13241"/>
      <w:bookmarkStart w:id="447" w:name="_Toc26470"/>
      <w:r>
        <w:rPr>
          <w:rFonts w:ascii="Times New Roman" w:cs="Times New Roman" w:hAnsi="Times New Roman" w:hint="eastAsia"/>
          <w:color w:val="auto"/>
          <w:lang w:eastAsia="zh-CN"/>
          <w:highlight w:val="none"/>
        </w:rPr>
        <w:t>16.</w:t>
      </w:r>
      <w:r>
        <w:rPr>
          <w:rFonts w:ascii="Times New Roman" w:cs="Times New Roman" w:hAnsi="Times New Roman"/>
          <w:color w:val="auto"/>
          <w:highlight w:val="none"/>
        </w:rPr>
        <w:t>2　检测设备</w:t>
      </w:r>
      <w:bookmarkEnd w:id="443"/>
      <w:bookmarkEnd w:id="444"/>
      <w:bookmarkEnd w:id="445"/>
      <w:bookmarkEnd w:id="446"/>
      <w:bookmarkEnd w:id="447"/>
    </w:p>
    <w:p>
      <w:pPr>
        <w:pStyle w:val="3"/>
        <w:tabs>
          <w:tab w:val="left" w:pos="0"/>
          <w:tab w:val="left" w:pos="567"/>
          <w:tab w:val="left" w:pos="709"/>
          <w:tab w:val="left" w:pos="1560"/>
        </w:tabs>
        <w:rPr>
          <w:rFonts w:cs="Times New Roman"/>
          <w:color w:val="auto"/>
          <w:highlight w:val="none"/>
        </w:rPr>
      </w:pPr>
      <w:r>
        <w:rPr>
          <w:rFonts w:cs="Times New Roman" w:hint="eastAsia"/>
          <w:b/>
          <w:color w:val="auto"/>
          <w:lang w:eastAsia="zh-CN"/>
          <w:highlight w:val="none"/>
        </w:rPr>
        <w:t>16.</w:t>
      </w:r>
      <w:r>
        <w:rPr>
          <w:rFonts w:cs="Times New Roman"/>
          <w:b/>
          <w:color w:val="auto"/>
          <w:highlight w:val="none"/>
        </w:rPr>
        <w:t>2.1　</w:t>
      </w:r>
      <w:r>
        <w:rPr>
          <w:rFonts w:cs="Times New Roman"/>
          <w:color w:val="auto"/>
          <w:highlight w:val="none"/>
        </w:rPr>
        <w:t>射钉法检测设备包括射钉和射钉枪。</w:t>
      </w:r>
    </w:p>
    <w:p>
      <w:pPr>
        <w:pStyle w:val="3"/>
        <w:tabs>
          <w:tab w:val="left" w:pos="0"/>
          <w:tab w:val="left" w:pos="567"/>
          <w:tab w:val="left" w:pos="709"/>
          <w:tab w:val="left" w:pos="1560"/>
        </w:tabs>
        <w:rPr>
          <w:rFonts w:cs="Times New Roman"/>
          <w:color w:val="auto"/>
          <w:highlight w:val="none"/>
        </w:rPr>
      </w:pPr>
      <w:r>
        <w:rPr>
          <w:rFonts w:cs="Times New Roman" w:hint="eastAsia"/>
          <w:b/>
          <w:color w:val="auto"/>
          <w:lang w:eastAsia="zh-CN"/>
          <w:highlight w:val="none"/>
        </w:rPr>
        <w:t>16.</w:t>
      </w:r>
      <w:r>
        <w:rPr>
          <w:rFonts w:cs="Times New Roman"/>
          <w:b/>
          <w:color w:val="auto"/>
          <w:highlight w:val="none"/>
        </w:rPr>
        <w:t>2.2　</w:t>
      </w:r>
      <w:r>
        <w:rPr>
          <w:rFonts w:cs="Times New Roman"/>
          <w:color w:val="auto"/>
          <w:highlight w:val="none"/>
        </w:rPr>
        <w:t>射钉应符合下列规定：</w:t>
      </w:r>
    </w:p>
    <w:p>
      <w:pPr>
        <w:rPr>
          <w:rFonts w:cs="Times New Roman"/>
          <w:color w:val="auto"/>
          <w:highlight w:val="none"/>
        </w:rPr>
      </w:pPr>
      <w:r>
        <w:rPr>
          <w:rFonts w:cs="Times New Roman"/>
          <w:b/>
          <w:bCs/>
          <w:color w:val="auto"/>
          <w:kern w:val="0"/>
          <w:szCs w:val="21"/>
          <w:highlight w:val="none"/>
        </w:rPr>
        <w:t>1　</w:t>
      </w:r>
      <w:r>
        <w:rPr>
          <w:rFonts w:cs="Times New Roman"/>
          <w:color w:val="auto"/>
          <w:highlight w:val="none"/>
        </w:rPr>
        <w:t>射钉</w:t>
      </w:r>
      <w:r>
        <w:rPr>
          <w:rFonts w:cs="Times New Roman" w:hint="eastAsia"/>
          <w:color w:val="auto"/>
          <w:highlight w:val="none"/>
        </w:rPr>
        <w:t>应</w:t>
      </w:r>
      <w:r>
        <w:rPr>
          <w:rFonts w:cs="Times New Roman"/>
          <w:color w:val="auto"/>
          <w:highlight w:val="none"/>
        </w:rPr>
        <w:t>为专用射钉，长度为27mm，直径为3mm，且同一批次</w:t>
      </w:r>
      <w:r>
        <w:rPr>
          <w:rFonts w:cs="Times New Roman" w:hint="eastAsia"/>
          <w:color w:val="auto"/>
          <w:highlight w:val="none"/>
        </w:rPr>
        <w:t>长度偏差不应超过±0.1mm，直径偏差不应超过±0.05mm</w:t>
      </w:r>
      <w:r>
        <w:rPr>
          <w:rFonts w:cs="Times New Roman"/>
          <w:color w:val="auto"/>
          <w:highlight w:val="none"/>
        </w:rPr>
        <w:t>；</w:t>
      </w:r>
    </w:p>
    <w:p>
      <w:pPr>
        <w:rPr>
          <w:rFonts w:cs="Times New Roman"/>
          <w:color w:val="auto"/>
          <w:highlight w:val="none"/>
        </w:rPr>
      </w:pPr>
      <w:r>
        <w:rPr>
          <w:rFonts w:cs="Times New Roman"/>
          <w:b/>
          <w:bCs/>
          <w:color w:val="auto"/>
          <w:kern w:val="0"/>
          <w:szCs w:val="21"/>
          <w:highlight w:val="none"/>
        </w:rPr>
        <w:t>2　</w:t>
      </w:r>
      <w:r>
        <w:rPr>
          <w:rFonts w:cs="Times New Roman"/>
          <w:color w:val="auto"/>
          <w:highlight w:val="none"/>
        </w:rPr>
        <w:t>射钉</w:t>
      </w:r>
      <w:r>
        <w:rPr>
          <w:rFonts w:cs="Times New Roman" w:hint="eastAsia"/>
          <w:color w:val="auto"/>
          <w:highlight w:val="none"/>
        </w:rPr>
        <w:t>材质应</w:t>
      </w:r>
      <w:r>
        <w:rPr>
          <w:rFonts w:cs="Times New Roman"/>
          <w:color w:val="auto"/>
          <w:highlight w:val="none"/>
        </w:rPr>
        <w:t>为高强度65#钢，表面应进行热处理硬化。</w:t>
      </w:r>
    </w:p>
    <w:p>
      <w:pPr>
        <w:pStyle w:val="3"/>
        <w:tabs>
          <w:tab w:val="left" w:pos="0"/>
          <w:tab w:val="left" w:pos="567"/>
          <w:tab w:val="left" w:pos="709"/>
          <w:tab w:val="left" w:pos="1560"/>
        </w:tabs>
        <w:rPr>
          <w:rFonts w:cs="Times New Roman"/>
          <w:color w:val="auto"/>
          <w:highlight w:val="none"/>
        </w:rPr>
      </w:pPr>
      <w:r>
        <w:rPr>
          <w:rFonts w:cs="Times New Roman" w:hint="eastAsia"/>
          <w:b/>
          <w:color w:val="auto"/>
          <w:lang w:eastAsia="zh-CN"/>
          <w:highlight w:val="none"/>
        </w:rPr>
        <w:t>16.</w:t>
      </w:r>
      <w:r>
        <w:rPr>
          <w:rFonts w:cs="Times New Roman"/>
          <w:b/>
          <w:color w:val="auto"/>
          <w:highlight w:val="none"/>
        </w:rPr>
        <w:t>2.3　</w:t>
      </w:r>
      <w:r>
        <w:rPr>
          <w:rFonts w:cs="Times New Roman"/>
          <w:color w:val="auto"/>
          <w:highlight w:val="none"/>
        </w:rPr>
        <w:t>射钉枪应符合下列规定：</w:t>
      </w:r>
    </w:p>
    <w:p>
      <w:pPr>
        <w:rPr>
          <w:rFonts w:cs="Times New Roman"/>
          <w:color w:val="auto"/>
          <w:highlight w:val="none"/>
        </w:rPr>
      </w:pPr>
      <w:r>
        <w:rPr>
          <w:rFonts w:cs="Times New Roman"/>
          <w:b/>
          <w:bCs/>
          <w:color w:val="auto"/>
          <w:kern w:val="0"/>
          <w:szCs w:val="21"/>
          <w:highlight w:val="none"/>
        </w:rPr>
        <w:t>1　</w:t>
      </w:r>
      <w:r>
        <w:rPr>
          <w:rFonts w:cs="Times New Roman"/>
          <w:color w:val="auto"/>
          <w:highlight w:val="none"/>
        </w:rPr>
        <w:t>射钉枪采用专用射钉枪，射钉枪的能量宜为80J~100J；</w:t>
      </w:r>
    </w:p>
    <w:p>
      <w:pPr>
        <w:rPr>
          <w:rFonts w:cs="Times New Roman"/>
          <w:color w:val="auto"/>
          <w:szCs w:val="24"/>
          <w:highlight w:val="none"/>
        </w:rPr>
      </w:pPr>
      <w:r>
        <w:rPr>
          <w:rFonts w:cs="Times New Roman"/>
          <w:b/>
          <w:bCs/>
          <w:color w:val="auto"/>
          <w:kern w:val="0"/>
          <w:szCs w:val="21"/>
          <w:highlight w:val="none"/>
        </w:rPr>
        <w:t>2　</w:t>
      </w:r>
      <w:r>
        <w:rPr>
          <w:rFonts w:cs="Times New Roman"/>
          <w:color w:val="auto"/>
          <w:highlight w:val="none"/>
        </w:rPr>
        <w:t>射钉枪应</w:t>
      </w:r>
      <w:r>
        <w:rPr>
          <w:rFonts w:cs="Times New Roman" w:hint="eastAsia"/>
          <w:color w:val="auto"/>
          <w:highlight w:val="none"/>
        </w:rPr>
        <w:t>每年</w:t>
      </w:r>
      <w:r>
        <w:rPr>
          <w:rFonts w:cs="Times New Roman"/>
          <w:color w:val="auto"/>
          <w:highlight w:val="none"/>
        </w:rPr>
        <w:t>校准</w:t>
      </w:r>
      <w:r>
        <w:rPr>
          <w:rFonts w:cs="Times New Roman" w:hint="eastAsia"/>
          <w:color w:val="auto"/>
          <w:highlight w:val="none"/>
        </w:rPr>
        <w:t>一次</w:t>
      </w:r>
      <w:r>
        <w:rPr>
          <w:rFonts w:cs="Times New Roman"/>
          <w:color w:val="auto"/>
          <w:szCs w:val="24"/>
          <w:highlight w:val="none"/>
        </w:rPr>
        <w:t>。</w:t>
      </w:r>
    </w:p>
    <w:p>
      <w:pPr>
        <w:pStyle w:val="2"/>
        <w:tabs>
          <w:tab w:val="left" w:pos="0"/>
        </w:tabs>
        <w:rPr>
          <w:rFonts w:ascii="Times New Roman" w:cs="Times New Roman" w:hAnsi="Times New Roman"/>
          <w:color w:val="auto"/>
          <w:highlight w:val="none"/>
        </w:rPr>
      </w:pPr>
      <w:bookmarkStart w:id="448" w:name="_Toc26529"/>
      <w:bookmarkStart w:id="449" w:name="_Toc13661"/>
      <w:bookmarkStart w:id="450" w:name="_Toc31487"/>
      <w:bookmarkStart w:id="451" w:name="_Toc2579"/>
      <w:bookmarkStart w:id="452" w:name="_Toc10024"/>
      <w:r>
        <w:rPr>
          <w:rFonts w:ascii="Times New Roman" w:cs="Times New Roman" w:hAnsi="Times New Roman" w:hint="eastAsia"/>
          <w:color w:val="auto"/>
          <w:lang w:eastAsia="zh-CN"/>
          <w:highlight w:val="none"/>
        </w:rPr>
        <w:t>16.</w:t>
      </w:r>
      <w:r>
        <w:rPr>
          <w:rFonts w:ascii="Times New Roman" w:cs="Times New Roman" w:hAnsi="Times New Roman"/>
          <w:color w:val="auto"/>
          <w:highlight w:val="none"/>
        </w:rPr>
        <w:t>3　检测</w:t>
      </w:r>
      <w:bookmarkEnd w:id="448"/>
      <w:bookmarkEnd w:id="449"/>
      <w:bookmarkEnd w:id="450"/>
      <w:bookmarkEnd w:id="451"/>
      <w:bookmarkEnd w:id="452"/>
    </w:p>
    <w:p>
      <w:pPr>
        <w:pStyle w:val="3"/>
        <w:tabs>
          <w:tab w:val="left" w:pos="0"/>
          <w:tab w:val="left" w:pos="567"/>
          <w:tab w:val="left" w:pos="709"/>
          <w:tab w:val="left" w:pos="1560"/>
        </w:tabs>
        <w:rPr>
          <w:rFonts w:cs="Times New Roman"/>
          <w:color w:val="auto"/>
          <w:sz w:val="20"/>
          <w:szCs w:val="20"/>
          <w:highlight w:val="none"/>
        </w:rPr>
      </w:pPr>
      <w:r>
        <w:rPr>
          <w:rFonts w:cs="Times New Roman" w:hint="eastAsia"/>
          <w:b/>
          <w:color w:val="auto"/>
          <w:lang w:eastAsia="zh-CN"/>
          <w:highlight w:val="none"/>
        </w:rPr>
        <w:t>16.</w:t>
      </w:r>
      <w:r>
        <w:rPr>
          <w:rFonts w:cs="Times New Roman"/>
          <w:b/>
          <w:color w:val="auto"/>
          <w:highlight w:val="none"/>
        </w:rPr>
        <w:t>3.1　</w:t>
      </w:r>
      <w:r>
        <w:rPr>
          <w:rFonts w:cs="Times New Roman"/>
          <w:color w:val="auto"/>
          <w:highlight w:val="none"/>
        </w:rPr>
        <w:t>采用射钉法现场检测超高性能混凝土抗压强度应进行下列准备工作：</w:t>
      </w:r>
    </w:p>
    <w:p>
      <w:pPr>
        <w:rPr>
          <w:rFonts w:cs="Times New Roman"/>
          <w:color w:val="auto"/>
          <w:highlight w:val="none"/>
        </w:rPr>
      </w:pPr>
      <w:r>
        <w:rPr>
          <w:rFonts w:cs="Times New Roman"/>
          <w:b/>
          <w:bCs/>
          <w:color w:val="auto"/>
          <w:kern w:val="0"/>
          <w:szCs w:val="21"/>
          <w:highlight w:val="none"/>
        </w:rPr>
        <w:t>1　</w:t>
      </w:r>
      <w:r>
        <w:rPr>
          <w:rFonts w:cs="Times New Roman"/>
          <w:color w:val="auto"/>
          <w:highlight w:val="none"/>
        </w:rPr>
        <w:t>检查设备和相关检测系统的正常使用情况；</w:t>
      </w:r>
    </w:p>
    <w:p>
      <w:pPr>
        <w:rPr>
          <w:rFonts w:cs="Times New Roman"/>
          <w:color w:val="auto"/>
          <w:highlight w:val="none"/>
        </w:rPr>
      </w:pPr>
      <w:r>
        <w:rPr>
          <w:rFonts w:cs="Times New Roman"/>
          <w:b/>
          <w:bCs/>
          <w:color w:val="auto"/>
          <w:kern w:val="0"/>
          <w:szCs w:val="21"/>
          <w:highlight w:val="none"/>
        </w:rPr>
        <w:t>2　</w:t>
      </w:r>
      <w:r>
        <w:rPr>
          <w:rFonts w:cs="Times New Roman"/>
          <w:color w:val="auto"/>
          <w:highlight w:val="none"/>
        </w:rPr>
        <w:t>记录工程名称、构件编号、具体位置、检测人员信息等。</w:t>
      </w:r>
    </w:p>
    <w:p>
      <w:pPr>
        <w:pStyle w:val="3"/>
        <w:tabs>
          <w:tab w:val="left" w:pos="0"/>
          <w:tab w:val="left" w:pos="567"/>
          <w:tab w:val="left" w:pos="709"/>
          <w:tab w:val="left" w:pos="1560"/>
        </w:tabs>
        <w:rPr>
          <w:rFonts w:cs="Times New Roman"/>
          <w:color w:val="auto"/>
          <w:highlight w:val="none"/>
        </w:rPr>
      </w:pPr>
      <w:r>
        <w:rPr>
          <w:rFonts w:cs="Times New Roman" w:hint="eastAsia"/>
          <w:b/>
          <w:color w:val="auto"/>
          <w:lang w:eastAsia="zh-CN"/>
          <w:highlight w:val="none"/>
        </w:rPr>
        <w:t>16.</w:t>
      </w:r>
      <w:r>
        <w:rPr>
          <w:rFonts w:cs="Times New Roman"/>
          <w:b/>
          <w:color w:val="auto"/>
          <w:highlight w:val="none"/>
        </w:rPr>
        <w:t>3.2</w:t>
      </w:r>
      <w:r>
        <w:rPr>
          <w:rFonts w:cs="Times New Roman"/>
          <w:b/>
          <w:bCs w:val="0"/>
          <w:color w:val="auto"/>
          <w:kern w:val="0"/>
          <w:szCs w:val="21"/>
          <w:highlight w:val="none"/>
        </w:rPr>
        <w:t>　</w:t>
      </w:r>
      <w:r>
        <w:rPr>
          <w:rFonts w:cs="Times New Roman"/>
          <w:color w:val="auto"/>
          <w:highlight w:val="none"/>
        </w:rPr>
        <w:t>当首次启动射钉装置时，应按下列方式确定标准状态：</w:t>
      </w:r>
    </w:p>
    <w:p>
      <w:pPr>
        <w:rPr>
          <w:rFonts w:cs="Times New Roman"/>
          <w:color w:val="auto"/>
          <w:highlight w:val="none"/>
        </w:rPr>
      </w:pPr>
      <w:r>
        <w:rPr>
          <w:rFonts w:cs="Times New Roman"/>
          <w:b/>
          <w:bCs/>
          <w:color w:val="auto"/>
          <w:kern w:val="0"/>
          <w:szCs w:val="21"/>
          <w:highlight w:val="none"/>
        </w:rPr>
        <w:t>1　</w:t>
      </w:r>
      <w:r>
        <w:rPr>
          <w:rFonts w:cs="Times New Roman"/>
          <w:color w:val="auto"/>
          <w:highlight w:val="none"/>
        </w:rPr>
        <w:t>将一块250mm×250mm×30mm铝合金板平稳置于坚实的地面上；</w:t>
      </w:r>
    </w:p>
    <w:p>
      <w:pPr>
        <w:rPr>
          <w:rFonts w:cs="Times New Roman"/>
          <w:color w:val="auto"/>
          <w:highlight w:val="none"/>
        </w:rPr>
      </w:pPr>
      <w:r>
        <w:rPr>
          <w:rFonts w:cs="Times New Roman"/>
          <w:b/>
          <w:bCs/>
          <w:color w:val="auto"/>
          <w:kern w:val="0"/>
          <w:szCs w:val="21"/>
          <w:highlight w:val="none"/>
        </w:rPr>
        <w:t>2　</w:t>
      </w:r>
      <w:r>
        <w:rPr>
          <w:rFonts w:cs="Times New Roman"/>
          <w:color w:val="auto"/>
          <w:highlight w:val="none"/>
        </w:rPr>
        <w:t>随机选取6枚射钉，在</w:t>
      </w:r>
      <w:r>
        <w:rPr>
          <w:rFonts w:cs="Times New Roman" w:hint="eastAsia"/>
          <w:color w:val="auto"/>
          <w:highlight w:val="none"/>
        </w:rPr>
        <w:t>LY12</w:t>
      </w:r>
      <w:r>
        <w:rPr>
          <w:rFonts w:cs="Times New Roman"/>
          <w:color w:val="auto"/>
          <w:highlight w:val="none"/>
        </w:rPr>
        <w:t>铝合金板上射钉6次，射钉间距不</w:t>
      </w:r>
      <w:r>
        <w:rPr>
          <w:rFonts w:cs="Times New Roman" w:hint="eastAsia"/>
          <w:color w:val="auto"/>
          <w:highlight w:val="none"/>
        </w:rPr>
        <w:t>应</w:t>
      </w:r>
      <w:r>
        <w:rPr>
          <w:rFonts w:cs="Times New Roman"/>
          <w:color w:val="auto"/>
          <w:highlight w:val="none"/>
        </w:rPr>
        <w:t>小于30mm，射钉距铝合金板边界不</w:t>
      </w:r>
      <w:r>
        <w:rPr>
          <w:rFonts w:cs="Times New Roman" w:hint="eastAsia"/>
          <w:color w:val="auto"/>
          <w:highlight w:val="none"/>
        </w:rPr>
        <w:t>应</w:t>
      </w:r>
      <w:r>
        <w:rPr>
          <w:rFonts w:cs="Times New Roman"/>
          <w:color w:val="auto"/>
          <w:highlight w:val="none"/>
        </w:rPr>
        <w:t>小于20mm；</w:t>
      </w:r>
    </w:p>
    <w:p>
      <w:pPr>
        <w:rPr>
          <w:rFonts w:cs="Times New Roman"/>
          <w:color w:val="auto"/>
          <w:highlight w:val="none"/>
        </w:rPr>
      </w:pPr>
      <w:r>
        <w:rPr>
          <w:rFonts w:cs="Times New Roman"/>
          <w:b/>
          <w:bCs/>
          <w:color w:val="auto"/>
          <w:kern w:val="0"/>
          <w:szCs w:val="21"/>
          <w:highlight w:val="none"/>
        </w:rPr>
        <w:t>3　</w:t>
      </w:r>
      <w:r>
        <w:rPr>
          <w:rFonts w:cs="Times New Roman"/>
          <w:color w:val="auto"/>
          <w:highlight w:val="none"/>
        </w:rPr>
        <w:t>量取各射钉外露长度</w:t>
      </w:r>
      <w:r>
        <w:rPr>
          <w:rFonts w:cs="Times New Roman"/>
          <w:color w:val="auto"/>
          <w:position w:val="-12"/>
          <w:highlight w:val="none"/>
        </w:rPr>
        <w:object>
          <v:shape id="_x0000_i1063" type="#_x0000_t75" filled="f" alt="" style="width:13.0pt;height:18.0pt;" o:ole="">
            <v:imagedata r:id="rId108" o:title="image53"/>
            <o:lock aspectratio="t"/>
            <w10:anchorLock/>
          </v:shape>
          <o:OLEObject Type="Embed" ProgID="Equation.KSEE3" ShapeID="_x0000_i1063" DrawAspect="Content" ObjectID="_1393063389" r:id="rId109"/>
        </w:object>
      </w:r>
      <w:r>
        <w:rPr>
          <w:rFonts w:cs="Times New Roman"/>
          <w:color w:val="auto"/>
          <w:highlight w:val="none"/>
        </w:rPr>
        <w:t>（准确至0.1mm)；</w:t>
      </w:r>
    </w:p>
    <w:p>
      <w:pPr>
        <w:rPr>
          <w:rFonts w:cs="Times New Roman"/>
          <w:color w:val="auto"/>
          <w:highlight w:val="none"/>
        </w:rPr>
      </w:pPr>
      <w:r>
        <w:rPr>
          <w:rFonts w:cs="Times New Roman"/>
          <w:b/>
          <w:bCs/>
          <w:color w:val="auto"/>
          <w:kern w:val="0"/>
          <w:szCs w:val="21"/>
          <w:highlight w:val="none"/>
        </w:rPr>
        <w:t>4　</w:t>
      </w:r>
      <w:r>
        <w:rPr>
          <w:rFonts w:cs="Times New Roman"/>
          <w:color w:val="auto"/>
          <w:highlight w:val="none"/>
        </w:rPr>
        <w:t>按下列公式计算平均外露长度</w:t>
      </w:r>
      <w:r>
        <w:rPr>
          <w:rFonts w:cs="Times New Roman" w:hint="eastAsia"/>
          <w:color w:val="auto"/>
          <w:highlight w:val="none"/>
        </w:rPr>
        <w:t>（</w:t>
      </w:r>
      <w:r>
        <w:rPr>
          <w:rFonts w:cs="Times New Roman"/>
          <w:color w:val="auto"/>
          <w:position w:val="-12"/>
          <w:highlight w:val="none"/>
        </w:rPr>
        <w:object>
          <v:shape id="_x0000_i1064" type="#_x0000_t75" filled="f" style="width:13.95pt;height:18.0pt;" o:ole="">
            <v:imagedata r:id="rId110" o:title="image54"/>
            <o:lock aspectratio="t"/>
            <w10:anchorLock/>
          </v:shape>
          <o:OLEObject Type="Embed" ProgID="Equation.KSEE3" ShapeID="_x0000_i1064" DrawAspect="Content" ObjectID="_1393063390" r:id="rId111"/>
        </w:object>
      </w:r>
      <w:r>
        <w:rPr>
          <w:rFonts w:cs="Times New Roman" w:hint="eastAsia"/>
          <w:color w:val="auto"/>
          <w:highlight w:val="none"/>
        </w:rPr>
        <w:t>）</w:t>
      </w:r>
      <w:r>
        <w:rPr>
          <w:rFonts w:cs="Times New Roman"/>
          <w:color w:val="auto"/>
          <w:highlight w:val="none"/>
        </w:rPr>
        <w:t>、外露长度标准差</w:t>
      </w:r>
      <w:r>
        <w:rPr>
          <w:rFonts w:cs="Times New Roman" w:hint="eastAsia"/>
          <w:color w:val="auto"/>
          <w:highlight w:val="none"/>
        </w:rPr>
        <w:t>（</w:t>
      </w:r>
      <w:r>
        <w:rPr>
          <w:rFonts w:cs="Times New Roman"/>
          <w:color w:val="auto"/>
          <w:highlight w:val="none"/>
        </w:rPr>
        <w:t>S</w:t>
      </w:r>
      <w:r>
        <w:rPr>
          <w:rFonts w:cs="Times New Roman" w:hint="eastAsia"/>
          <w:color w:val="auto"/>
          <w:highlight w:val="none"/>
        </w:rPr>
        <w:t>）</w:t>
      </w:r>
      <w:r>
        <w:rPr>
          <w:rFonts w:cs="Times New Roman"/>
          <w:color w:val="auto"/>
          <w:highlight w:val="none"/>
        </w:rPr>
        <w:t>及变异系数</w:t>
      </w:r>
      <w:r>
        <w:rPr>
          <w:rFonts w:cs="Times New Roman" w:hint="eastAsia"/>
          <w:color w:val="auto"/>
          <w:highlight w:val="none"/>
        </w:rPr>
        <w:t>（</w:t>
      </w:r>
      <w:r>
        <w:rPr>
          <w:rFonts w:cs="Times New Roman"/>
          <w:color w:val="auto"/>
          <w:position w:val="-12"/>
          <w:highlight w:val="none"/>
        </w:rPr>
        <w:object>
          <v:shape id="_x0000_i1065" type="#_x0000_t75" filled="f" style="width:15.0pt;height:18.0pt;" o:ole="">
            <v:imagedata r:id="rId112" o:title="image12"/>
            <o:lock aspectratio="t"/>
            <w10:anchorLock/>
          </v:shape>
          <o:OLEObject Type="Embed" ProgID="Equation.KSEE3" ShapeID="_x0000_i1065" DrawAspect="Content" ObjectID="_1393063391" r:id="rId113"/>
        </w:object>
      </w:r>
      <w:r>
        <w:rPr>
          <w:rFonts w:cs="Times New Roman" w:hint="eastAsia"/>
          <w:color w:val="auto"/>
          <w:highlight w:val="none"/>
        </w:rPr>
        <w:t>）</w:t>
      </w:r>
      <w:r>
        <w:rPr>
          <w:rFonts w:cs="Times New Roman"/>
          <w:color w:val="auto"/>
          <w:highlight w:val="none"/>
        </w:rPr>
        <w:t>：</w:t>
      </w:r>
    </w:p>
    <w:p>
      <w:pPr>
        <w:spacing w:before="156"/>
        <w:ind w:firstLineChars="0" w:firstLine="0"/>
        <w:jc w:val="right"/>
        <w:rPr>
          <w:rFonts w:cs="Times New Roman"/>
          <w:color w:val="auto"/>
          <w:szCs w:val="24"/>
          <w:highlight w:val="none"/>
        </w:rPr>
      </w:pPr>
      <m:oMath>
        <m:sSub>
          <m:sSubPr>
            <m:ctrlPr>
              <w:rPr>
                <w:rFonts w:ascii="Cambria Math" w:cs="Times New Roman" w:hAnsi="Cambria Math"/>
                <w:color w:val="auto"/>
                <w:szCs w:val="24"/>
              </w:rPr>
            </m:ctrlPr>
          </m:sSubPr>
          <m:e>
            <m:r>
              <w:rPr>
                <w:rFonts w:ascii="Cambria Math" w:cs="Times New Roman" w:hAnsi="Cambria Math"/>
                <w:color w:val="auto"/>
                <w:szCs w:val="24"/>
                <w:highlight w:val="none"/>
              </w:rPr>
              <m:t>L</m:t>
            </m:r>
          </m:e>
          <m:sub>
            <m:r>
              <w:rPr>
                <w:rFonts w:ascii="Cambria Math" w:cs="Times New Roman" w:hAnsi="Cambria Math"/>
                <w:color w:val="auto"/>
                <w:szCs w:val="24"/>
                <w:highlight w:val="none"/>
              </w:rPr>
              <m:t>0</m:t>
            </m:r>
          </m:sub>
        </m:sSub>
        <m:r>
          <w:rPr>
            <w:rFonts w:ascii="Cambria Math" w:cs="Times New Roman" w:hAnsi="Cambria Math"/>
            <w:color w:val="auto"/>
            <w:szCs w:val="24"/>
            <w:highlight w:val="none"/>
          </w:rPr>
          <m:t>=</m:t>
        </m:r>
        <m:f>
          <m:fPr>
            <m:ctrlPr>
              <w:rPr>
                <w:rFonts w:ascii="Cambria Math" w:cs="Times New Roman" w:hAnsi="Cambria Math"/>
                <w:color w:val="auto"/>
                <w:szCs w:val="24"/>
              </w:rPr>
            </m:ctrlPr>
          </m:fPr>
          <m:num>
            <m:nary>
              <m:naryPr>
                <m:chr m:val="∑"/>
                <m:limLoc m:val="undOvr"/>
                <m:ctrlPr>
                  <w:rPr>
                    <w:rFonts w:ascii="Cambria Math" w:cs="Times New Roman" w:hAnsi="Cambria Math"/>
                    <w:color w:val="auto"/>
                    <w:szCs w:val="24"/>
                  </w:rPr>
                </m:ctrlPr>
              </m:naryPr>
              <m:sub>
                <m:r>
                  <w:rPr>
                    <w:rFonts w:ascii="Cambria Math" w:cs="Times New Roman" w:hAnsi="Cambria Math"/>
                    <w:color w:val="auto"/>
                    <w:szCs w:val="24"/>
                    <w:highlight w:val="none"/>
                  </w:rPr>
                  <m:t>i=1</m:t>
                </m:r>
              </m:sub>
              <m:sup>
                <m:r>
                  <w:rPr>
                    <w:rFonts w:ascii="Cambria Math" w:cs="Times New Roman" w:hAnsi="Cambria Math"/>
                    <w:color w:val="auto"/>
                    <w:szCs w:val="24"/>
                    <w:highlight w:val="none"/>
                  </w:rPr>
                  <m:t>6</m:t>
                </m:r>
              </m:sup>
              <m:e>
                <m:sSub>
                  <m:sSubPr>
                    <m:ctrlPr>
                      <w:rPr>
                        <w:rFonts w:ascii="Cambria Math" w:cs="Times New Roman" w:hAnsi="Cambria Math"/>
                        <w:color w:val="auto"/>
                        <w:szCs w:val="24"/>
                      </w:rPr>
                    </m:ctrlPr>
                  </m:sSubPr>
                  <m:e>
                    <m:r>
                      <w:rPr>
                        <w:rFonts w:ascii="Cambria Math" w:cs="Times New Roman" w:hAnsi="Cambria Math"/>
                        <w:color w:val="auto"/>
                        <w:szCs w:val="24"/>
                        <w:highlight w:val="none"/>
                      </w:rPr>
                      <m:t>L</m:t>
                    </m:r>
                  </m:e>
                  <m:sub>
                    <m:r>
                      <w:rPr>
                        <w:rFonts w:ascii="Cambria Math" w:cs="Times New Roman" w:hAnsi="Cambria Math"/>
                        <w:color w:val="auto"/>
                        <w:szCs w:val="24"/>
                        <w:highlight w:val="none"/>
                      </w:rPr>
                      <m:t>i</m:t>
                    </m:r>
                  </m:sub>
                </m:sSub>
              </m:e>
            </m:nary>
          </m:num>
          <m:den>
            <m:r>
              <w:rPr>
                <w:rFonts w:ascii="Cambria Math" w:cs="Times New Roman" w:hAnsi="Cambria Math"/>
                <w:color w:val="auto"/>
                <w:szCs w:val="24"/>
                <w:highlight w:val="none"/>
              </w:rPr>
              <m:t>6</m:t>
            </m:r>
          </m:den>
        </m:f>
      </m:oMath>
      <w:r>
        <w:rPr>
          <w:rFonts w:cs="Times New Roman"/>
          <w:color w:val="auto"/>
          <w:szCs w:val="24"/>
          <w:highlight w:val="none"/>
        </w:rPr>
        <w:t xml:space="preserve">                     （</w:t>
      </w:r>
      <w:r>
        <w:rPr>
          <w:rFonts w:cs="Times New Roman" w:hint="eastAsia"/>
          <w:color w:val="auto"/>
          <w:szCs w:val="24"/>
          <w:lang w:eastAsia="zh-CN"/>
          <w:highlight w:val="none"/>
        </w:rPr>
        <w:t>16.</w:t>
      </w:r>
      <w:r>
        <w:rPr>
          <w:rFonts w:cs="Times New Roman"/>
          <w:color w:val="auto"/>
          <w:szCs w:val="24"/>
          <w:highlight w:val="none"/>
        </w:rPr>
        <w:t>3.2-1）</w:t>
      </w:r>
    </w:p>
    <w:p>
      <w:pPr>
        <w:spacing w:before="156"/>
        <w:ind w:firstLineChars="0" w:firstLine="0"/>
        <w:jc w:val="right"/>
        <w:rPr>
          <w:rFonts w:cs="Times New Roman"/>
          <w:color w:val="auto"/>
          <w:szCs w:val="24"/>
          <w:highlight w:val="none"/>
        </w:rPr>
      </w:pPr>
      <m:oMath>
        <m:r>
          <w:rPr>
            <w:rFonts w:ascii="Cambria Math" w:cs="Times New Roman" w:hAnsi="Cambria Math"/>
            <w:color w:val="auto"/>
            <w:szCs w:val="24"/>
            <w:highlight w:val="none"/>
          </w:rPr>
          <m:t>S=</m:t>
        </m:r>
        <m:rad>
          <m:radPr>
            <m:degHide m:val="1"/>
            <m:ctrlPr>
              <w:rPr>
                <w:rFonts w:ascii="Cambria Math" w:cs="Times New Roman" w:hAnsi="Cambria Math"/>
                <w:color w:val="auto"/>
                <w:szCs w:val="24"/>
              </w:rPr>
            </m:ctrlPr>
          </m:radPr>
          <m:deg/>
          <m:e>
            <m:f>
              <m:fPr>
                <m:ctrlPr>
                  <w:rPr>
                    <w:rFonts w:ascii="Cambria Math" w:cs="Times New Roman" w:hAnsi="Cambria Math"/>
                    <w:color w:val="auto"/>
                    <w:szCs w:val="24"/>
                  </w:rPr>
                </m:ctrlPr>
              </m:fPr>
              <m:num>
                <m:nary>
                  <m:naryPr>
                    <m:chr m:val="∑"/>
                    <m:limLoc m:val="undOvr"/>
                    <m:ctrlPr>
                      <w:rPr>
                        <w:rFonts w:ascii="Cambria Math" w:cs="Times New Roman" w:hAnsi="Cambria Math"/>
                        <w:color w:val="auto"/>
                        <w:szCs w:val="24"/>
                      </w:rPr>
                    </m:ctrlPr>
                  </m:naryPr>
                  <m:sub>
                    <m:r>
                      <w:rPr>
                        <w:rFonts w:ascii="Cambria Math" w:cs="Times New Roman" w:hAnsi="Cambria Math"/>
                        <w:color w:val="auto"/>
                        <w:szCs w:val="24"/>
                        <w:highlight w:val="none"/>
                      </w:rPr>
                      <m:t>i=1</m:t>
                    </m:r>
                  </m:sub>
                  <m:sup>
                    <m:r>
                      <w:rPr>
                        <w:rFonts w:ascii="Cambria Math" w:cs="Times New Roman" w:hAnsi="Cambria Math"/>
                        <w:color w:val="auto"/>
                        <w:szCs w:val="24"/>
                        <w:highlight w:val="none"/>
                      </w:rPr>
                      <m:t>6</m:t>
                    </m:r>
                  </m:sup>
                  <m:e>
                    <m:sSup>
                      <m:sSupPr>
                        <m:ctrlPr>
                          <w:rPr>
                            <w:rFonts w:ascii="Cambria Math" w:cs="Times New Roman" w:hAnsi="Cambria Math"/>
                            <w:color w:val="auto"/>
                            <w:szCs w:val="24"/>
                          </w:rPr>
                        </m:ctrlPr>
                      </m:sSupPr>
                      <m:e>
                        <m:sSub>
                          <m:sSubPr>
                            <m:ctrlPr>
                              <w:rPr>
                                <w:rFonts w:ascii="Cambria Math" w:cs="Times New Roman" w:hAnsi="Cambria Math"/>
                                <w:color w:val="auto"/>
                                <w:szCs w:val="24"/>
                              </w:rPr>
                            </m:ctrlPr>
                          </m:sSubPr>
                          <m:e>
                            <m:r>
                              <w:rPr>
                                <w:rFonts w:ascii="Cambria Math" w:cs="Times New Roman" w:hAnsi="Cambria Math"/>
                                <w:color w:val="auto"/>
                                <w:szCs w:val="24"/>
                                <w:highlight w:val="none"/>
                              </w:rPr>
                              <m:t>(L</m:t>
                            </m:r>
                          </m:e>
                          <m:sub>
                            <m:r>
                              <w:rPr>
                                <w:rFonts w:ascii="Cambria Math" w:cs="Times New Roman" w:hAnsi="Cambria Math"/>
                                <w:color w:val="auto"/>
                                <w:szCs w:val="24"/>
                                <w:highlight w:val="none"/>
                              </w:rPr>
                              <m:t>i</m:t>
                            </m:r>
                          </m:sub>
                        </m:sSub>
                        <m:r>
                          <w:rPr>
                            <w:rFonts w:ascii="Cambria Math" w:cs="Times New Roman" w:hAnsi="Cambria Math"/>
                            <w:color w:val="auto"/>
                            <w:szCs w:val="24"/>
                            <w:highlight w:val="none"/>
                          </w:rPr>
                          <m:t>−</m:t>
                        </m:r>
                        <m:sSub>
                          <m:sSubPr>
                            <m:ctrlPr>
                              <w:rPr>
                                <w:rFonts w:ascii="Cambria Math" w:cs="Times New Roman" w:hAnsi="Cambria Math"/>
                                <w:color w:val="auto"/>
                                <w:szCs w:val="24"/>
                              </w:rPr>
                            </m:ctrlPr>
                          </m:sSubPr>
                          <m:e>
                            <m:r>
                              <w:rPr>
                                <w:rFonts w:ascii="Cambria Math" w:cs="Times New Roman" w:hAnsi="Cambria Math"/>
                                <w:color w:val="auto"/>
                                <w:szCs w:val="24"/>
                                <w:highlight w:val="none"/>
                              </w:rPr>
                              <m:t>L</m:t>
                            </m:r>
                          </m:e>
                          <m:sub>
                            <m:r>
                              <w:rPr>
                                <w:rFonts w:ascii="Cambria Math" w:cs="Times New Roman" w:hAnsi="Cambria Math"/>
                                <w:color w:val="auto"/>
                                <w:szCs w:val="24"/>
                                <w:highlight w:val="none"/>
                              </w:rPr>
                              <m:t>0</m:t>
                            </m:r>
                          </m:sub>
                        </m:sSub>
                        <m:r>
                          <w:rPr>
                            <w:rFonts w:ascii="Cambria Math" w:cs="Times New Roman" w:hAnsi="Cambria Math"/>
                            <w:color w:val="auto"/>
                            <w:szCs w:val="24"/>
                            <w:highlight w:val="none"/>
                          </w:rPr>
                          <m:t>)</m:t>
                        </m:r>
                      </m:e>
                      <m:sup>
                        <m:r>
                          <w:rPr>
                            <w:rFonts w:ascii="Cambria Math" w:cs="Times New Roman" w:hAnsi="Cambria Math"/>
                            <w:color w:val="auto"/>
                            <w:szCs w:val="24"/>
                            <w:highlight w:val="none"/>
                          </w:rPr>
                          <m:t>2</m:t>
                        </m:r>
                      </m:sup>
                    </m:sSup>
                  </m:e>
                </m:nary>
              </m:num>
              <m:den>
                <m:r>
                  <w:rPr>
                    <w:rFonts w:ascii="Cambria Math" w:cs="Times New Roman" w:hAnsi="Cambria Math"/>
                    <w:color w:val="auto"/>
                    <w:szCs w:val="24"/>
                    <w:highlight w:val="none"/>
                  </w:rPr>
                  <m:t>6</m:t>
                </m:r>
              </m:den>
            </m:f>
          </m:e>
        </m:rad>
      </m:oMath>
      <w:r>
        <w:rPr>
          <w:rFonts w:cs="Times New Roman"/>
          <w:color w:val="auto"/>
          <w:szCs w:val="24"/>
          <w:highlight w:val="none"/>
        </w:rPr>
        <w:t xml:space="preserve">                  （</w:t>
      </w:r>
      <w:r>
        <w:rPr>
          <w:rFonts w:cs="Times New Roman" w:hint="eastAsia"/>
          <w:color w:val="auto"/>
          <w:szCs w:val="24"/>
          <w:lang w:eastAsia="zh-CN"/>
          <w:highlight w:val="none"/>
        </w:rPr>
        <w:t>16.</w:t>
      </w:r>
      <w:r>
        <w:rPr>
          <w:rFonts w:cs="Times New Roman"/>
          <w:color w:val="auto"/>
          <w:szCs w:val="24"/>
          <w:highlight w:val="none"/>
        </w:rPr>
        <w:t>3.2-2）</w:t>
      </w:r>
    </w:p>
    <w:p>
      <w:pPr>
        <w:spacing w:before="156"/>
        <w:ind w:firstLineChars="0" w:firstLine="0"/>
        <w:jc w:val="right"/>
        <w:rPr>
          <w:rFonts w:cs="Times New Roman"/>
          <w:color w:val="auto"/>
          <w:szCs w:val="24"/>
          <w:highlight w:val="none"/>
        </w:rPr>
      </w:pPr>
      <m:oMath>
        <m:sSub>
          <m:sSubPr>
            <m:ctrlPr>
              <w:rPr>
                <w:rFonts w:ascii="Cambria Math" w:cs="Times New Roman" w:hAnsi="Cambria Math"/>
                <w:color w:val="auto"/>
                <w:szCs w:val="24"/>
              </w:rPr>
            </m:ctrlPr>
          </m:sSubPr>
          <m:e>
            <m:r>
              <w:rPr>
                <w:rFonts w:ascii="Cambria Math" w:cs="Times New Roman" w:hAnsi="Cambria Math"/>
                <w:color w:val="auto"/>
                <w:szCs w:val="24"/>
                <w:highlight w:val="none"/>
              </w:rPr>
              <m:t>C</m:t>
            </m:r>
          </m:e>
          <m:sub>
            <m:r>
              <w:rPr>
                <w:rFonts w:ascii="Cambria Math" w:cs="Times New Roman" w:hAnsi="Cambria Math"/>
                <w:color w:val="auto"/>
                <w:szCs w:val="24"/>
                <w:highlight w:val="none"/>
              </w:rPr>
              <m:t>V</m:t>
            </m:r>
          </m:sub>
        </m:sSub>
        <m:r>
          <w:rPr>
            <w:rFonts w:ascii="Cambria Math" w:cs="Times New Roman" w:hAnsi="Cambria Math"/>
            <w:color w:val="auto"/>
            <w:szCs w:val="24"/>
            <w:highlight w:val="none"/>
          </w:rPr>
          <m:t>=</m:t>
        </m:r>
        <m:f>
          <m:fPr>
            <m:ctrlPr>
              <w:rPr>
                <w:rFonts w:ascii="Cambria Math" w:cs="Times New Roman" w:hAnsi="Cambria Math"/>
                <w:color w:val="auto"/>
                <w:szCs w:val="24"/>
              </w:rPr>
            </m:ctrlPr>
          </m:fPr>
          <m:num>
            <m:r>
              <w:rPr>
                <w:rFonts w:ascii="Cambria Math" w:cs="Times New Roman" w:hAnsi="Cambria Math"/>
                <w:color w:val="auto"/>
                <w:szCs w:val="24"/>
                <w:highlight w:val="none"/>
              </w:rPr>
              <m:t>S</m:t>
            </m:r>
          </m:num>
          <m:den>
            <m:sSub>
              <m:sSubPr>
                <m:ctrlPr>
                  <w:rPr>
                    <w:rFonts w:ascii="Cambria Math" w:cs="Times New Roman" w:hAnsi="Cambria Math"/>
                    <w:color w:val="auto"/>
                    <w:szCs w:val="24"/>
                  </w:rPr>
                </m:ctrlPr>
              </m:sSubPr>
              <m:e>
                <m:r>
                  <w:rPr>
                    <w:rFonts w:ascii="Cambria Math" w:cs="Times New Roman" w:hAnsi="Cambria Math"/>
                    <w:color w:val="auto"/>
                    <w:szCs w:val="24"/>
                    <w:highlight w:val="none"/>
                  </w:rPr>
                  <m:t>L</m:t>
                </m:r>
              </m:e>
              <m:sub>
                <m:r>
                  <w:rPr>
                    <w:rFonts w:ascii="Cambria Math" w:cs="Times New Roman" w:hAnsi="Cambria Math"/>
                    <w:color w:val="auto"/>
                    <w:szCs w:val="24"/>
                    <w:highlight w:val="none"/>
                  </w:rPr>
                  <m:t>0</m:t>
                </m:r>
              </m:sub>
            </m:sSub>
          </m:den>
        </m:f>
      </m:oMath>
      <w:r>
        <w:rPr>
          <w:rFonts w:cs="Times New Roman"/>
          <w:color w:val="auto"/>
          <w:szCs w:val="24"/>
          <w:highlight w:val="none"/>
        </w:rPr>
        <w:t xml:space="preserve">                      （</w:t>
      </w:r>
      <w:r>
        <w:rPr>
          <w:rFonts w:cs="Times New Roman" w:hint="eastAsia"/>
          <w:color w:val="auto"/>
          <w:szCs w:val="24"/>
          <w:lang w:eastAsia="zh-CN"/>
          <w:highlight w:val="none"/>
        </w:rPr>
        <w:t>16.</w:t>
      </w:r>
      <w:r>
        <w:rPr>
          <w:rFonts w:cs="Times New Roman"/>
          <w:color w:val="auto"/>
          <w:szCs w:val="24"/>
          <w:highlight w:val="none"/>
        </w:rPr>
        <w:t>3.2-3）</w:t>
      </w:r>
    </w:p>
    <w:p>
      <w:pPr>
        <w:pStyle w:val="38"/>
        <w:ind w:firstLineChars="0" w:firstLine="0"/>
        <w:rPr>
          <w:rFonts w:cs="Times New Roman"/>
          <w:color w:val="auto"/>
          <w:highlight w:val="none"/>
        </w:rPr>
      </w:pPr>
      <w:r>
        <w:rPr>
          <w:rFonts w:cs="Times New Roman"/>
          <w:color w:val="auto"/>
          <w:highlight w:val="none"/>
        </w:rPr>
        <w:t>式中：</w:t>
      </w:r>
      <w:r>
        <w:rPr>
          <w:rFonts w:cs="Times New Roman"/>
          <w:color w:val="auto"/>
          <w:position w:val="-12"/>
          <w:highlight w:val="none"/>
        </w:rPr>
        <w:object>
          <v:shape id="_x0000_i1066" type="#_x0000_t75" filled="f" style="width:13.95pt;height:18.0pt;" o:ole="">
            <v:imagedata r:id="rId114" o:title="image54"/>
            <o:lock aspectratio="t"/>
            <w10:anchorLock/>
          </v:shape>
          <o:OLEObject Type="Embed" ProgID="Equation.KSEE3" ShapeID="_x0000_i1066" DrawAspect="Content" ObjectID="_1393063392" r:id="rId115"/>
        </w:object>
      </w:r>
      <w:r>
        <w:rPr>
          <w:rFonts w:cs="Times New Roman"/>
          <w:color w:val="auto"/>
          <w:highlight w:val="none"/>
        </w:rPr>
        <w:t>——平均外露长度（mm）；</w:t>
      </w:r>
    </w:p>
    <w:p>
      <w:pPr>
        <w:pStyle w:val="38"/>
        <w:ind w:firstLineChars="300" w:firstLine="720"/>
        <w:rPr>
          <w:rFonts w:cs="Times New Roman"/>
          <w:color w:val="auto"/>
          <w:highlight w:val="none"/>
        </w:rPr>
      </w:pPr>
      <w:r>
        <w:rPr>
          <w:rFonts w:cs="Times New Roman"/>
          <w:color w:val="auto"/>
          <w:position w:val="-6"/>
          <w:highlight w:val="none"/>
        </w:rPr>
        <w:object>
          <v:shape id="_x0000_i1067" type="#_x0000_t75" filled="f" style="width:11.0pt;height:13.95pt;" o:ole="">
            <v:imagedata r:id="rId116" o:title="image8"/>
            <o:lock aspectratio="t"/>
            <w10:anchorLock/>
          </v:shape>
          <o:OLEObject Type="Embed" ProgID="Equation.KSEE3" ShapeID="_x0000_i1067" DrawAspect="Content" ObjectID="_1393063393" r:id="rId117"/>
        </w:object>
      </w:r>
      <w:r>
        <w:rPr>
          <w:rFonts w:cs="Times New Roman"/>
          <w:color w:val="auto"/>
          <w:highlight w:val="none"/>
        </w:rPr>
        <w:t>——外露长度标准差（mm）；</w:t>
      </w:r>
    </w:p>
    <w:p>
      <w:pPr>
        <w:pStyle w:val="38"/>
        <w:ind w:firstLineChars="300" w:firstLine="720"/>
        <w:rPr>
          <w:rFonts w:cs="Times New Roman"/>
          <w:color w:val="auto"/>
          <w:highlight w:val="none"/>
        </w:rPr>
      </w:pPr>
      <w:r>
        <w:rPr>
          <w:rFonts w:cs="Times New Roman"/>
          <w:color w:val="auto"/>
          <w:position w:val="-12"/>
          <w:highlight w:val="none"/>
        </w:rPr>
        <w:object>
          <v:shape id="_x0000_i1068" type="#_x0000_t75" filled="f" style="width:15.0pt;height:18.0pt;" o:ole="">
            <v:imagedata r:id="rId118" o:title="image12"/>
            <o:lock aspectratio="t"/>
            <w10:anchorLock/>
          </v:shape>
          <o:OLEObject Type="Embed" ProgID="Equation.KSEE3" ShapeID="_x0000_i1068" DrawAspect="Content" ObjectID="_1393063394" r:id="rId119"/>
        </w:object>
      </w:r>
      <w:r>
        <w:rPr>
          <w:rFonts w:cs="Times New Roman"/>
          <w:color w:val="auto"/>
          <w:highlight w:val="none"/>
        </w:rPr>
        <w:t>——变异系数。</w:t>
      </w:r>
    </w:p>
    <w:p>
      <w:pPr>
        <w:rPr>
          <w:rFonts w:cs="Times New Roman"/>
          <w:color w:val="auto"/>
          <w:highlight w:val="none"/>
        </w:rPr>
      </w:pPr>
      <w:r>
        <w:rPr>
          <w:rFonts w:cs="Times New Roman"/>
          <w:b/>
          <w:bCs/>
          <w:color w:val="auto"/>
          <w:kern w:val="0"/>
          <w:szCs w:val="21"/>
          <w:highlight w:val="none"/>
        </w:rPr>
        <w:t>5　</w:t>
      </w:r>
      <w:r>
        <w:rPr>
          <w:rFonts w:cs="Times New Roman"/>
          <w:color w:val="auto"/>
          <w:highlight w:val="none"/>
        </w:rPr>
        <w:t>计算出变异系数</w:t>
      </w:r>
      <w:r>
        <w:rPr>
          <w:rFonts w:cs="Times New Roman" w:hint="eastAsia"/>
          <w:color w:val="auto"/>
          <w:highlight w:val="none"/>
        </w:rPr>
        <w:t>（</w:t>
      </w:r>
      <w:r>
        <w:rPr>
          <w:rFonts w:cs="Times New Roman"/>
          <w:color w:val="auto"/>
          <w:position w:val="-12"/>
          <w:highlight w:val="none"/>
        </w:rPr>
        <w:object>
          <v:shape id="_x0000_i1069" type="#_x0000_t75" filled="f" style="width:15.0pt;height:18.0pt;" o:ole="">
            <v:imagedata r:id="rId120" o:title="image12"/>
            <o:lock aspectratio="t"/>
            <w10:anchorLock/>
          </v:shape>
          <o:OLEObject Type="Embed" ProgID="Equation.KSEE3" ShapeID="_x0000_i1069" DrawAspect="Content" ObjectID="_1393063395" r:id="rId121"/>
        </w:object>
      </w:r>
      <w:r>
        <w:rPr>
          <w:rFonts w:cs="Times New Roman" w:hint="eastAsia"/>
          <w:color w:val="auto"/>
          <w:highlight w:val="none"/>
        </w:rPr>
        <w:t>）</w:t>
      </w:r>
      <w:r>
        <w:rPr>
          <w:rFonts w:cs="Times New Roman"/>
          <w:color w:val="auto"/>
          <w:highlight w:val="none"/>
        </w:rPr>
        <w:t>不大于0.02时，表示此射钉装置的重复性能合格，将所获得的外露长度平均值</w:t>
      </w:r>
      <w:r>
        <w:rPr>
          <w:rFonts w:cs="Times New Roman" w:hint="eastAsia"/>
          <w:color w:val="auto"/>
          <w:highlight w:val="none"/>
        </w:rPr>
        <w:t>（</w:t>
      </w:r>
      <w:r>
        <w:rPr>
          <w:rFonts w:cs="Times New Roman"/>
          <w:color w:val="auto"/>
          <w:position w:val="-12"/>
          <w:highlight w:val="none"/>
        </w:rPr>
        <w:object>
          <v:shape id="_x0000_i1070" type="#_x0000_t75" filled="f" style="width:13.95pt;height:18.0pt;" o:ole="">
            <v:imagedata r:id="rId122" o:title="image5"/>
            <o:lock aspectratio="t"/>
            <w10:anchorLock/>
          </v:shape>
          <o:OLEObject Type="Embed" ProgID="Equation.KSEE3" ShapeID="_x0000_i1070" DrawAspect="Content" ObjectID="_1393063396" r:id="rId123"/>
        </w:object>
      </w:r>
      <w:r>
        <w:rPr>
          <w:rFonts w:cs="Times New Roman" w:hint="eastAsia"/>
          <w:color w:val="auto"/>
          <w:highlight w:val="none"/>
        </w:rPr>
        <w:t>）</w:t>
      </w:r>
      <w:r>
        <w:rPr>
          <w:rFonts w:cs="Times New Roman"/>
          <w:color w:val="auto"/>
          <w:highlight w:val="none"/>
        </w:rPr>
        <w:t>定为此装置的标准外露值；变异系数</w:t>
      </w:r>
      <w:r>
        <w:rPr>
          <w:rFonts w:cs="Times New Roman" w:hint="eastAsia"/>
          <w:color w:val="auto"/>
          <w:highlight w:val="none"/>
        </w:rPr>
        <w:t>（</w:t>
      </w:r>
      <w:r>
        <w:rPr>
          <w:rFonts w:cs="Times New Roman"/>
          <w:color w:val="auto"/>
          <w:position w:val="-12"/>
          <w:highlight w:val="none"/>
        </w:rPr>
        <w:object>
          <v:shape id="_x0000_i1071" type="#_x0000_t75" filled="f" style="width:15.0pt;height:18.0pt;" o:ole="">
            <v:imagedata r:id="rId124" o:title="image12"/>
            <o:lock aspectratio="t"/>
            <w10:anchorLock/>
          </v:shape>
          <o:OLEObject Type="Embed" ProgID="Equation.KSEE3" ShapeID="_x0000_i1071" DrawAspect="Content" ObjectID="_1393063397" r:id="rId125"/>
        </w:object>
      </w:r>
      <w:r>
        <w:rPr>
          <w:rFonts w:cs="Times New Roman" w:hint="eastAsia"/>
          <w:color w:val="auto"/>
          <w:highlight w:val="none"/>
        </w:rPr>
        <w:t>）</w:t>
      </w:r>
      <w:r>
        <w:rPr>
          <w:rFonts w:cs="Times New Roman"/>
          <w:color w:val="auto"/>
          <w:highlight w:val="none"/>
        </w:rPr>
        <w:t>大于0.02时，表示射钉装置的重复性能不合格。</w:t>
      </w:r>
    </w:p>
    <w:p>
      <w:pPr>
        <w:pStyle w:val="3"/>
        <w:tabs>
          <w:tab w:val="left" w:pos="0"/>
          <w:tab w:val="left" w:pos="567"/>
          <w:tab w:val="left" w:pos="709"/>
          <w:tab w:val="left" w:pos="1560"/>
        </w:tabs>
        <w:rPr>
          <w:rFonts w:cs="Times New Roman"/>
          <w:b/>
          <w:color w:val="auto"/>
          <w:highlight w:val="none"/>
        </w:rPr>
      </w:pPr>
      <w:r>
        <w:rPr>
          <w:rFonts w:cs="Times New Roman" w:hint="eastAsia"/>
          <w:b/>
          <w:color w:val="auto"/>
          <w:lang w:eastAsia="zh-CN"/>
          <w:highlight w:val="none"/>
        </w:rPr>
        <w:t>16.</w:t>
      </w:r>
      <w:r>
        <w:rPr>
          <w:rFonts w:cs="Times New Roman"/>
          <w:b/>
          <w:color w:val="auto"/>
          <w:highlight w:val="none"/>
        </w:rPr>
        <w:t>3.3　</w:t>
      </w:r>
      <w:r>
        <w:rPr>
          <w:rFonts w:cs="Times New Roman" w:hint="eastAsia"/>
          <w:color w:val="auto"/>
          <w:highlight w:val="none"/>
        </w:rPr>
        <w:t>遇下列</w:t>
      </w:r>
      <w:r>
        <w:rPr>
          <w:rFonts w:cs="Times New Roman"/>
          <w:color w:val="auto"/>
          <w:highlight w:val="none"/>
        </w:rPr>
        <w:t>情况之一者均应复验射钉装置的标准外露值</w:t>
      </w:r>
      <w:r>
        <w:rPr>
          <w:rFonts w:cs="Times New Roman" w:hint="eastAsia"/>
          <w:color w:val="auto"/>
          <w:highlight w:val="none"/>
        </w:rPr>
        <w:t>：</w:t>
      </w:r>
    </w:p>
    <w:p>
      <w:pPr>
        <w:rPr>
          <w:rFonts w:cs="Times New Roman"/>
          <w:color w:val="auto"/>
          <w:highlight w:val="none"/>
        </w:rPr>
      </w:pPr>
      <w:r>
        <w:rPr>
          <w:rFonts w:cs="Times New Roman"/>
          <w:b/>
          <w:bCs/>
          <w:color w:val="auto"/>
          <w:kern w:val="0"/>
          <w:szCs w:val="21"/>
          <w:highlight w:val="none"/>
        </w:rPr>
        <w:t>1　</w:t>
      </w:r>
      <w:r>
        <w:rPr>
          <w:rFonts w:cs="Times New Roman"/>
          <w:color w:val="auto"/>
          <w:highlight w:val="none"/>
        </w:rPr>
        <w:t>启用新购的同型号射钉；</w:t>
      </w:r>
    </w:p>
    <w:p>
      <w:pPr>
        <w:rPr>
          <w:rFonts w:cs="Times New Roman"/>
          <w:color w:val="auto"/>
          <w:highlight w:val="none"/>
        </w:rPr>
      </w:pPr>
      <w:r>
        <w:rPr>
          <w:rFonts w:cs="Times New Roman"/>
          <w:b/>
          <w:bCs/>
          <w:color w:val="auto"/>
          <w:kern w:val="0"/>
          <w:szCs w:val="21"/>
          <w:highlight w:val="none"/>
        </w:rPr>
        <w:t>2　</w:t>
      </w:r>
      <w:r>
        <w:rPr>
          <w:rFonts w:cs="Times New Roman"/>
          <w:color w:val="auto"/>
          <w:highlight w:val="none"/>
        </w:rPr>
        <w:t>进行工程检测或试验前；</w:t>
      </w:r>
    </w:p>
    <w:p>
      <w:pPr>
        <w:rPr>
          <w:rFonts w:cs="Times New Roman"/>
          <w:color w:val="auto"/>
          <w:highlight w:val="none"/>
        </w:rPr>
      </w:pPr>
      <w:r>
        <w:rPr>
          <w:rFonts w:cs="Times New Roman"/>
          <w:b/>
          <w:bCs/>
          <w:color w:val="auto"/>
          <w:kern w:val="0"/>
          <w:szCs w:val="21"/>
          <w:highlight w:val="none"/>
        </w:rPr>
        <w:t>3　</w:t>
      </w:r>
      <w:r>
        <w:rPr>
          <w:rFonts w:cs="Times New Roman"/>
          <w:color w:val="auto"/>
          <w:highlight w:val="none"/>
        </w:rPr>
        <w:t>累计射钉达100次时。</w:t>
      </w:r>
    </w:p>
    <w:p>
      <w:pPr>
        <w:pStyle w:val="3"/>
        <w:tabs>
          <w:tab w:val="left" w:pos="0"/>
          <w:tab w:val="left" w:pos="567"/>
          <w:tab w:val="left" w:pos="709"/>
          <w:tab w:val="left" w:pos="1560"/>
        </w:tabs>
        <w:rPr>
          <w:rFonts w:cs="Times New Roman"/>
          <w:b/>
          <w:color w:val="auto"/>
          <w:highlight w:val="none"/>
        </w:rPr>
      </w:pPr>
      <w:r>
        <w:rPr>
          <w:rFonts w:cs="Times New Roman" w:hint="eastAsia"/>
          <w:b/>
          <w:color w:val="auto"/>
          <w:lang w:eastAsia="zh-CN"/>
          <w:highlight w:val="none"/>
        </w:rPr>
        <w:t>16.</w:t>
      </w:r>
      <w:r>
        <w:rPr>
          <w:rFonts w:cs="Times New Roman"/>
          <w:b/>
          <w:color w:val="auto"/>
          <w:highlight w:val="none"/>
        </w:rPr>
        <w:t>3.4　</w:t>
      </w:r>
      <w:r>
        <w:rPr>
          <w:rFonts w:cs="Times New Roman"/>
          <w:color w:val="auto"/>
          <w:highlight w:val="none"/>
        </w:rPr>
        <w:t>复验射钉装置的标准外露值应符合下列规定：</w:t>
      </w:r>
    </w:p>
    <w:p>
      <w:pPr>
        <w:rPr>
          <w:rFonts w:cs="Times New Roman"/>
          <w:color w:val="auto"/>
          <w:highlight w:val="none"/>
        </w:rPr>
      </w:pPr>
      <w:r>
        <w:rPr>
          <w:rFonts w:cs="Times New Roman"/>
          <w:b/>
          <w:bCs/>
          <w:color w:val="auto"/>
          <w:kern w:val="0"/>
          <w:szCs w:val="21"/>
          <w:highlight w:val="none"/>
        </w:rPr>
        <w:t>1　</w:t>
      </w:r>
      <w:r>
        <w:rPr>
          <w:rFonts w:cs="Times New Roman"/>
          <w:color w:val="auto"/>
          <w:highlight w:val="none"/>
        </w:rPr>
        <w:t>每次在铝合金板上复核标准外露长度时，射钉数不应</w:t>
      </w:r>
      <w:r>
        <w:rPr>
          <w:rFonts w:cs="Times New Roman" w:hint="eastAsia"/>
          <w:color w:val="auto"/>
          <w:highlight w:val="none"/>
        </w:rPr>
        <w:t>少</w:t>
      </w:r>
      <w:r>
        <w:rPr>
          <w:rFonts w:cs="Times New Roman"/>
          <w:color w:val="auto"/>
          <w:highlight w:val="none"/>
        </w:rPr>
        <w:t>于3次；</w:t>
      </w:r>
    </w:p>
    <w:p>
      <w:pPr>
        <w:rPr>
          <w:rFonts w:cs="Times New Roman"/>
          <w:color w:val="auto"/>
          <w:highlight w:val="none"/>
        </w:rPr>
      </w:pPr>
      <w:r>
        <w:rPr>
          <w:rFonts w:cs="Times New Roman"/>
          <w:b/>
          <w:bCs/>
          <w:color w:val="auto"/>
          <w:kern w:val="0"/>
          <w:szCs w:val="21"/>
          <w:highlight w:val="none"/>
        </w:rPr>
        <w:t>2　</w:t>
      </w:r>
      <w:r>
        <w:rPr>
          <w:rFonts w:cs="Times New Roman"/>
          <w:color w:val="auto"/>
          <w:highlight w:val="none"/>
        </w:rPr>
        <w:t>装置处于标准状态</w:t>
      </w:r>
      <w:r>
        <w:rPr>
          <w:rFonts w:cs="Times New Roman" w:hint="eastAsia"/>
          <w:color w:val="auto"/>
          <w:highlight w:val="none"/>
        </w:rPr>
        <w:t>时，</w:t>
      </w:r>
      <w:r>
        <w:rPr>
          <w:rFonts w:cs="Times New Roman"/>
          <w:color w:val="auto"/>
          <w:highlight w:val="none"/>
        </w:rPr>
        <w:t>射钉外露长度平均值</w:t>
      </w:r>
      <w:r>
        <w:rPr>
          <w:rFonts w:cs="Times New Roman" w:hint="eastAsia"/>
          <w:color w:val="auto"/>
          <w:highlight w:val="none"/>
        </w:rPr>
        <w:t>（</w:t>
      </w:r>
      <w:r>
        <w:rPr>
          <w:rFonts w:cs="Times New Roman"/>
          <w:color w:val="auto"/>
          <w:highlight w:val="none"/>
        </w:rPr>
        <w:t>L</w:t>
      </w:r>
      <w:r>
        <w:rPr>
          <w:rFonts w:cs="Times New Roman" w:hint="eastAsia"/>
          <w:color w:val="auto"/>
          <w:highlight w:val="none"/>
        </w:rPr>
        <w:t>）应</w:t>
      </w:r>
      <w:r>
        <w:rPr>
          <w:rFonts w:cs="Times New Roman"/>
          <w:color w:val="auto"/>
          <w:highlight w:val="none"/>
        </w:rPr>
        <w:t>满足</w:t>
      </w:r>
      <w:r>
        <w:rPr>
          <w:rFonts w:cs="Times New Roman" w:hint="eastAsia"/>
          <w:color w:val="auto"/>
          <w:highlight w:val="none"/>
        </w:rPr>
        <w:t>下式要求：</w:t>
      </w:r>
    </w:p>
    <w:p>
      <w:pPr>
        <w:spacing w:before="156"/>
        <w:ind w:firstLineChars="0" w:firstLine="0"/>
        <w:jc w:val="right"/>
        <w:rPr>
          <w:rFonts w:cs="Times New Roman"/>
          <w:color w:val="auto"/>
          <w:szCs w:val="24"/>
          <w:highlight w:val="none"/>
        </w:rPr>
      </w:pPr>
      <m:oMath>
        <m:d>
          <m:dPr>
            <m:begChr m:val="|"/>
            <m:endChr m:val="|"/>
            <m:ctrlPr>
              <w:rPr>
                <w:rFonts w:ascii="Cambria Math" w:cs="Times New Roman" w:hAnsi="Cambria Math"/>
                <w:color w:val="auto"/>
                <w:szCs w:val="24"/>
              </w:rPr>
            </m:ctrlPr>
          </m:dPr>
          <m:e>
            <m:f>
              <m:fPr>
                <m:ctrlPr>
                  <w:rPr>
                    <w:rFonts w:ascii="Cambria Math" w:cs="Times New Roman" w:hAnsi="Cambria Math"/>
                    <w:color w:val="auto"/>
                    <w:szCs w:val="24"/>
                  </w:rPr>
                </m:ctrlPr>
              </m:fPr>
              <m:num>
                <m:sSub>
                  <m:sSubPr>
                    <m:ctrlPr>
                      <w:rPr>
                        <w:rFonts w:ascii="Cambria Math" w:cs="Times New Roman" w:hAnsi="Cambria Math"/>
                        <w:color w:val="auto"/>
                        <w:szCs w:val="24"/>
                      </w:rPr>
                    </m:ctrlPr>
                  </m:sSubPr>
                  <m:e>
                    <m:r>
                      <w:rPr>
                        <w:rFonts w:ascii="Cambria Math" w:cs="Times New Roman" w:hAnsi="Cambria Math"/>
                        <w:color w:val="auto"/>
                        <w:szCs w:val="24"/>
                        <w:highlight w:val="none"/>
                      </w:rPr>
                      <m:t>L</m:t>
                    </m:r>
                  </m:e>
                  <m:sub>
                    <m:r>
                      <w:rPr>
                        <w:rFonts w:ascii="Cambria Math" w:cs="Times New Roman" w:hAnsi="Cambria Math"/>
                        <w:color w:val="auto"/>
                        <w:szCs w:val="24"/>
                        <w:highlight w:val="none"/>
                      </w:rPr>
                      <m:t>d2</m:t>
                    </m:r>
                  </m:sub>
                </m:sSub>
                <m:r>
                  <w:rPr>
                    <w:rFonts w:ascii="Cambria Math" w:cs="Times New Roman" w:hAnsi="Cambria Math"/>
                    <w:color w:val="auto"/>
                    <w:szCs w:val="24"/>
                    <w:highlight w:val="none"/>
                  </w:rPr>
                  <m:t>−L</m:t>
                </m:r>
              </m:num>
              <m:den>
                <m:sSub>
                  <m:sSubPr>
                    <m:ctrlPr>
                      <w:rPr>
                        <w:rFonts w:ascii="Cambria Math" w:cs="Times New Roman" w:hAnsi="Cambria Math"/>
                        <w:color w:val="auto"/>
                        <w:szCs w:val="24"/>
                      </w:rPr>
                    </m:ctrlPr>
                  </m:sSubPr>
                  <m:e>
                    <m:r>
                      <w:rPr>
                        <w:rFonts w:ascii="Cambria Math" w:cs="Times New Roman" w:hAnsi="Cambria Math"/>
                        <w:color w:val="auto"/>
                        <w:szCs w:val="24"/>
                        <w:highlight w:val="none"/>
                      </w:rPr>
                      <m:t>L</m:t>
                    </m:r>
                  </m:e>
                  <m:sub>
                    <m:r>
                      <w:rPr>
                        <w:rFonts w:ascii="Cambria Math" w:cs="Times New Roman" w:hAnsi="Cambria Math"/>
                        <w:color w:val="auto"/>
                        <w:szCs w:val="24"/>
                        <w:highlight w:val="none"/>
                      </w:rPr>
                      <m:t>d2</m:t>
                    </m:r>
                  </m:sub>
                </m:sSub>
              </m:den>
            </m:f>
          </m:e>
        </m:d>
        <m:r>
          <w:rPr>
            <w:rFonts w:ascii="Cambria Math" w:cs="Times New Roman" w:hAnsi="Cambria Math"/>
            <w:color w:val="auto"/>
            <w:szCs w:val="24"/>
            <w:highlight w:val="none"/>
          </w:rPr>
          <m:t>≤4%</m:t>
        </m:r>
      </m:oMath>
      <w:r>
        <w:rPr>
          <w:rFonts w:cs="Times New Roman"/>
          <w:color w:val="auto"/>
          <w:szCs w:val="24"/>
          <w:highlight w:val="none"/>
        </w:rPr>
        <w:t xml:space="preserve">                  （</w:t>
      </w:r>
      <w:r>
        <w:rPr>
          <w:rFonts w:cs="Times New Roman" w:hint="eastAsia"/>
          <w:color w:val="auto"/>
          <w:szCs w:val="24"/>
          <w:lang w:eastAsia="zh-CN"/>
          <w:highlight w:val="none"/>
        </w:rPr>
        <w:t>16.</w:t>
      </w:r>
      <w:r>
        <w:rPr>
          <w:rFonts w:cs="Times New Roman"/>
          <w:color w:val="auto"/>
          <w:szCs w:val="24"/>
          <w:highlight w:val="none"/>
        </w:rPr>
        <w:t>3.4）</w:t>
      </w:r>
    </w:p>
    <w:p>
      <w:pPr>
        <w:spacing w:before="156"/>
        <w:ind w:firstLineChars="0" w:firstLine="0"/>
        <w:rPr>
          <w:rFonts w:cs="Times New Roman"/>
          <w:color w:val="auto"/>
          <w:szCs w:val="24"/>
          <w:highlight w:val="none"/>
        </w:rPr>
      </w:pPr>
      <w:r>
        <w:rPr>
          <w:rFonts w:cs="Times New Roman"/>
          <w:color w:val="auto"/>
          <w:szCs w:val="24"/>
          <w:highlight w:val="none"/>
        </w:rPr>
        <w:t>式中：</w:t>
      </w:r>
      <w:r>
        <w:rPr>
          <w:rFonts w:cs="Times New Roman"/>
          <w:color w:val="auto"/>
          <w:position w:val="-12"/>
          <w:highlight w:val="none"/>
        </w:rPr>
        <w:object>
          <v:shape id="_x0000_i1072" type="#_x0000_t75" filled="f" style="width:19.0pt;height:18.0pt;" o:ole="">
            <v:imagedata r:id="rId126" o:title="image55"/>
            <o:lock aspectratio="t"/>
            <w10:anchorLock/>
          </v:shape>
          <o:OLEObject Type="Embed" ProgID="Equation.KSEE3" ShapeID="_x0000_i1072" DrawAspect="Content" ObjectID="_1393063398" r:id="rId127"/>
        </w:object>
      </w:r>
      <w:r>
        <w:rPr>
          <w:rFonts w:cs="Times New Roman"/>
          <w:color w:val="auto"/>
          <w:szCs w:val="24"/>
          <w:highlight w:val="none"/>
        </w:rPr>
        <w:t>——标准外露值（mm）；</w:t>
      </w:r>
    </w:p>
    <w:p>
      <w:pPr>
        <w:spacing w:before="156"/>
        <w:ind w:firstLineChars="338" w:firstLine="811"/>
        <w:rPr>
          <w:rFonts w:cs="Times New Roman"/>
          <w:color w:val="auto"/>
          <w:szCs w:val="24"/>
          <w:highlight w:val="none"/>
        </w:rPr>
      </w:pPr>
      <w:r>
        <w:rPr>
          <w:rFonts w:cs="Times New Roman" w:hint="eastAsia"/>
          <w:color w:val="auto"/>
          <w:highlight w:val="none"/>
        </w:rPr>
        <w:t>L</w:t>
      </w:r>
      <w:r>
        <w:rPr>
          <w:rFonts w:cs="Times New Roman"/>
          <w:color w:val="auto"/>
          <w:szCs w:val="24"/>
          <w:highlight w:val="none"/>
        </w:rPr>
        <w:t>——复验时平均外露值（mm）。</w:t>
      </w:r>
    </w:p>
    <w:p>
      <w:pPr>
        <w:rPr>
          <w:rFonts w:cs="Times New Roman"/>
          <w:color w:val="auto"/>
          <w:szCs w:val="24"/>
          <w:highlight w:val="none"/>
        </w:rPr>
      </w:pPr>
      <w:r>
        <w:rPr>
          <w:rFonts w:cs="Times New Roman"/>
          <w:b/>
          <w:bCs/>
          <w:color w:val="auto"/>
          <w:kern w:val="0"/>
          <w:szCs w:val="21"/>
          <w:highlight w:val="none"/>
        </w:rPr>
        <w:t>3　</w:t>
      </w:r>
      <w:r>
        <w:rPr>
          <w:rFonts w:cs="Times New Roman"/>
          <w:color w:val="auto"/>
          <w:szCs w:val="24"/>
          <w:highlight w:val="none"/>
        </w:rPr>
        <w:t>若不满足公式（</w:t>
      </w:r>
      <w:r>
        <w:rPr>
          <w:rFonts w:cs="Times New Roman" w:hint="eastAsia"/>
          <w:color w:val="auto"/>
          <w:szCs w:val="24"/>
          <w:lang w:eastAsia="zh-CN"/>
          <w:highlight w:val="none"/>
        </w:rPr>
        <w:t>16.</w:t>
      </w:r>
      <w:r>
        <w:rPr>
          <w:rFonts w:cs="Times New Roman"/>
          <w:color w:val="auto"/>
          <w:szCs w:val="24"/>
          <w:highlight w:val="none"/>
        </w:rPr>
        <w:t>3.4），则应更换相关设备或配件，再重新检验。</w:t>
      </w:r>
    </w:p>
    <w:p>
      <w:pPr>
        <w:pStyle w:val="3"/>
        <w:tabs>
          <w:tab w:val="left" w:pos="0"/>
          <w:tab w:val="left" w:pos="567"/>
          <w:tab w:val="left" w:pos="709"/>
          <w:tab w:val="left" w:pos="1560"/>
        </w:tabs>
        <w:rPr>
          <w:rFonts w:cs="Times New Roman"/>
          <w:b/>
          <w:color w:val="auto"/>
          <w:highlight w:val="none"/>
        </w:rPr>
      </w:pPr>
      <w:r>
        <w:rPr>
          <w:rFonts w:cs="Times New Roman" w:hint="eastAsia"/>
          <w:b/>
          <w:color w:val="auto"/>
          <w:lang w:eastAsia="zh-CN"/>
          <w:highlight w:val="none"/>
        </w:rPr>
        <w:t>16.</w:t>
      </w:r>
      <w:r>
        <w:rPr>
          <w:rFonts w:cs="Times New Roman"/>
          <w:b/>
          <w:color w:val="auto"/>
          <w:highlight w:val="none"/>
        </w:rPr>
        <w:t>3.5　</w:t>
      </w:r>
      <w:r>
        <w:rPr>
          <w:rFonts w:cs="Times New Roman"/>
          <w:color w:val="auto"/>
          <w:highlight w:val="none"/>
        </w:rPr>
        <w:t>超高性能混凝土强度与射钉外露长度关系的标定应按下列步骤进行：</w:t>
      </w:r>
    </w:p>
    <w:p>
      <w:pPr>
        <w:rPr>
          <w:rFonts w:cs="Times New Roman"/>
          <w:color w:val="auto"/>
          <w:highlight w:val="none"/>
        </w:rPr>
      </w:pPr>
      <w:r>
        <w:rPr>
          <w:rFonts w:cs="Times New Roman"/>
          <w:b/>
          <w:bCs/>
          <w:color w:val="auto"/>
          <w:kern w:val="0"/>
          <w:szCs w:val="21"/>
          <w:highlight w:val="none"/>
        </w:rPr>
        <w:t>1　</w:t>
      </w:r>
      <w:r>
        <w:rPr>
          <w:rFonts w:cs="Times New Roman"/>
          <w:color w:val="auto"/>
          <w:highlight w:val="none"/>
        </w:rPr>
        <w:t>制作一批同条件的试块，尺寸为边长100mm的立方体，采用同条件养护；</w:t>
      </w:r>
    </w:p>
    <w:p>
      <w:pPr>
        <w:rPr>
          <w:rFonts w:cs="Times New Roman"/>
          <w:color w:val="auto"/>
          <w:highlight w:val="none"/>
        </w:rPr>
      </w:pPr>
      <w:r>
        <w:rPr>
          <w:rFonts w:cs="Times New Roman"/>
          <w:b/>
          <w:bCs/>
          <w:color w:val="auto"/>
          <w:kern w:val="0"/>
          <w:szCs w:val="21"/>
          <w:highlight w:val="none"/>
        </w:rPr>
        <w:t>2　</w:t>
      </w:r>
      <w:r>
        <w:rPr>
          <w:rFonts w:cs="Times New Roman"/>
          <w:color w:val="auto"/>
          <w:highlight w:val="none"/>
        </w:rPr>
        <w:t>选取同一试块的顶、底面和两个侧面4个测点作为一试验组，试块固定</w:t>
      </w:r>
      <w:r>
        <w:rPr>
          <w:rFonts w:cs="Times New Roman" w:hint="eastAsia"/>
          <w:color w:val="auto"/>
          <w:lang w:val="en-US" w:eastAsia="zh-CN"/>
          <w:highlight w:val="none"/>
        </w:rPr>
        <w:t>后</w:t>
      </w:r>
      <w:r>
        <w:rPr>
          <w:rFonts w:cs="Times New Roman"/>
          <w:color w:val="auto"/>
          <w:highlight w:val="none"/>
        </w:rPr>
        <w:t>，将射钉枪对准超高性能混凝土测试面射击点，射钉枪</w:t>
      </w:r>
      <w:r>
        <w:rPr>
          <w:rFonts w:cs="Times New Roman" w:hint="eastAsia"/>
          <w:color w:val="auto"/>
          <w:highlight w:val="none"/>
        </w:rPr>
        <w:t>应</w:t>
      </w:r>
      <w:r>
        <w:rPr>
          <w:rFonts w:cs="Times New Roman"/>
          <w:color w:val="auto"/>
          <w:highlight w:val="none"/>
        </w:rPr>
        <w:t>紧压在测试面上击发，</w:t>
      </w:r>
      <w:r>
        <w:rPr>
          <w:rFonts w:cs="Times New Roman" w:hint="eastAsia"/>
          <w:color w:val="auto"/>
          <w:highlight w:val="none"/>
        </w:rPr>
        <w:t>将</w:t>
      </w:r>
      <w:r>
        <w:rPr>
          <w:rFonts w:cs="Times New Roman"/>
          <w:color w:val="auto"/>
          <w:highlight w:val="none"/>
        </w:rPr>
        <w:t>射钉射入超高性能混凝土。嵌入不牢固的射钉不得作为试验结果，应在附近补充射钉；</w:t>
      </w:r>
    </w:p>
    <w:p>
      <w:pPr>
        <w:rPr>
          <w:rFonts w:cs="Times New Roman"/>
          <w:color w:val="auto"/>
          <w:highlight w:val="none"/>
        </w:rPr>
      </w:pPr>
      <w:r>
        <w:rPr>
          <w:rFonts w:cs="Times New Roman"/>
          <w:b/>
          <w:bCs/>
          <w:color w:val="auto"/>
          <w:kern w:val="0"/>
          <w:szCs w:val="21"/>
          <w:highlight w:val="none"/>
        </w:rPr>
        <w:t>3　</w:t>
      </w:r>
      <w:r>
        <w:rPr>
          <w:rFonts w:cs="Times New Roman"/>
          <w:color w:val="auto"/>
          <w:highlight w:val="none"/>
        </w:rPr>
        <w:t>在射钉上套入测量基准板，以高度游标卡尺测量射钉外露尾端至基准板面的垂直距离，并作记录。计算外露长度值时应加上基准板厚度。如果射钉周围有局部产生鼓起，应处理平整后再测量；</w:t>
      </w:r>
    </w:p>
    <w:p>
      <w:pPr>
        <w:rPr>
          <w:rFonts w:cs="Times New Roman"/>
          <w:color w:val="auto"/>
          <w:highlight w:val="none"/>
        </w:rPr>
      </w:pPr>
      <w:r>
        <w:rPr>
          <w:rFonts w:cs="Times New Roman"/>
          <w:b/>
          <w:bCs/>
          <w:color w:val="auto"/>
          <w:kern w:val="0"/>
          <w:szCs w:val="21"/>
          <w:highlight w:val="none"/>
        </w:rPr>
        <w:t>4　</w:t>
      </w:r>
      <w:r>
        <w:rPr>
          <w:rFonts w:cs="Times New Roman"/>
          <w:color w:val="auto"/>
          <w:highlight w:val="none"/>
        </w:rPr>
        <w:t>检查每一试验组的4个射钉外露长度值的极差满足容许极差的情况。超出规定时，应将4个测值平均，剔除离平均值最远的那个测值，若所剩测值仍不满足，再按以上方法进行剔除；所剩测值</w:t>
      </w:r>
      <w:r>
        <w:rPr>
          <w:rFonts w:cs="Times New Roman" w:hint="eastAsia"/>
          <w:color w:val="auto"/>
          <w:highlight w:val="none"/>
        </w:rPr>
        <w:t>应</w:t>
      </w:r>
      <w:r>
        <w:rPr>
          <w:rFonts w:cs="Times New Roman"/>
          <w:color w:val="auto"/>
          <w:highlight w:val="none"/>
        </w:rPr>
        <w:t>满足极差的要求，且不少于3个，</w:t>
      </w:r>
      <w:r>
        <w:rPr>
          <w:rFonts w:cs="Times New Roman" w:hint="eastAsia"/>
          <w:color w:val="auto"/>
          <w:highlight w:val="none"/>
        </w:rPr>
        <w:t>应</w:t>
      </w:r>
      <w:r>
        <w:rPr>
          <w:rFonts w:cs="Times New Roman"/>
          <w:color w:val="auto"/>
          <w:highlight w:val="none"/>
        </w:rPr>
        <w:t>以满足极差要求测值的平均值作为此试验组的外露长度值</w:t>
      </w:r>
      <w:r>
        <w:rPr>
          <w:rFonts w:cs="Times New Roman" w:hint="eastAsia"/>
          <w:color w:val="auto"/>
          <w:highlight w:val="none"/>
        </w:rPr>
        <w:t>（</w:t>
      </w:r>
      <w:r>
        <w:rPr>
          <w:rFonts w:cs="Times New Roman"/>
          <w:highlight w:val="none"/>
        </w:rPr>
        <w:t>L</w:t>
      </w:r>
      <w:r>
        <w:rPr>
          <w:rFonts w:cs="Times New Roman"/>
          <w:vertAlign w:val="subscript"/>
          <w:highlight w:val="none"/>
        </w:rPr>
        <w:t>i</w:t>
      </w:r>
      <w:r>
        <w:rPr>
          <w:rFonts w:cs="Times New Roman" w:hint="eastAsia"/>
          <w:color w:val="auto"/>
          <w:highlight w:val="none"/>
        </w:rPr>
        <w:t>）</w:t>
      </w:r>
      <w:r>
        <w:rPr>
          <w:rFonts w:cs="Times New Roman"/>
          <w:color w:val="auto"/>
          <w:highlight w:val="none"/>
        </w:rPr>
        <w:t>，求得此试验组射钉的贯入深度，采用最小二乘法原理回归出曲线的方程式，回归线的精度不应大于</w:t>
      </w:r>
      <w:r>
        <w:rPr>
          <w:rFonts w:cs="Times New Roman" w:hint="eastAsia"/>
          <w:color w:val="auto"/>
          <w:highlight w:val="none"/>
        </w:rPr>
        <w:t>2</w:t>
      </w:r>
      <w:r>
        <w:rPr>
          <w:rFonts w:cs="Times New Roman"/>
          <w:color w:val="auto"/>
          <w:highlight w:val="none"/>
        </w:rPr>
        <w:t>倍的剩余标准差；</w:t>
      </w:r>
    </w:p>
    <w:p>
      <w:pPr>
        <w:rPr>
          <w:rFonts w:cs="Times New Roman"/>
          <w:color w:val="auto"/>
          <w:highlight w:val="none"/>
        </w:rPr>
      </w:pPr>
      <w:r>
        <w:rPr>
          <w:rFonts w:cs="Times New Roman"/>
          <w:b/>
          <w:bCs/>
          <w:color w:val="auto"/>
          <w:kern w:val="0"/>
          <w:szCs w:val="21"/>
          <w:highlight w:val="none"/>
        </w:rPr>
        <w:t>5　</w:t>
      </w:r>
      <w:r>
        <w:rPr>
          <w:rFonts w:cs="Times New Roman"/>
          <w:color w:val="auto"/>
          <w:highlight w:val="none"/>
        </w:rPr>
        <w:t>建立的关系曲线仅限于标定所使用的射钉装置，即一台射钉枪、一种型号射钉对应一条标定曲线。当被测构件与建立测强曲线的超高性能混凝土强度、钢纤维和干湿状态等因素有差异时，应另建立条件相同的测强曲线，或采用在测点处钻取芯样进行强度试验的方法进行修正。</w:t>
      </w:r>
    </w:p>
    <w:p>
      <w:pPr>
        <w:pStyle w:val="3"/>
        <w:tabs>
          <w:tab w:val="left" w:pos="0"/>
          <w:tab w:val="left" w:pos="567"/>
          <w:tab w:val="left" w:pos="709"/>
          <w:tab w:val="left" w:pos="1560"/>
        </w:tabs>
        <w:rPr>
          <w:rFonts w:cs="Times New Roman"/>
          <w:b/>
          <w:color w:val="auto"/>
          <w:highlight w:val="none"/>
        </w:rPr>
      </w:pPr>
      <w:r>
        <w:rPr>
          <w:rFonts w:cs="Times New Roman" w:hint="eastAsia"/>
          <w:b/>
          <w:color w:val="auto"/>
          <w:lang w:eastAsia="zh-CN"/>
          <w:highlight w:val="none"/>
        </w:rPr>
        <w:t>16.</w:t>
      </w:r>
      <w:r>
        <w:rPr>
          <w:rFonts w:cs="Times New Roman"/>
          <w:b/>
          <w:color w:val="auto"/>
          <w:highlight w:val="none"/>
        </w:rPr>
        <w:t>3.6　</w:t>
      </w:r>
      <w:r>
        <w:rPr>
          <w:rFonts w:cs="Times New Roman"/>
          <w:color w:val="auto"/>
          <w:highlight w:val="none"/>
        </w:rPr>
        <w:t>测试应</w:t>
      </w:r>
      <w:r>
        <w:rPr>
          <w:rFonts w:cs="Times New Roman" w:hint="eastAsia"/>
          <w:color w:val="auto"/>
          <w:highlight w:val="none"/>
        </w:rPr>
        <w:t>符合</w:t>
      </w:r>
      <w:r>
        <w:rPr>
          <w:rFonts w:cs="Times New Roman"/>
          <w:color w:val="auto"/>
          <w:highlight w:val="none"/>
        </w:rPr>
        <w:t>下列规定：</w:t>
      </w:r>
    </w:p>
    <w:p>
      <w:pPr>
        <w:rPr>
          <w:rFonts w:cs="Times New Roman"/>
          <w:color w:val="auto"/>
          <w:highlight w:val="none"/>
        </w:rPr>
      </w:pPr>
      <w:r>
        <w:rPr>
          <w:rFonts w:cs="Times New Roman"/>
          <w:b/>
          <w:bCs/>
          <w:color w:val="auto"/>
          <w:kern w:val="0"/>
          <w:szCs w:val="21"/>
          <w:highlight w:val="none"/>
        </w:rPr>
        <w:t>1　</w:t>
      </w:r>
      <w:r>
        <w:rPr>
          <w:rFonts w:cs="Times New Roman"/>
          <w:color w:val="auto"/>
          <w:highlight w:val="none"/>
        </w:rPr>
        <w:t>被测超高性能混凝土龄期不宜小于7d，所测结构的厚度不得小于60mm；</w:t>
      </w:r>
    </w:p>
    <w:p>
      <w:pPr>
        <w:rPr>
          <w:rFonts w:cs="Times New Roman"/>
          <w:color w:val="auto"/>
          <w:highlight w:val="none"/>
        </w:rPr>
      </w:pPr>
      <w:r>
        <w:rPr>
          <w:rFonts w:cs="Times New Roman"/>
          <w:b/>
          <w:bCs/>
          <w:color w:val="auto"/>
          <w:kern w:val="0"/>
          <w:szCs w:val="21"/>
          <w:highlight w:val="none"/>
        </w:rPr>
        <w:t>2　</w:t>
      </w:r>
      <w:r>
        <w:rPr>
          <w:rFonts w:cs="Times New Roman"/>
          <w:color w:val="auto"/>
          <w:highlight w:val="none"/>
        </w:rPr>
        <w:t>被测构件的测区数量及布置按测试目的和构件情况而定，但测区数不得少于3个。每个测区布置3个测点，测点位置宜布置在边长为200mm的等边三角形内。射钉之间距离不得小于100mm，射钉点与构件边缘相距不得小于100mm，测点表面必须平整；</w:t>
      </w:r>
    </w:p>
    <w:p>
      <w:pPr>
        <w:rPr>
          <w:rFonts w:cs="Times New Roman"/>
          <w:color w:val="auto"/>
          <w:highlight w:val="none"/>
        </w:rPr>
      </w:pPr>
      <w:r>
        <w:rPr>
          <w:rFonts w:cs="Times New Roman" w:hint="eastAsia"/>
          <w:b/>
          <w:bCs/>
          <w:color w:val="auto"/>
          <w:highlight w:val="none"/>
        </w:rPr>
        <w:t>3</w:t>
      </w:r>
      <w:r>
        <w:rPr>
          <w:rFonts w:cs="Times New Roman"/>
          <w:b/>
          <w:bCs/>
          <w:color w:val="auto"/>
          <w:kern w:val="0"/>
          <w:szCs w:val="21"/>
          <w:highlight w:val="none"/>
        </w:rPr>
        <w:t>　</w:t>
      </w:r>
      <w:r>
        <w:rPr>
          <w:rFonts w:cs="Times New Roman"/>
          <w:color w:val="auto"/>
          <w:highlight w:val="none"/>
        </w:rPr>
        <w:t>每个测区3个测值的极差</w:t>
      </w:r>
      <w:r>
        <w:rPr>
          <w:rFonts w:cs="Times New Roman" w:hint="eastAsia"/>
          <w:color w:val="auto"/>
          <w:highlight w:val="none"/>
        </w:rPr>
        <w:t>不应超出2mm。若不能满足</w:t>
      </w:r>
      <w:r>
        <w:rPr>
          <w:rFonts w:cs="Times New Roman"/>
          <w:color w:val="auto"/>
          <w:highlight w:val="none"/>
        </w:rPr>
        <w:t>，应补射第</w:t>
      </w:r>
      <w:r>
        <w:rPr>
          <w:rFonts w:cs="Times New Roman" w:hint="eastAsia"/>
          <w:color w:val="auto"/>
          <w:highlight w:val="none"/>
        </w:rPr>
        <w:t>4</w:t>
      </w:r>
      <w:r>
        <w:rPr>
          <w:rFonts w:cs="Times New Roman"/>
          <w:color w:val="auto"/>
          <w:highlight w:val="none"/>
        </w:rPr>
        <w:t>个射钉，</w:t>
      </w:r>
      <w:r>
        <w:rPr>
          <w:rFonts w:cs="Times New Roman" w:hint="eastAsia"/>
          <w:color w:val="auto"/>
          <w:highlight w:val="none"/>
        </w:rPr>
        <w:t>并</w:t>
      </w:r>
      <w:r>
        <w:rPr>
          <w:rFonts w:cs="Times New Roman"/>
          <w:color w:val="auto"/>
          <w:highlight w:val="none"/>
        </w:rPr>
        <w:t>剔除离4个测值平均值</w:t>
      </w:r>
      <w:r>
        <w:rPr>
          <w:rFonts w:cs="Times New Roman" w:hint="eastAsia"/>
          <w:color w:val="auto"/>
          <w:highlight w:val="none"/>
        </w:rPr>
        <w:t>偏差</w:t>
      </w:r>
      <w:r>
        <w:rPr>
          <w:rFonts w:cs="Times New Roman"/>
          <w:color w:val="auto"/>
          <w:highlight w:val="none"/>
        </w:rPr>
        <w:t>最大的数据</w:t>
      </w:r>
      <w:r>
        <w:rPr>
          <w:rFonts w:cs="Times New Roman" w:hint="eastAsia"/>
          <w:color w:val="auto"/>
          <w:highlight w:val="none"/>
        </w:rPr>
        <w:t>。</w:t>
      </w:r>
    </w:p>
    <w:p>
      <w:pPr>
        <w:rPr>
          <w:rFonts w:cs="Times New Roman"/>
          <w:color w:val="auto"/>
          <w:highlight w:val="none"/>
        </w:rPr>
      </w:pPr>
      <w:r>
        <w:rPr>
          <w:rFonts w:cs="Times New Roman"/>
          <w:b/>
          <w:bCs/>
          <w:color w:val="auto"/>
          <w:highlight w:val="none"/>
        </w:rPr>
        <w:t>4</w:t>
      </w:r>
      <w:r>
        <w:rPr>
          <w:rFonts w:cs="Times New Roman"/>
          <w:b/>
          <w:bCs/>
          <w:color w:val="auto"/>
          <w:kern w:val="0"/>
          <w:szCs w:val="21"/>
          <w:highlight w:val="none"/>
        </w:rPr>
        <w:t>　</w:t>
      </w:r>
      <w:r>
        <w:rPr>
          <w:rFonts w:cs="Times New Roman"/>
          <w:color w:val="auto"/>
          <w:highlight w:val="none"/>
        </w:rPr>
        <w:t>若其余3个测值仍不能满足</w:t>
      </w:r>
      <w:r>
        <w:rPr>
          <w:rFonts w:cs="Times New Roman" w:hint="eastAsia"/>
          <w:color w:val="auto"/>
          <w:highlight w:val="none"/>
        </w:rPr>
        <w:t>，应</w:t>
      </w:r>
      <w:r>
        <w:rPr>
          <w:rFonts w:cs="Times New Roman"/>
          <w:color w:val="auto"/>
          <w:highlight w:val="none"/>
        </w:rPr>
        <w:t>再发射第</w:t>
      </w:r>
      <w:r>
        <w:rPr>
          <w:rFonts w:cs="Times New Roman" w:hint="eastAsia"/>
          <w:color w:val="auto"/>
          <w:highlight w:val="none"/>
        </w:rPr>
        <w:t>5</w:t>
      </w:r>
      <w:r>
        <w:rPr>
          <w:rFonts w:cs="Times New Roman"/>
          <w:color w:val="auto"/>
          <w:highlight w:val="none"/>
        </w:rPr>
        <w:t>个射钉，</w:t>
      </w:r>
      <w:r>
        <w:rPr>
          <w:rFonts w:cs="Times New Roman" w:hint="eastAsia"/>
          <w:color w:val="auto"/>
          <w:highlight w:val="none"/>
        </w:rPr>
        <w:t>并重复执行本条第2款和第3款步骤</w:t>
      </w:r>
      <w:r>
        <w:rPr>
          <w:rFonts w:cs="Times New Roman"/>
          <w:color w:val="auto"/>
          <w:highlight w:val="none"/>
        </w:rPr>
        <w:t>。如果仍不满足，应重新选择测区进行测试。</w:t>
      </w:r>
    </w:p>
    <w:p>
      <w:pPr>
        <w:pStyle w:val="3"/>
        <w:tabs>
          <w:tab w:val="left" w:pos="0"/>
          <w:tab w:val="left" w:pos="567"/>
          <w:tab w:val="left" w:pos="709"/>
          <w:tab w:val="left" w:pos="1560"/>
        </w:tabs>
        <w:rPr>
          <w:rFonts w:cs="Times New Roman"/>
          <w:color w:val="auto"/>
          <w:highlight w:val="none"/>
        </w:rPr>
      </w:pPr>
      <w:r>
        <w:rPr>
          <w:rFonts w:cs="Times New Roman" w:hint="eastAsia"/>
          <w:b/>
          <w:color w:val="auto"/>
          <w:lang w:eastAsia="zh-CN"/>
          <w:highlight w:val="none"/>
        </w:rPr>
        <w:t>16.</w:t>
      </w:r>
      <w:r>
        <w:rPr>
          <w:rFonts w:cs="Times New Roman"/>
          <w:b/>
          <w:color w:val="auto"/>
          <w:highlight w:val="none"/>
        </w:rPr>
        <w:t>3.7　</w:t>
      </w:r>
      <w:r>
        <w:rPr>
          <w:rFonts w:cs="Times New Roman"/>
          <w:color w:val="auto"/>
          <w:highlight w:val="none"/>
        </w:rPr>
        <w:t>检测过程的安全应符合下列规定：</w:t>
      </w:r>
    </w:p>
    <w:p>
      <w:pPr>
        <w:rPr>
          <w:rFonts w:cs="Times New Roman"/>
          <w:color w:val="auto"/>
          <w:highlight w:val="none"/>
        </w:rPr>
      </w:pPr>
      <w:r>
        <w:rPr>
          <w:rFonts w:cs="Times New Roman"/>
          <w:b/>
          <w:bCs/>
          <w:color w:val="auto"/>
          <w:kern w:val="0"/>
          <w:szCs w:val="21"/>
          <w:highlight w:val="none"/>
        </w:rPr>
        <w:t>1　</w:t>
      </w:r>
      <w:r>
        <w:rPr>
          <w:rFonts w:cs="Times New Roman"/>
          <w:color w:val="auto"/>
          <w:highlight w:val="none"/>
        </w:rPr>
        <w:t>操作人员应经上岗培训；</w:t>
      </w:r>
    </w:p>
    <w:p>
      <w:pPr>
        <w:rPr>
          <w:rFonts w:cs="Times New Roman"/>
          <w:color w:val="auto"/>
          <w:highlight w:val="none"/>
        </w:rPr>
      </w:pPr>
      <w:r>
        <w:rPr>
          <w:rFonts w:cs="Times New Roman"/>
          <w:b/>
          <w:bCs/>
          <w:color w:val="auto"/>
          <w:kern w:val="0"/>
          <w:szCs w:val="21"/>
          <w:highlight w:val="none"/>
        </w:rPr>
        <w:t>2　</w:t>
      </w:r>
      <w:r>
        <w:rPr>
          <w:rFonts w:cs="Times New Roman"/>
          <w:color w:val="auto"/>
          <w:highlight w:val="none"/>
        </w:rPr>
        <w:t>操作前应检查射钉枪，射钉枪应有保险装置；</w:t>
      </w:r>
    </w:p>
    <w:p>
      <w:pPr>
        <w:rPr>
          <w:rFonts w:cs="Times New Roman"/>
          <w:color w:val="auto"/>
          <w:highlight w:val="none"/>
        </w:rPr>
      </w:pPr>
      <w:r>
        <w:rPr>
          <w:rFonts w:cs="Times New Roman"/>
          <w:b/>
          <w:bCs/>
          <w:color w:val="auto"/>
          <w:kern w:val="0"/>
          <w:szCs w:val="21"/>
          <w:highlight w:val="none"/>
        </w:rPr>
        <w:t>3　</w:t>
      </w:r>
      <w:r>
        <w:rPr>
          <w:rFonts w:cs="Times New Roman"/>
          <w:color w:val="auto"/>
          <w:highlight w:val="none"/>
        </w:rPr>
        <w:t>发射时</w:t>
      </w:r>
      <w:r>
        <w:rPr>
          <w:rFonts w:cs="Times New Roman" w:hint="eastAsia"/>
          <w:color w:val="auto"/>
          <w:highlight w:val="none"/>
        </w:rPr>
        <w:t>应</w:t>
      </w:r>
      <w:r>
        <w:rPr>
          <w:rFonts w:cs="Times New Roman"/>
          <w:color w:val="auto"/>
          <w:highlight w:val="none"/>
        </w:rPr>
        <w:t>安装保护罩；</w:t>
      </w:r>
    </w:p>
    <w:p>
      <w:pPr>
        <w:rPr>
          <w:rFonts w:cs="Times New Roman"/>
          <w:color w:val="auto"/>
          <w:highlight w:val="none"/>
        </w:rPr>
      </w:pPr>
      <w:r>
        <w:rPr>
          <w:rFonts w:cs="Times New Roman"/>
          <w:b/>
          <w:bCs/>
          <w:color w:val="auto"/>
          <w:kern w:val="0"/>
          <w:szCs w:val="21"/>
          <w:highlight w:val="none"/>
        </w:rPr>
        <w:t>4　</w:t>
      </w:r>
      <w:r>
        <w:rPr>
          <w:rFonts w:cs="Times New Roman"/>
          <w:color w:val="auto"/>
          <w:highlight w:val="none"/>
        </w:rPr>
        <w:t>不得将射钉枪管口朝向人体；</w:t>
      </w:r>
    </w:p>
    <w:p>
      <w:pPr>
        <w:rPr>
          <w:rFonts w:cs="Times New Roman"/>
          <w:color w:val="auto"/>
          <w:highlight w:val="none"/>
        </w:rPr>
      </w:pPr>
      <w:r>
        <w:rPr>
          <w:rFonts w:cs="Times New Roman"/>
          <w:b/>
          <w:bCs/>
          <w:color w:val="auto"/>
          <w:kern w:val="0"/>
          <w:szCs w:val="21"/>
          <w:highlight w:val="none"/>
        </w:rPr>
        <w:t>5　</w:t>
      </w:r>
      <w:r>
        <w:rPr>
          <w:rFonts w:cs="Times New Roman" w:hint="eastAsia"/>
          <w:bCs/>
          <w:color w:val="auto"/>
          <w:kern w:val="0"/>
          <w:szCs w:val="21"/>
          <w:highlight w:val="none"/>
        </w:rPr>
        <w:t>当</w:t>
      </w:r>
      <w:r>
        <w:rPr>
          <w:rFonts w:cs="Times New Roman"/>
          <w:color w:val="auto"/>
          <w:highlight w:val="none"/>
        </w:rPr>
        <w:t>构件表面不平整，</w:t>
      </w:r>
      <w:r>
        <w:rPr>
          <w:rFonts w:cs="Times New Roman" w:hint="eastAsia"/>
          <w:color w:val="auto"/>
          <w:highlight w:val="none"/>
        </w:rPr>
        <w:t>保护</w:t>
      </w:r>
      <w:r>
        <w:rPr>
          <w:rFonts w:cs="Times New Roman"/>
          <w:color w:val="auto"/>
          <w:highlight w:val="none"/>
        </w:rPr>
        <w:t>罩不能贴紧表面时，不得发射，应将表面处理平整</w:t>
      </w:r>
      <w:r>
        <w:rPr>
          <w:rFonts w:cs="Times New Roman" w:hint="eastAsia"/>
          <w:color w:val="auto"/>
          <w:highlight w:val="none"/>
        </w:rPr>
        <w:t>后</w:t>
      </w:r>
      <w:r>
        <w:rPr>
          <w:rFonts w:cs="Times New Roman"/>
          <w:color w:val="auto"/>
          <w:highlight w:val="none"/>
        </w:rPr>
        <w:t>再发射；</w:t>
      </w:r>
    </w:p>
    <w:p>
      <w:pPr>
        <w:rPr>
          <w:rFonts w:cs="Times New Roman"/>
          <w:color w:val="auto"/>
          <w:highlight w:val="none"/>
        </w:rPr>
      </w:pPr>
      <w:r>
        <w:rPr>
          <w:rFonts w:cs="Times New Roman"/>
          <w:b/>
          <w:bCs/>
          <w:color w:val="auto"/>
          <w:kern w:val="0"/>
          <w:szCs w:val="21"/>
          <w:highlight w:val="none"/>
        </w:rPr>
        <w:t>6　</w:t>
      </w:r>
      <w:r>
        <w:rPr>
          <w:rFonts w:cs="Times New Roman"/>
          <w:color w:val="auto"/>
          <w:highlight w:val="none"/>
        </w:rPr>
        <w:t>发射时，非操作人员不得靠近射击点。</w:t>
      </w:r>
    </w:p>
    <w:p>
      <w:pPr>
        <w:pStyle w:val="3"/>
        <w:tabs>
          <w:tab w:val="left" w:pos="0"/>
          <w:tab w:val="left" w:pos="567"/>
          <w:tab w:val="left" w:pos="709"/>
          <w:tab w:val="left" w:pos="1560"/>
        </w:tabs>
        <w:rPr>
          <w:rFonts w:cs="Times New Roman"/>
          <w:color w:val="auto"/>
          <w:highlight w:val="none"/>
        </w:rPr>
      </w:pPr>
      <w:r>
        <w:rPr>
          <w:rFonts w:cs="Times New Roman" w:hint="eastAsia"/>
          <w:b/>
          <w:color w:val="auto"/>
          <w:szCs w:val="24"/>
          <w:lang w:eastAsia="zh-CN"/>
          <w:highlight w:val="none"/>
        </w:rPr>
        <w:t>16.</w:t>
      </w:r>
      <w:r>
        <w:rPr>
          <w:rFonts w:cs="Times New Roman"/>
          <w:b/>
          <w:color w:val="auto"/>
          <w:szCs w:val="24"/>
          <w:highlight w:val="none"/>
        </w:rPr>
        <w:t>3.8　</w:t>
      </w:r>
      <w:r>
        <w:rPr>
          <w:rFonts w:cs="Times New Roman"/>
          <w:color w:val="auto"/>
          <w:highlight w:val="none"/>
        </w:rPr>
        <w:t>抽检的构件数量不</w:t>
      </w:r>
      <w:r>
        <w:rPr>
          <w:rFonts w:cs="Times New Roman" w:hint="eastAsia"/>
          <w:color w:val="auto"/>
          <w:highlight w:val="none"/>
        </w:rPr>
        <w:t>应</w:t>
      </w:r>
      <w:r>
        <w:rPr>
          <w:rFonts w:cs="Times New Roman"/>
          <w:color w:val="auto"/>
          <w:highlight w:val="none"/>
        </w:rPr>
        <w:t>少于10%，且不少于6个，抽样应具有代表性。</w:t>
      </w:r>
    </w:p>
    <w:p>
      <w:pPr>
        <w:pStyle w:val="3"/>
        <w:tabs>
          <w:tab w:val="left" w:pos="0"/>
          <w:tab w:val="left" w:pos="567"/>
          <w:tab w:val="left" w:pos="709"/>
          <w:tab w:val="left" w:pos="1560"/>
        </w:tabs>
        <w:rPr>
          <w:rFonts w:cs="Times New Roman"/>
          <w:color w:val="auto"/>
          <w:highlight w:val="none"/>
        </w:rPr>
      </w:pPr>
      <w:r>
        <w:rPr>
          <w:rFonts w:cs="Times New Roman" w:hint="eastAsia"/>
          <w:b/>
          <w:color w:val="auto"/>
          <w:szCs w:val="24"/>
          <w:lang w:eastAsia="zh-CN"/>
          <w:highlight w:val="none"/>
        </w:rPr>
        <w:t>16.</w:t>
      </w:r>
      <w:r>
        <w:rPr>
          <w:rFonts w:cs="Times New Roman"/>
          <w:b/>
          <w:color w:val="auto"/>
          <w:szCs w:val="24"/>
          <w:highlight w:val="none"/>
        </w:rPr>
        <w:t>3.9　</w:t>
      </w:r>
      <w:r>
        <w:rPr>
          <w:rFonts w:cs="Times New Roman"/>
          <w:color w:val="auto"/>
          <w:highlight w:val="none"/>
        </w:rPr>
        <w:t>射钉法的检测应按</w:t>
      </w:r>
      <w:r>
        <w:rPr>
          <w:rFonts w:cs="Times New Roman"/>
          <w:color w:val="auto"/>
          <w:szCs w:val="24"/>
          <w:highlight w:val="none"/>
        </w:rPr>
        <w:t>本标准</w:t>
      </w:r>
      <w:r>
        <w:rPr>
          <w:rFonts w:cs="Times New Roman"/>
          <w:color w:val="auto"/>
          <w:highlight w:val="none"/>
        </w:rPr>
        <w:t>附录M记录，装置标定记录表应按</w:t>
      </w:r>
      <w:r>
        <w:rPr>
          <w:rFonts w:cs="Times New Roman"/>
          <w:color w:val="auto"/>
          <w:szCs w:val="24"/>
          <w:highlight w:val="none"/>
        </w:rPr>
        <w:t>本标准</w:t>
      </w:r>
      <w:r>
        <w:rPr>
          <w:rFonts w:cs="Times New Roman"/>
          <w:color w:val="auto"/>
          <w:highlight w:val="none"/>
        </w:rPr>
        <w:t>附录N</w:t>
      </w:r>
      <w:r>
        <w:rPr>
          <w:rFonts w:cs="Times New Roman" w:hint="eastAsia"/>
          <w:color w:val="auto"/>
          <w:highlight w:val="none"/>
        </w:rPr>
        <w:t>记录</w:t>
      </w:r>
      <w:r>
        <w:rPr>
          <w:rFonts w:cs="Times New Roman"/>
          <w:color w:val="auto"/>
          <w:highlight w:val="none"/>
        </w:rPr>
        <w:t>。</w:t>
      </w:r>
    </w:p>
    <w:p>
      <w:pPr>
        <w:pStyle w:val="2"/>
        <w:tabs>
          <w:tab w:val="left" w:pos="0"/>
        </w:tabs>
        <w:rPr>
          <w:rFonts w:ascii="Times New Roman" w:cs="Times New Roman" w:hAnsi="Times New Roman"/>
          <w:color w:val="auto"/>
          <w:highlight w:val="none"/>
        </w:rPr>
      </w:pPr>
      <w:bookmarkStart w:id="453" w:name="_Toc27086"/>
      <w:bookmarkStart w:id="454" w:name="_Toc9965"/>
      <w:bookmarkStart w:id="455" w:name="_Toc297"/>
      <w:bookmarkStart w:id="456" w:name="_Toc3587"/>
      <w:r>
        <w:rPr>
          <w:rFonts w:ascii="Times New Roman" w:cs="Times New Roman" w:hAnsi="Times New Roman" w:hint="eastAsia"/>
          <w:color w:val="auto"/>
          <w:lang w:eastAsia="zh-CN"/>
          <w:highlight w:val="none"/>
        </w:rPr>
        <w:t>16.</w:t>
      </w:r>
      <w:r>
        <w:rPr>
          <w:rFonts w:ascii="Times New Roman" w:cs="Times New Roman" w:hAnsi="Times New Roman"/>
          <w:color w:val="auto"/>
          <w:highlight w:val="none"/>
        </w:rPr>
        <w:t>4　评定</w:t>
      </w:r>
      <w:bookmarkEnd w:id="453"/>
      <w:bookmarkEnd w:id="454"/>
      <w:bookmarkEnd w:id="455"/>
      <w:bookmarkEnd w:id="456"/>
    </w:p>
    <w:p>
      <w:pPr>
        <w:pStyle w:val="3"/>
        <w:tabs>
          <w:tab w:val="left" w:pos="0"/>
          <w:tab w:val="left" w:pos="567"/>
          <w:tab w:val="left" w:pos="709"/>
          <w:tab w:val="left" w:pos="1560"/>
        </w:tabs>
        <w:rPr>
          <w:rFonts w:cs="Times New Roman"/>
          <w:color w:val="auto"/>
          <w:highlight w:val="none"/>
        </w:rPr>
      </w:pPr>
      <w:r>
        <w:rPr>
          <w:rFonts w:cs="Times New Roman" w:hint="eastAsia"/>
          <w:b/>
          <w:color w:val="auto"/>
          <w:lang w:eastAsia="zh-CN"/>
          <w:highlight w:val="none"/>
        </w:rPr>
        <w:t>16.</w:t>
      </w:r>
      <w:r>
        <w:rPr>
          <w:rFonts w:cs="Times New Roman"/>
          <w:b/>
          <w:color w:val="auto"/>
          <w:highlight w:val="none"/>
        </w:rPr>
        <w:t>4.1　</w:t>
      </w:r>
      <w:r>
        <w:rPr>
          <w:rFonts w:cs="Times New Roman" w:hint="eastAsia"/>
          <w:color w:val="auto"/>
          <w:highlight w:val="none"/>
        </w:rPr>
        <w:t>射钉法检测评定应符合下列规定</w:t>
      </w:r>
      <w:r>
        <w:rPr>
          <w:rFonts w:cs="Times New Roman"/>
          <w:color w:val="auto"/>
          <w:highlight w:val="none"/>
        </w:rPr>
        <w:t>：</w:t>
      </w:r>
    </w:p>
    <w:p>
      <w:pPr>
        <w:rPr>
          <w:rFonts w:cs="Times New Roman"/>
          <w:color w:val="auto"/>
          <w:highlight w:val="none"/>
        </w:rPr>
      </w:pPr>
      <w:r>
        <w:rPr>
          <w:rFonts w:cs="Times New Roman"/>
          <w:b/>
          <w:bCs/>
          <w:color w:val="auto"/>
          <w:kern w:val="0"/>
          <w:szCs w:val="21"/>
          <w:highlight w:val="none"/>
        </w:rPr>
        <w:t>1　</w:t>
      </w:r>
      <w:r>
        <w:rPr>
          <w:rFonts w:cs="Times New Roman" w:hint="eastAsia"/>
          <w:color w:val="auto"/>
          <w:highlight w:val="none"/>
        </w:rPr>
        <w:t>应</w:t>
      </w:r>
      <w:r>
        <w:rPr>
          <w:rFonts w:cs="Times New Roman"/>
          <w:color w:val="auto"/>
          <w:highlight w:val="none"/>
        </w:rPr>
        <w:t>将满足极差规定的贯入深度平均值作为此测区的试验结果，</w:t>
      </w:r>
      <w:r>
        <w:rPr>
          <w:rFonts w:cs="Times New Roman" w:hint="eastAsia"/>
          <w:color w:val="auto"/>
          <w:highlight w:val="none"/>
        </w:rPr>
        <w:t>并应</w:t>
      </w:r>
      <w:r>
        <w:rPr>
          <w:rFonts w:cs="Times New Roman"/>
          <w:color w:val="auto"/>
          <w:highlight w:val="none"/>
        </w:rPr>
        <w:t>按下式计算出各测区的超高性能混凝土强度值（图</w:t>
      </w:r>
      <w:r>
        <w:rPr>
          <w:rFonts w:cs="Times New Roman" w:hint="eastAsia"/>
          <w:color w:val="auto"/>
          <w:lang w:eastAsia="zh-CN"/>
          <w:highlight w:val="none"/>
        </w:rPr>
        <w:t>16.</w:t>
      </w:r>
      <w:r>
        <w:rPr>
          <w:rFonts w:cs="Times New Roman"/>
          <w:color w:val="auto"/>
          <w:highlight w:val="none"/>
        </w:rPr>
        <w:t>4.1）：</w:t>
      </w:r>
    </w:p>
    <w:p>
      <w:pPr>
        <w:pStyle w:val="38"/>
        <w:ind w:firstLineChars="0" w:firstLine="0"/>
        <w:jc w:val="right"/>
        <w:rPr>
          <w:rFonts w:cs="Times New Roman"/>
          <w:color w:val="auto"/>
          <w:highlight w:val="none"/>
        </w:rPr>
      </w:pPr>
      <m:oMath>
        <m:r>
          <w:rPr>
            <w:rFonts w:ascii="Cambria Math" w:cs="Times New Roman" w:hAnsi="Cambria Math"/>
            <w:color w:val="auto"/>
            <w:highlight w:val="none"/>
          </w:rPr>
          <m:t>y=a</m:t>
        </m:r>
        <m:sSup>
          <m:sSupPr>
            <m:ctrlPr>
              <w:rPr>
                <w:rFonts w:ascii="Cambria Math" w:cs="Times New Roman" w:hAnsi="Cambria Math"/>
                <w:color w:val="auto"/>
              </w:rPr>
            </m:ctrlPr>
          </m:sSupPr>
          <m:e>
            <m:r>
              <w:rPr>
                <w:rFonts w:ascii="Cambria Math" w:cs="Times New Roman" w:hAnsi="Cambria Math"/>
                <w:color w:val="auto"/>
                <w:highlight w:val="none"/>
              </w:rPr>
              <m:t>e</m:t>
            </m:r>
          </m:e>
          <m:sup>
            <m:r>
              <w:rPr>
                <w:rFonts w:ascii="Cambria Math" w:cs="Times New Roman" w:hAnsi="Cambria Math"/>
                <w:color w:val="auto"/>
                <w:highlight w:val="none"/>
              </w:rPr>
              <m:t>bx</m:t>
            </m:r>
          </m:sup>
        </m:sSup>
      </m:oMath>
      <w:r>
        <w:rPr>
          <w:rFonts w:cs="Times New Roman"/>
          <w:color w:val="auto"/>
          <w:highlight w:val="none"/>
        </w:rPr>
        <w:t xml:space="preserve">                        </w:t>
      </w:r>
      <w:r>
        <w:rPr>
          <w:rFonts w:cs="Times New Roman"/>
          <w:b/>
          <w:bCs/>
          <w:color w:val="auto"/>
          <w:highlight w:val="none"/>
        </w:rPr>
        <w:t>（</w:t>
      </w:r>
      <w:r>
        <w:rPr>
          <w:rFonts w:cs="Times New Roman" w:hint="eastAsia"/>
          <w:b/>
          <w:bCs/>
          <w:color w:val="auto"/>
          <w:lang w:eastAsia="zh-CN"/>
          <w:highlight w:val="none"/>
        </w:rPr>
        <w:t>16.</w:t>
      </w:r>
      <w:r>
        <w:rPr>
          <w:rFonts w:cs="Times New Roman"/>
          <w:b/>
          <w:bCs/>
          <w:color w:val="auto"/>
          <w:highlight w:val="none"/>
        </w:rPr>
        <w:t>4.1）</w:t>
      </w:r>
    </w:p>
    <w:p>
      <w:pPr>
        <w:pStyle w:val="38"/>
        <w:ind w:firstLineChars="0" w:firstLine="0"/>
        <w:rPr>
          <w:rFonts w:cs="Times New Roman"/>
          <w:color w:val="auto"/>
          <w:highlight w:val="none"/>
        </w:rPr>
      </w:pPr>
      <w:r>
        <w:rPr>
          <w:rFonts w:cs="Times New Roman"/>
          <w:color w:val="auto"/>
          <w:highlight w:val="none"/>
        </w:rPr>
        <w:t>式中：</w:t>
      </w:r>
      <w:r>
        <w:rPr>
          <w:rFonts w:cs="Times New Roman"/>
          <w:color w:val="auto"/>
          <w:position w:val="-10"/>
          <w:highlight w:val="none"/>
        </w:rPr>
        <w:object>
          <v:shape id="_x0000_i1073" type="#_x0000_t75" filled="f" style="width:11.1pt;height:12.75pt;" o:ole="">
            <v:imagedata r:id="rId128" o:title="image17"/>
            <o:lock aspectratio="t"/>
            <w10:anchorLock/>
          </v:shape>
          <o:OLEObject Type="Embed" ProgID="Equation.KSEE3" ShapeID="_x0000_i1073" DrawAspect="Content" ObjectID="_1393063399" r:id="rId129"/>
        </w:object>
      </w:r>
      <w:r>
        <w:rPr>
          <w:rFonts w:cs="Times New Roman"/>
          <w:color w:val="auto"/>
          <w:highlight w:val="none"/>
        </w:rPr>
        <w:t>——</w:t>
      </w:r>
      <w:r>
        <w:rPr>
          <w:rFonts w:cs="Times New Roman"/>
          <w:color w:val="auto"/>
          <w:szCs w:val="24"/>
          <w:highlight w:val="none"/>
        </w:rPr>
        <w:t>超高性能混凝土</w:t>
      </w:r>
      <w:r>
        <w:rPr>
          <w:rFonts w:cs="Times New Roman"/>
          <w:color w:val="auto"/>
          <w:highlight w:val="none"/>
        </w:rPr>
        <w:t>的抗压强度推定值（MPa），精确至0.1MPa；</w:t>
      </w:r>
    </w:p>
    <w:p>
      <w:pPr>
        <w:ind w:firstLineChars="300" w:firstLine="720"/>
        <w:rPr>
          <w:rFonts w:cs="Times New Roman"/>
          <w:color w:val="auto"/>
          <w:highlight w:val="none"/>
        </w:rPr>
      </w:pPr>
      <w:r>
        <w:rPr>
          <w:rFonts w:cs="Times New Roman"/>
          <w:color w:val="auto"/>
          <w:position w:val="-6"/>
          <w:highlight w:val="none"/>
        </w:rPr>
        <w:object>
          <v:shape id="_x0000_i1074" type="#_x0000_t75" filled="f" style="width:9.95pt;height:11.1pt;" o:ole="">
            <v:imagedata r:id="rId130" o:title="image10"/>
            <o:lock aspectratio="t"/>
            <w10:anchorLock/>
          </v:shape>
          <o:OLEObject Type="Embed" ProgID="Equation.KSEE3" ShapeID="_x0000_i1074" DrawAspect="Content" ObjectID="_1393063400" r:id="rId131"/>
        </w:object>
      </w:r>
      <w:r>
        <w:rPr>
          <w:rFonts w:cs="Times New Roman"/>
          <w:color w:val="auto"/>
          <w:highlight w:val="none"/>
        </w:rPr>
        <w:t>——系数，可取为1570.5；</w:t>
      </w:r>
    </w:p>
    <w:p>
      <w:pPr>
        <w:ind w:firstLineChars="300" w:firstLine="720"/>
        <w:rPr>
          <w:rFonts w:cs="Times New Roman"/>
          <w:color w:val="auto"/>
          <w:highlight w:val="none"/>
        </w:rPr>
      </w:pPr>
      <w:r>
        <w:rPr>
          <w:rFonts w:cs="Times New Roman"/>
          <w:color w:val="auto"/>
          <w:position w:val="-6"/>
          <w:highlight w:val="none"/>
        </w:rPr>
        <w:object>
          <v:shape id="_x0000_i1075" type="#_x0000_t75" filled="f" style="width:9.95pt;height:13.85pt;" o:ole="">
            <v:imagedata r:id="rId132" o:title="image11"/>
            <o:lock aspectratio="t"/>
            <w10:anchorLock/>
          </v:shape>
          <o:OLEObject Type="Embed" ProgID="Equation.KSEE3" ShapeID="_x0000_i1075" DrawAspect="Content" ObjectID="_1393063401" r:id="rId133"/>
        </w:object>
      </w:r>
      <w:r>
        <w:rPr>
          <w:rFonts w:cs="Times New Roman"/>
          <w:color w:val="auto"/>
          <w:highlight w:val="none"/>
        </w:rPr>
        <w:t>——系数，可取为-0.1493；</w:t>
      </w:r>
    </w:p>
    <w:p>
      <w:pPr>
        <w:ind w:firstLineChars="300" w:firstLine="720"/>
        <w:rPr>
          <w:rFonts w:cs="Times New Roman"/>
          <w:color w:val="auto"/>
          <w:highlight w:val="none"/>
        </w:rPr>
      </w:pPr>
      <w:r>
        <w:rPr>
          <w:rFonts w:cs="Times New Roman"/>
          <w:color w:val="auto"/>
          <w:position w:val="-6"/>
          <w:highlight w:val="none"/>
        </w:rPr>
        <w:object>
          <v:shape id="_x0000_i1076" type="#_x0000_t75" filled="f" style="width:9.95pt;height:11.1pt;" o:ole="">
            <v:imagedata r:id="rId134" o:title="image16"/>
            <o:lock aspectratio="t"/>
            <w10:anchorLock/>
          </v:shape>
          <o:OLEObject Type="Embed" ProgID="Equation.KSEE3" ShapeID="_x0000_i1076" DrawAspect="Content" ObjectID="_1393063402" r:id="rId135"/>
        </w:object>
      </w:r>
      <w:r>
        <w:rPr>
          <w:rFonts w:cs="Times New Roman"/>
          <w:color w:val="auto"/>
          <w:highlight w:val="none"/>
        </w:rPr>
        <w:t>——射钉贯入深度，精确至0.02mm；</w:t>
      </w:r>
    </w:p>
    <w:p>
      <w:pPr>
        <w:pStyle w:val="38"/>
        <w:ind w:firstLineChars="0" w:firstLine="0"/>
        <w:jc w:val="center"/>
        <w:rPr>
          <w:rFonts w:cs="Times New Roman"/>
          <w:color w:val="auto"/>
          <w:highlight w:val="none"/>
        </w:rPr>
      </w:pPr>
      <w:r>
        <w:rPr>
          <w:rFonts w:cs="Times New Roman"/>
          <w:color w:val="auto"/>
          <w:highlight w:val="none"/>
        </w:rPr>
        <w:drawing>
          <wp:inline distT="0" distB="0" distL="0" distR="0">
            <wp:extent cx="4319904" cy="3236271"/>
            <wp:effectExtent l="0" t="0" r="1" b="0"/>
            <wp:docPr id="688168622" name="图片 688168622"/>
            <wp:cNvGraphicFramePr>
              <a:graphicFrameLocks noChangeAspect="1"/>
            </wp:cNvGraphicFramePr>
            <a:graphic>
              <a:graphicData uri="http://schemas.openxmlformats.org/drawingml/2006/picture">
                <pic:pic>
                  <pic:nvPicPr>
                    <pic:cNvPr id="139" name="图片 139"/>
                    <pic:cNvPicPr/>
                  </pic:nvPicPr>
                  <pic:blipFill>
                    <a:blip r:embed="rId136"/>
                    <a:stretch>
                      <a:fillRect/>
                    </a:stretch>
                  </pic:blipFill>
                  <pic:spPr>
                    <a:xfrm rot="0">
                      <a:off x="0" y="0"/>
                      <a:ext cx="4319904" cy="3236271"/>
                    </a:xfrm>
                    <a:prstGeom prst="rect"/>
                    <a:noFill/>
                    <a:ln cmpd="sng" cap="flat">
                      <a:noFill/>
                      <a:prstDash val="solid"/>
                      <a:round/>
                    </a:ln>
                  </pic:spPr>
                </pic:pic>
              </a:graphicData>
            </a:graphic>
          </wp:inline>
        </w:drawing>
      </w:r>
    </w:p>
    <w:p>
      <w:pPr>
        <w:pStyle w:val="16"/>
        <w:rPr>
          <w:rFonts w:cs="Times New Roman"/>
          <w:color w:val="auto"/>
          <w:highlight w:val="none"/>
        </w:rPr>
      </w:pPr>
      <w:r>
        <w:rPr>
          <w:rFonts w:cs="Times New Roman"/>
          <w:color w:val="auto"/>
          <w:highlight w:val="none"/>
        </w:rPr>
        <w:t>图</w:t>
      </w:r>
      <w:r>
        <w:rPr>
          <w:rFonts w:cs="Times New Roman" w:hint="eastAsia"/>
          <w:color w:val="auto"/>
          <w:lang w:eastAsia="zh-CN"/>
          <w:highlight w:val="none"/>
        </w:rPr>
        <w:t>16.</w:t>
      </w:r>
      <w:r>
        <w:rPr>
          <w:rFonts w:cs="Times New Roman"/>
          <w:color w:val="auto"/>
          <w:highlight w:val="none"/>
        </w:rPr>
        <w:t>4.1　超高性能混凝土抗压强度与贯入深度的关系图</w:t>
      </w:r>
    </w:p>
    <w:p>
      <w:pPr>
        <w:rPr>
          <w:rFonts w:cs="Times New Roman"/>
          <w:color w:val="auto"/>
          <w:highlight w:val="none"/>
        </w:rPr>
      </w:pPr>
      <w:r>
        <w:rPr>
          <w:rFonts w:cs="Times New Roman"/>
          <w:b/>
          <w:color w:val="auto"/>
          <w:highlight w:val="none"/>
        </w:rPr>
        <w:t>2</w:t>
      </w:r>
      <w:r>
        <w:rPr>
          <w:rFonts w:cs="Times New Roman"/>
          <w:color w:val="auto"/>
          <w:highlight w:val="none"/>
        </w:rPr>
        <w:t>　</w:t>
      </w:r>
      <w:r>
        <w:rPr>
          <w:rFonts w:cs="Times New Roman" w:hint="eastAsia"/>
          <w:color w:val="auto"/>
          <w:highlight w:val="none"/>
        </w:rPr>
        <w:t>应</w:t>
      </w:r>
      <w:r>
        <w:rPr>
          <w:rFonts w:cs="Times New Roman"/>
          <w:color w:val="auto"/>
          <w:highlight w:val="none"/>
        </w:rPr>
        <w:t>统计计算被测构件的平均强度，</w:t>
      </w:r>
      <w:r>
        <w:rPr>
          <w:rFonts w:cs="Times New Roman" w:hint="eastAsia"/>
          <w:color w:val="auto"/>
          <w:highlight w:val="none"/>
        </w:rPr>
        <w:t>并</w:t>
      </w:r>
      <w:r>
        <w:rPr>
          <w:rFonts w:cs="Times New Roman"/>
          <w:color w:val="auto"/>
          <w:highlight w:val="none"/>
        </w:rPr>
        <w:t>推定</w:t>
      </w:r>
      <w:r>
        <w:rPr>
          <w:rFonts w:cs="Times New Roman" w:hint="eastAsia"/>
          <w:color w:val="auto"/>
          <w:highlight w:val="none"/>
        </w:rPr>
        <w:t>被测</w:t>
      </w:r>
      <w:r>
        <w:rPr>
          <w:rFonts w:cs="Times New Roman"/>
          <w:color w:val="auto"/>
          <w:highlight w:val="none"/>
        </w:rPr>
        <w:t>构件</w:t>
      </w:r>
      <w:r>
        <w:rPr>
          <w:rFonts w:cs="Times New Roman" w:hint="eastAsia"/>
          <w:color w:val="auto"/>
          <w:highlight w:val="none"/>
        </w:rPr>
        <w:t>的</w:t>
      </w:r>
      <w:r>
        <w:rPr>
          <w:rFonts w:cs="Times New Roman"/>
          <w:color w:val="auto"/>
          <w:highlight w:val="none"/>
        </w:rPr>
        <w:t>现有强度。当测区数量</w:t>
      </w:r>
      <w:r>
        <w:rPr>
          <w:rFonts w:cs="Times New Roman" w:hint="eastAsia"/>
          <w:color w:val="auto"/>
          <w:highlight w:val="none"/>
        </w:rPr>
        <w:t>超过6个</w:t>
      </w:r>
      <w:r>
        <w:rPr>
          <w:rFonts w:cs="Times New Roman"/>
          <w:color w:val="auto"/>
          <w:highlight w:val="none"/>
        </w:rPr>
        <w:t>时，可计算强度标准差和变异系数，以此评估构件强度均匀性。</w:t>
      </w:r>
    </w:p>
    <w:p>
      <w:pPr>
        <w:pStyle w:val="3"/>
        <w:tabs>
          <w:tab w:val="left" w:pos="0"/>
          <w:tab w:val="left" w:pos="567"/>
          <w:tab w:val="left" w:pos="709"/>
          <w:tab w:val="left" w:pos="1560"/>
        </w:tabs>
        <w:rPr>
          <w:rFonts w:cs="Times New Roman"/>
          <w:color w:val="auto"/>
          <w:highlight w:val="none"/>
        </w:rPr>
      </w:pPr>
      <w:r>
        <w:rPr>
          <w:rFonts w:cs="Times New Roman" w:hint="eastAsia"/>
          <w:b/>
          <w:color w:val="auto"/>
          <w:lang w:eastAsia="zh-CN"/>
          <w:highlight w:val="none"/>
        </w:rPr>
        <w:t>16.</w:t>
      </w:r>
      <w:r>
        <w:rPr>
          <w:rFonts w:cs="Times New Roman"/>
          <w:b/>
          <w:color w:val="auto"/>
          <w:highlight w:val="none"/>
        </w:rPr>
        <w:t>4.2　</w:t>
      </w:r>
      <w:r>
        <w:rPr>
          <w:rFonts w:cs="Times New Roman" w:hint="eastAsia"/>
          <w:color w:val="auto"/>
          <w:highlight w:val="none"/>
        </w:rPr>
        <w:t>若</w:t>
      </w:r>
      <w:r>
        <w:rPr>
          <w:rFonts w:cs="Times New Roman"/>
          <w:color w:val="auto"/>
          <w:highlight w:val="none"/>
        </w:rPr>
        <w:t>现场检测超高性能混凝土强度低于设计强度等级，应判定为不合格。</w:t>
      </w:r>
    </w:p>
    <w:p>
      <w:pPr>
        <w:widowControl/>
        <w:spacing w:line="240" w:lineRule="auto"/>
        <w:ind w:firstLineChars="0" w:firstLine="0"/>
        <w:jc w:val="left"/>
        <w:textAlignment w:val="auto"/>
        <w:rPr>
          <w:rFonts w:eastAsia="楷体" w:cs="Times New Roman"/>
          <w:b/>
          <w:bCs/>
          <w:color w:val="auto"/>
          <w:sz w:val="32"/>
          <w:szCs w:val="28"/>
          <w:highlight w:val="none"/>
        </w:rPr>
      </w:pPr>
      <w:bookmarkStart w:id="457" w:name="_Toc4891"/>
      <w:bookmarkStart w:id="458" w:name="_Toc8216"/>
      <w:r>
        <w:rPr>
          <w:rFonts w:eastAsia="楷体" w:cs="Times New Roman"/>
          <w:color w:val="auto"/>
          <w:sz w:val="32"/>
          <w:szCs w:val="28"/>
          <w:highlight w:val="none"/>
        </w:rPr>
        <w:br w:type="page"/>
      </w:r>
    </w:p>
    <w:p>
      <w:pPr>
        <w:pStyle w:val="1"/>
        <w:ind w:rightChars="17" w:right="41" w:firstLineChars="0" w:firstLine="0"/>
        <w:rPr>
          <w:color w:val="auto"/>
          <w:highlight w:val="none"/>
        </w:rPr>
      </w:pPr>
      <w:bookmarkStart w:id="459" w:name="_Toc25965"/>
      <w:bookmarkStart w:id="460" w:name="_Toc24384"/>
      <w:r>
        <w:rPr>
          <w:rFonts w:cs="Times New Roman"/>
          <w:color w:val="auto"/>
          <w:highlight w:val="none"/>
        </w:rPr>
        <w:t>1</w:t>
      </w:r>
      <w:r>
        <w:rPr>
          <w:rFonts w:cs="Times New Roman" w:hint="eastAsia"/>
          <w:color w:val="auto"/>
          <w:lang w:val="en-US" w:eastAsia="zh-CN"/>
          <w:highlight w:val="none"/>
        </w:rPr>
        <w:t>7</w:t>
      </w:r>
      <w:r>
        <w:rPr>
          <w:rFonts w:cs="Times New Roman"/>
          <w:color w:val="auto"/>
          <w:highlight w:val="none"/>
        </w:rPr>
        <w:t>　钢构件连接检测方法</w:t>
      </w:r>
      <w:bookmarkEnd w:id="457"/>
      <w:bookmarkEnd w:id="458"/>
      <w:bookmarkEnd w:id="459"/>
      <w:bookmarkEnd w:id="460"/>
    </w:p>
    <w:p>
      <w:pPr>
        <w:pStyle w:val="2"/>
        <w:tabs>
          <w:tab w:val="left" w:pos="0"/>
        </w:tabs>
        <w:rPr>
          <w:rFonts w:ascii="Times New Roman" w:cs="Times New Roman" w:hAnsi="Times New Roman"/>
          <w:color w:val="auto"/>
          <w:highlight w:val="none"/>
        </w:rPr>
      </w:pPr>
      <w:bookmarkStart w:id="461" w:name="_Toc6327"/>
      <w:bookmarkStart w:id="462" w:name="_Toc19575"/>
      <w:bookmarkStart w:id="463" w:name="_Toc30674"/>
      <w:bookmarkStart w:id="464" w:name="_Toc20861"/>
      <w:bookmarkStart w:id="465" w:name="_Toc12685"/>
      <w:r>
        <w:rPr>
          <w:rFonts w:ascii="Times New Roman" w:cs="Times New Roman" w:hAnsi="Times New Roman" w:hint="eastAsia"/>
          <w:color w:val="auto"/>
          <w:lang w:eastAsia="zh-CN"/>
          <w:highlight w:val="none"/>
        </w:rPr>
        <w:t>17.</w:t>
      </w:r>
      <w:r>
        <w:rPr>
          <w:rFonts w:ascii="Times New Roman" w:cs="Times New Roman" w:hAnsi="Times New Roman"/>
          <w:color w:val="auto"/>
          <w:highlight w:val="none"/>
        </w:rPr>
        <w:t>1　一般规定</w:t>
      </w:r>
      <w:bookmarkEnd w:id="461"/>
      <w:bookmarkEnd w:id="462"/>
      <w:bookmarkEnd w:id="463"/>
      <w:bookmarkEnd w:id="464"/>
      <w:bookmarkEnd w:id="465"/>
    </w:p>
    <w:p>
      <w:pPr>
        <w:pStyle w:val="3"/>
        <w:tabs>
          <w:tab w:val="left" w:pos="0"/>
          <w:tab w:val="left" w:pos="567"/>
          <w:tab w:val="left" w:pos="709"/>
          <w:tab w:val="left" w:pos="1560"/>
        </w:tabs>
        <w:rPr>
          <w:rFonts w:cs="Times New Roman"/>
          <w:color w:val="auto"/>
          <w:highlight w:val="none"/>
        </w:rPr>
      </w:pPr>
      <w:r>
        <w:rPr>
          <w:rFonts w:cs="Times New Roman" w:hint="eastAsia"/>
          <w:b/>
          <w:color w:val="auto"/>
          <w:lang w:eastAsia="zh-CN"/>
          <w:highlight w:val="none"/>
        </w:rPr>
        <w:t>17.</w:t>
      </w:r>
      <w:r>
        <w:rPr>
          <w:rFonts w:cs="Times New Roman"/>
          <w:b/>
          <w:color w:val="auto"/>
          <w:highlight w:val="none"/>
        </w:rPr>
        <w:t>1.1　</w:t>
      </w:r>
      <w:r>
        <w:rPr>
          <w:rFonts w:cs="Times New Roman"/>
          <w:color w:val="auto"/>
          <w:highlight w:val="none"/>
        </w:rPr>
        <w:t>钢构件连接方式包括焊接</w:t>
      </w:r>
      <w:r>
        <w:rPr>
          <w:rFonts w:cs="Times New Roman" w:hint="eastAsia"/>
          <w:color w:val="auto"/>
          <w:highlight w:val="none"/>
        </w:rPr>
        <w:t>、</w:t>
      </w:r>
      <w:r>
        <w:rPr>
          <w:rFonts w:cs="Times New Roman"/>
          <w:color w:val="auto"/>
          <w:highlight w:val="none"/>
        </w:rPr>
        <w:t>栓接</w:t>
      </w:r>
      <w:r>
        <w:rPr>
          <w:rFonts w:cs="Times New Roman" w:hint="eastAsia"/>
          <w:color w:val="auto"/>
          <w:highlight w:val="none"/>
        </w:rPr>
        <w:t>和铆接。焊接</w:t>
      </w:r>
      <w:r>
        <w:rPr>
          <w:rFonts w:cs="Times New Roman"/>
          <w:color w:val="auto"/>
          <w:highlight w:val="none"/>
        </w:rPr>
        <w:t>连接可</w:t>
      </w:r>
      <w:r>
        <w:rPr>
          <w:rFonts w:cs="Times New Roman" w:hint="eastAsia"/>
          <w:color w:val="auto"/>
          <w:highlight w:val="none"/>
        </w:rPr>
        <w:t>采用</w:t>
      </w:r>
      <w:r>
        <w:rPr>
          <w:rFonts w:cs="Times New Roman"/>
          <w:color w:val="auto"/>
          <w:highlight w:val="none"/>
        </w:rPr>
        <w:t>超声波、射线、磁粉、渗透、相控阵</w:t>
      </w:r>
      <w:r>
        <w:rPr>
          <w:rFonts w:cs="Times New Roman" w:hint="eastAsia"/>
          <w:color w:val="auto"/>
          <w:highlight w:val="none"/>
        </w:rPr>
        <w:t>等</w:t>
      </w:r>
      <w:r>
        <w:rPr>
          <w:rFonts w:cs="Times New Roman"/>
          <w:color w:val="auto"/>
          <w:highlight w:val="none"/>
        </w:rPr>
        <w:t>检测</w:t>
      </w:r>
      <w:r>
        <w:rPr>
          <w:rFonts w:cs="Times New Roman" w:hint="eastAsia"/>
          <w:color w:val="auto"/>
          <w:highlight w:val="none"/>
        </w:rPr>
        <w:t>方法；</w:t>
      </w:r>
      <w:r>
        <w:rPr>
          <w:rFonts w:cs="Times New Roman"/>
          <w:color w:val="auto"/>
          <w:highlight w:val="none"/>
        </w:rPr>
        <w:t>高强度螺栓连接</w:t>
      </w:r>
      <w:r>
        <w:rPr>
          <w:rFonts w:cs="Times New Roman" w:hint="eastAsia"/>
          <w:color w:val="auto"/>
          <w:highlight w:val="none"/>
        </w:rPr>
        <w:t>可采用</w:t>
      </w:r>
      <w:r>
        <w:rPr>
          <w:rFonts w:cs="Times New Roman"/>
          <w:color w:val="auto"/>
          <w:highlight w:val="none"/>
        </w:rPr>
        <w:t>扭矩系数</w:t>
      </w:r>
      <w:r>
        <w:rPr>
          <w:rFonts w:cs="Times New Roman" w:hint="eastAsia"/>
          <w:color w:val="auto"/>
          <w:highlight w:val="none"/>
        </w:rPr>
        <w:t>法、</w:t>
      </w:r>
      <w:r>
        <w:rPr>
          <w:rFonts w:cs="Times New Roman"/>
          <w:color w:val="auto"/>
          <w:highlight w:val="none"/>
        </w:rPr>
        <w:t>松扣回扣</w:t>
      </w:r>
      <w:r>
        <w:rPr>
          <w:rFonts w:cs="Times New Roman" w:hint="eastAsia"/>
          <w:color w:val="auto"/>
          <w:highlight w:val="none"/>
        </w:rPr>
        <w:t>法检测；</w:t>
      </w:r>
      <w:r>
        <w:rPr>
          <w:rFonts w:eastAsia="仿宋" w:cs="Times New Roman" w:hint="eastAsia"/>
          <w:color w:val="auto"/>
          <w:szCs w:val="24"/>
          <w:shd w:val="pct10" w:color="auto" w:fill="FFFFFF"/>
          <w:highlight w:val="none"/>
        </w:rPr>
        <w:t>高强度环槽铆钉</w:t>
      </w:r>
      <w:r>
        <w:rPr>
          <w:rFonts w:eastAsia="仿宋" w:cs="Times New Roman"/>
          <w:color w:val="auto"/>
          <w:szCs w:val="24"/>
          <w:shd w:val="pct10" w:color="auto" w:fill="FFFFFF"/>
          <w:highlight w:val="none"/>
        </w:rPr>
        <w:t>连接</w:t>
      </w:r>
      <w:r>
        <w:rPr>
          <w:rFonts w:cs="Times New Roman" w:hint="eastAsia"/>
          <w:color w:val="auto"/>
          <w:highlight w:val="none"/>
        </w:rPr>
        <w:t>可采用尺寸法检测</w:t>
      </w:r>
      <w:r>
        <w:rPr>
          <w:rFonts w:cs="Times New Roman"/>
          <w:color w:val="auto"/>
          <w:highlight w:val="none"/>
        </w:rPr>
        <w:t>。</w:t>
      </w:r>
    </w:p>
    <w:p>
      <w:pPr>
        <w:ind w:firstLineChars="0" w:firstLine="0"/>
        <w:rPr>
          <w:rFonts w:eastAsia="仿宋" w:cs="Times New Roman"/>
          <w:color w:val="auto"/>
          <w:szCs w:val="24"/>
          <w:shd w:val="pct10" w:color="auto" w:fill="FFFFFF"/>
          <w:highlight w:val="none"/>
        </w:rPr>
      </w:pPr>
      <w:r>
        <w:rPr>
          <w:rFonts w:eastAsia="仿宋" w:cs="Times New Roman" w:hint="eastAsia"/>
          <w:b/>
          <w:bCs/>
          <w:color w:val="auto"/>
          <w:szCs w:val="24"/>
          <w:shd w:val="clear" w:color="FFFFFF" w:fill="D9D9D9"/>
          <w:highlight w:val="none"/>
        </w:rPr>
        <w:t>条文说明</w:t>
      </w:r>
      <w:r>
        <w:rPr>
          <w:rFonts w:eastAsia="仿宋" w:cs="Times New Roman" w:hint="eastAsia"/>
          <w:b/>
          <w:bCs/>
          <w:color w:val="auto"/>
          <w:szCs w:val="24"/>
          <w:shd w:val="pct10" w:color="auto" w:fill="FFFFFF"/>
          <w:lang w:eastAsia="zh-CN"/>
          <w:highlight w:val="none"/>
        </w:rPr>
        <w:t>17.</w:t>
      </w:r>
      <w:r>
        <w:rPr>
          <w:rFonts w:eastAsia="仿宋" w:cs="Times New Roman"/>
          <w:b/>
          <w:bCs/>
          <w:color w:val="auto"/>
          <w:szCs w:val="24"/>
          <w:shd w:val="pct10" w:color="auto" w:fill="FFFFFF"/>
          <w:highlight w:val="none"/>
        </w:rPr>
        <w:t>1.1　</w:t>
      </w:r>
      <w:r>
        <w:rPr>
          <w:rFonts w:eastAsia="仿宋" w:cs="Times New Roman"/>
          <w:color w:val="auto"/>
          <w:szCs w:val="24"/>
          <w:shd w:val="pct10" w:color="auto" w:fill="FFFFFF"/>
          <w:highlight w:val="none"/>
        </w:rPr>
        <w:t>钢结构焊接连接检测方法包含超声波法、射线法、磁粉法、渗透法和相控阵法。钢结构栓接连接检测方法包含扭矩系数法和松扣回扣法。钢结构</w:t>
      </w:r>
      <w:r>
        <w:rPr>
          <w:rFonts w:eastAsia="仿宋" w:cs="Times New Roman" w:hint="eastAsia"/>
          <w:color w:val="auto"/>
          <w:szCs w:val="24"/>
          <w:shd w:val="pct10" w:color="auto" w:fill="FFFFFF"/>
          <w:highlight w:val="none"/>
        </w:rPr>
        <w:t>高强度环槽铆钉</w:t>
      </w:r>
      <w:r>
        <w:rPr>
          <w:rFonts w:eastAsia="仿宋" w:cs="Times New Roman"/>
          <w:color w:val="auto"/>
          <w:szCs w:val="24"/>
          <w:shd w:val="pct10" w:color="auto" w:fill="FFFFFF"/>
          <w:highlight w:val="none"/>
        </w:rPr>
        <w:t>连接检测方法</w:t>
      </w:r>
      <w:r>
        <w:rPr>
          <w:rFonts w:eastAsia="仿宋" w:cs="Times New Roman" w:hint="eastAsia"/>
          <w:color w:val="auto"/>
          <w:szCs w:val="24"/>
          <w:shd w:val="pct10" w:color="auto" w:fill="FFFFFF"/>
          <w:highlight w:val="none"/>
        </w:rPr>
        <w:t>包括铆钉套环外观检查和连接副成形尺寸检测。</w:t>
      </w:r>
    </w:p>
    <w:p>
      <w:pPr>
        <w:rPr>
          <w:color w:val="auto"/>
          <w:highlight w:val="none"/>
        </w:rPr>
      </w:pPr>
    </w:p>
    <w:p>
      <w:pPr>
        <w:pStyle w:val="3"/>
        <w:tabs>
          <w:tab w:val="left" w:pos="0"/>
          <w:tab w:val="left" w:pos="567"/>
          <w:tab w:val="left" w:pos="709"/>
          <w:tab w:val="left" w:pos="1560"/>
        </w:tabs>
        <w:rPr>
          <w:rFonts w:cs="Times New Roman"/>
          <w:color w:val="auto"/>
          <w:highlight w:val="none"/>
        </w:rPr>
      </w:pPr>
      <w:r>
        <w:rPr>
          <w:rFonts w:cs="Times New Roman" w:hint="eastAsia"/>
          <w:b/>
          <w:color w:val="auto"/>
          <w:lang w:eastAsia="zh-CN"/>
          <w:highlight w:val="none"/>
        </w:rPr>
        <w:t>17.</w:t>
      </w:r>
      <w:r>
        <w:rPr>
          <w:rFonts w:cs="Times New Roman"/>
          <w:b/>
          <w:color w:val="auto"/>
          <w:highlight w:val="none"/>
        </w:rPr>
        <w:t>1.2　</w:t>
      </w:r>
      <w:r>
        <w:rPr>
          <w:rFonts w:cs="Times New Roman"/>
          <w:color w:val="auto"/>
          <w:highlight w:val="none"/>
        </w:rPr>
        <w:t>钢结构连接的检测应符合现行国家标准《焊缝无损检测 超声检测技术、检测等级和评定》GB/T 11345、《焊缝无损检测 射线检测 第1部分：X和伽玛射线的胶片技术》GB/T 3323.1、《焊缝无损检测 磁粉检测》GB/T 26951、《无损检测</w:t>
      </w:r>
      <w:r>
        <w:rPr>
          <w:rFonts w:cs="Times New Roman" w:hint="eastAsia"/>
          <w:color w:val="auto"/>
          <w:highlight w:val="none"/>
        </w:rPr>
        <w:t xml:space="preserve"> </w:t>
      </w:r>
      <w:r>
        <w:rPr>
          <w:rFonts w:cs="Times New Roman"/>
          <w:color w:val="auto"/>
          <w:highlight w:val="none"/>
        </w:rPr>
        <w:t>渗透检测</w:t>
      </w:r>
      <w:r>
        <w:rPr>
          <w:rFonts w:cs="Times New Roman" w:hint="eastAsia"/>
          <w:color w:val="auto"/>
          <w:highlight w:val="none"/>
        </w:rPr>
        <w:t xml:space="preserve"> </w:t>
      </w:r>
      <w:r>
        <w:rPr>
          <w:rFonts w:cs="Times New Roman"/>
          <w:color w:val="auto"/>
          <w:highlight w:val="none"/>
        </w:rPr>
        <w:t>第1部分</w:t>
      </w:r>
      <w:r>
        <w:rPr>
          <w:rFonts w:cs="Times New Roman" w:hint="eastAsia"/>
          <w:color w:val="auto"/>
          <w:highlight w:val="none"/>
        </w:rPr>
        <w:t>：</w:t>
      </w:r>
      <w:r>
        <w:rPr>
          <w:rFonts w:cs="Times New Roman"/>
          <w:color w:val="auto"/>
          <w:highlight w:val="none"/>
        </w:rPr>
        <w:t>总则》GB/T 18851.1、《无损检测</w:t>
      </w:r>
      <w:r>
        <w:rPr>
          <w:rFonts w:cs="Times New Roman" w:hint="eastAsia"/>
          <w:color w:val="auto"/>
          <w:highlight w:val="none"/>
        </w:rPr>
        <w:t xml:space="preserve"> </w:t>
      </w:r>
      <w:r>
        <w:rPr>
          <w:rFonts w:cs="Times New Roman"/>
          <w:color w:val="auto"/>
          <w:highlight w:val="none"/>
        </w:rPr>
        <w:t>渗透检测</w:t>
      </w:r>
      <w:r>
        <w:rPr>
          <w:rFonts w:cs="Times New Roman" w:hint="eastAsia"/>
          <w:color w:val="auto"/>
          <w:highlight w:val="none"/>
        </w:rPr>
        <w:t xml:space="preserve"> </w:t>
      </w:r>
      <w:r>
        <w:rPr>
          <w:rFonts w:cs="Times New Roman"/>
          <w:color w:val="auto"/>
          <w:highlight w:val="none"/>
        </w:rPr>
        <w:t>第2部分</w:t>
      </w:r>
      <w:r>
        <w:rPr>
          <w:rFonts w:cs="Times New Roman" w:hint="eastAsia"/>
          <w:color w:val="auto"/>
          <w:highlight w:val="none"/>
        </w:rPr>
        <w:t>：</w:t>
      </w:r>
      <w:r>
        <w:rPr>
          <w:rFonts w:cs="Times New Roman"/>
          <w:color w:val="auto"/>
          <w:highlight w:val="none"/>
        </w:rPr>
        <w:t>渗透材料的检验》GB/T 18851.2、《无损检测</w:t>
      </w:r>
      <w:r>
        <w:rPr>
          <w:rFonts w:cs="Times New Roman" w:hint="eastAsia"/>
          <w:color w:val="auto"/>
          <w:highlight w:val="none"/>
        </w:rPr>
        <w:t xml:space="preserve"> </w:t>
      </w:r>
      <w:r>
        <w:rPr>
          <w:rFonts w:cs="Times New Roman"/>
          <w:color w:val="auto"/>
          <w:highlight w:val="none"/>
        </w:rPr>
        <w:t>渗透检测</w:t>
      </w:r>
      <w:r>
        <w:rPr>
          <w:rFonts w:cs="Times New Roman" w:hint="eastAsia"/>
          <w:color w:val="auto"/>
          <w:highlight w:val="none"/>
        </w:rPr>
        <w:t xml:space="preserve"> </w:t>
      </w:r>
      <w:r>
        <w:rPr>
          <w:rFonts w:cs="Times New Roman"/>
          <w:color w:val="auto"/>
          <w:highlight w:val="none"/>
        </w:rPr>
        <w:t>第3部分</w:t>
      </w:r>
      <w:r>
        <w:rPr>
          <w:rFonts w:cs="Times New Roman" w:hint="eastAsia"/>
          <w:color w:val="auto"/>
          <w:highlight w:val="none"/>
        </w:rPr>
        <w:t>：</w:t>
      </w:r>
      <w:r>
        <w:rPr>
          <w:rFonts w:cs="Times New Roman"/>
          <w:color w:val="auto"/>
          <w:highlight w:val="none"/>
        </w:rPr>
        <w:t>参考试块》GB/T 18851.3、《无损检测</w:t>
      </w:r>
      <w:r>
        <w:rPr>
          <w:rFonts w:cs="Times New Roman" w:hint="eastAsia"/>
          <w:color w:val="auto"/>
          <w:highlight w:val="none"/>
        </w:rPr>
        <w:t xml:space="preserve"> </w:t>
      </w:r>
      <w:r>
        <w:rPr>
          <w:rFonts w:cs="Times New Roman"/>
          <w:color w:val="auto"/>
          <w:highlight w:val="none"/>
        </w:rPr>
        <w:t>渗透检测</w:t>
      </w:r>
      <w:r>
        <w:rPr>
          <w:rFonts w:cs="Times New Roman" w:hint="eastAsia"/>
          <w:color w:val="auto"/>
          <w:highlight w:val="none"/>
        </w:rPr>
        <w:t xml:space="preserve"> </w:t>
      </w:r>
      <w:r>
        <w:rPr>
          <w:rFonts w:cs="Times New Roman"/>
          <w:color w:val="auto"/>
          <w:highlight w:val="none"/>
        </w:rPr>
        <w:t>第4部分</w:t>
      </w:r>
      <w:r>
        <w:rPr>
          <w:rFonts w:cs="Times New Roman" w:hint="eastAsia"/>
          <w:color w:val="auto"/>
          <w:highlight w:val="none"/>
        </w:rPr>
        <w:t>：</w:t>
      </w:r>
      <w:r>
        <w:rPr>
          <w:rFonts w:cs="Times New Roman"/>
          <w:color w:val="auto"/>
          <w:highlight w:val="none"/>
        </w:rPr>
        <w:t>设备》GB/T 18851.4、《无损检测</w:t>
      </w:r>
      <w:r>
        <w:rPr>
          <w:rFonts w:cs="Times New Roman" w:hint="eastAsia"/>
          <w:color w:val="auto"/>
          <w:highlight w:val="none"/>
        </w:rPr>
        <w:t xml:space="preserve"> </w:t>
      </w:r>
      <w:r>
        <w:rPr>
          <w:rFonts w:cs="Times New Roman"/>
          <w:color w:val="auto"/>
          <w:highlight w:val="none"/>
        </w:rPr>
        <w:t>渗透检测</w:t>
      </w:r>
      <w:r>
        <w:rPr>
          <w:rFonts w:cs="Times New Roman" w:hint="eastAsia"/>
          <w:color w:val="auto"/>
          <w:highlight w:val="none"/>
        </w:rPr>
        <w:t xml:space="preserve"> </w:t>
      </w:r>
      <w:r>
        <w:rPr>
          <w:rFonts w:cs="Times New Roman"/>
          <w:color w:val="auto"/>
          <w:highlight w:val="none"/>
        </w:rPr>
        <w:t>第5部分</w:t>
      </w:r>
      <w:r>
        <w:rPr>
          <w:rFonts w:cs="Times New Roman" w:hint="eastAsia"/>
          <w:color w:val="auto"/>
          <w:highlight w:val="none"/>
        </w:rPr>
        <w:t>：</w:t>
      </w:r>
      <w:r>
        <w:rPr>
          <w:rFonts w:cs="Times New Roman"/>
          <w:color w:val="auto"/>
          <w:highlight w:val="none"/>
        </w:rPr>
        <w:t>温度高于50℃的渗透检测》GB/T 18851.5和《无损检测</w:t>
      </w:r>
      <w:r>
        <w:rPr>
          <w:rFonts w:cs="Times New Roman" w:hint="eastAsia"/>
          <w:color w:val="auto"/>
          <w:highlight w:val="none"/>
        </w:rPr>
        <w:t xml:space="preserve"> </w:t>
      </w:r>
      <w:r>
        <w:rPr>
          <w:rFonts w:cs="Times New Roman"/>
          <w:color w:val="auto"/>
          <w:highlight w:val="none"/>
        </w:rPr>
        <w:t>渗透检测</w:t>
      </w:r>
      <w:r>
        <w:rPr>
          <w:rFonts w:cs="Times New Roman" w:hint="eastAsia"/>
          <w:color w:val="auto"/>
          <w:highlight w:val="none"/>
        </w:rPr>
        <w:t xml:space="preserve"> </w:t>
      </w:r>
      <w:r>
        <w:rPr>
          <w:rFonts w:cs="Times New Roman"/>
          <w:color w:val="auto"/>
          <w:highlight w:val="none"/>
        </w:rPr>
        <w:t>第6部分</w:t>
      </w:r>
      <w:r>
        <w:rPr>
          <w:rFonts w:cs="Times New Roman" w:hint="eastAsia"/>
          <w:color w:val="auto"/>
          <w:highlight w:val="none"/>
        </w:rPr>
        <w:t>：</w:t>
      </w:r>
      <w:r>
        <w:rPr>
          <w:rFonts w:cs="Times New Roman"/>
          <w:color w:val="auto"/>
          <w:highlight w:val="none"/>
        </w:rPr>
        <w:t>温度低于10℃的渗透检测》GB/T 18851.6的</w:t>
      </w:r>
      <w:r>
        <w:rPr>
          <w:rFonts w:cs="Times New Roman" w:hint="eastAsia"/>
          <w:color w:val="auto"/>
          <w:highlight w:val="none"/>
        </w:rPr>
        <w:t>有关</w:t>
      </w:r>
      <w:r>
        <w:rPr>
          <w:rFonts w:cs="Times New Roman"/>
          <w:color w:val="auto"/>
          <w:highlight w:val="none"/>
        </w:rPr>
        <w:t>规定。</w:t>
      </w:r>
    </w:p>
    <w:p>
      <w:pPr>
        <w:pStyle w:val="3"/>
        <w:tabs>
          <w:tab w:val="left" w:pos="0"/>
          <w:tab w:val="left" w:pos="567"/>
          <w:tab w:val="left" w:pos="709"/>
          <w:tab w:val="left" w:pos="1560"/>
        </w:tabs>
        <w:rPr>
          <w:rFonts w:cs="Times New Roman"/>
          <w:color w:val="auto"/>
          <w:highlight w:val="none"/>
        </w:rPr>
      </w:pPr>
      <w:r>
        <w:rPr>
          <w:rFonts w:cs="Times New Roman" w:hint="eastAsia"/>
          <w:b/>
          <w:color w:val="auto"/>
          <w:szCs w:val="24"/>
          <w:lang w:eastAsia="zh-CN"/>
          <w:highlight w:val="none"/>
        </w:rPr>
        <w:t>17.</w:t>
      </w:r>
      <w:r>
        <w:rPr>
          <w:rFonts w:cs="Times New Roman"/>
          <w:b/>
          <w:color w:val="auto"/>
          <w:szCs w:val="24"/>
          <w:highlight w:val="none"/>
        </w:rPr>
        <w:t>1.3　</w:t>
      </w:r>
      <w:r>
        <w:rPr>
          <w:rFonts w:cs="Times New Roman"/>
          <w:color w:val="auto"/>
          <w:highlight w:val="none"/>
        </w:rPr>
        <w:t>在钢箱梁等狭小空间内检测时，应采取有害气体检测及通风换气的安全措施。</w:t>
      </w:r>
    </w:p>
    <w:p>
      <w:pPr>
        <w:ind w:firstLineChars="0" w:firstLine="0"/>
        <w:rPr>
          <w:rFonts w:cs="Times New Roman"/>
          <w:color w:val="auto"/>
          <w:highlight w:val="none"/>
        </w:rPr>
      </w:pPr>
      <w:r>
        <w:rPr>
          <w:rFonts w:eastAsia="仿宋" w:cs="Times New Roman" w:hint="eastAsia"/>
          <w:b/>
          <w:bCs/>
          <w:color w:val="auto"/>
          <w:szCs w:val="24"/>
          <w:shd w:val="clear" w:color="FFFFFF" w:fill="D9D9D9"/>
          <w:highlight w:val="none"/>
        </w:rPr>
        <w:t>条文说明</w:t>
      </w:r>
      <w:r>
        <w:rPr>
          <w:rFonts w:eastAsia="仿宋" w:cs="Times New Roman" w:hint="eastAsia"/>
          <w:b/>
          <w:bCs/>
          <w:color w:val="auto"/>
          <w:szCs w:val="24"/>
          <w:shd w:val="pct10" w:color="auto" w:fill="FFFFFF"/>
          <w:lang w:eastAsia="zh-CN"/>
          <w:highlight w:val="none"/>
        </w:rPr>
        <w:t>17.</w:t>
      </w:r>
      <w:r>
        <w:rPr>
          <w:rFonts w:eastAsia="仿宋" w:cs="Times New Roman"/>
          <w:b/>
          <w:bCs/>
          <w:color w:val="auto"/>
          <w:szCs w:val="24"/>
          <w:shd w:val="pct10" w:color="auto" w:fill="FFFFFF"/>
          <w:highlight w:val="none"/>
        </w:rPr>
        <w:t>1.3　</w:t>
      </w:r>
      <w:r>
        <w:rPr>
          <w:rFonts w:eastAsia="仿宋" w:cs="Times New Roman"/>
          <w:color w:val="auto"/>
          <w:szCs w:val="24"/>
          <w:shd w:val="pct10" w:color="auto" w:fill="FFFFFF"/>
          <w:highlight w:val="none"/>
        </w:rPr>
        <w:t>检测人员在进入封闭空间前，需要通风，并进行可燃气体、有害气体和氧气含量等测试，确认空气符合要求后方可进入检测。在钢箱梁等狭小空间内检测时，需要保持通风、防止可燃、有害气体超标。</w:t>
      </w:r>
    </w:p>
    <w:p>
      <w:pPr>
        <w:rPr>
          <w:color w:val="auto"/>
          <w:highlight w:val="none"/>
        </w:rPr>
      </w:pPr>
    </w:p>
    <w:p>
      <w:pPr>
        <w:pStyle w:val="2"/>
        <w:tabs>
          <w:tab w:val="left" w:pos="0"/>
        </w:tabs>
        <w:rPr>
          <w:rFonts w:ascii="Times New Roman" w:cs="Times New Roman" w:hAnsi="Times New Roman"/>
          <w:color w:val="auto"/>
          <w:highlight w:val="none"/>
        </w:rPr>
      </w:pPr>
      <w:bookmarkStart w:id="466" w:name="_Toc16831"/>
      <w:bookmarkStart w:id="467" w:name="_Toc10412"/>
      <w:bookmarkStart w:id="468" w:name="_Toc6980"/>
      <w:bookmarkStart w:id="469" w:name="_Toc8781"/>
      <w:bookmarkStart w:id="470" w:name="OLE_LINK22"/>
      <w:r>
        <w:rPr>
          <w:rFonts w:ascii="Times New Roman" w:cs="Times New Roman" w:hAnsi="Times New Roman" w:hint="eastAsia"/>
          <w:color w:val="auto"/>
          <w:lang w:eastAsia="zh-CN"/>
          <w:highlight w:val="none"/>
        </w:rPr>
        <w:t>17.</w:t>
      </w:r>
      <w:r>
        <w:rPr>
          <w:rFonts w:ascii="Times New Roman" w:cs="Times New Roman" w:hAnsi="Times New Roman"/>
          <w:color w:val="auto"/>
          <w:highlight w:val="none"/>
        </w:rPr>
        <w:t>2　超声波法</w:t>
      </w:r>
      <w:bookmarkEnd w:id="466"/>
      <w:bookmarkEnd w:id="467"/>
      <w:bookmarkEnd w:id="468"/>
      <w:bookmarkEnd w:id="469"/>
    </w:p>
    <w:p>
      <w:pPr>
        <w:pStyle w:val="3"/>
        <w:tabs>
          <w:tab w:val="left" w:pos="0"/>
          <w:tab w:val="left" w:pos="567"/>
          <w:tab w:val="left" w:pos="709"/>
          <w:tab w:val="left" w:pos="1560"/>
        </w:tabs>
        <w:rPr>
          <w:rFonts w:cs="Times New Roman"/>
          <w:color w:val="auto"/>
          <w:highlight w:val="none"/>
        </w:rPr>
      </w:pPr>
      <w:bookmarkEnd w:id="470"/>
      <w:r>
        <w:rPr>
          <w:rFonts w:cs="Times New Roman" w:hint="eastAsia"/>
          <w:b/>
          <w:color w:val="auto"/>
          <w:lang w:eastAsia="zh-CN"/>
          <w:highlight w:val="none"/>
        </w:rPr>
        <w:t>17.</w:t>
      </w:r>
      <w:r>
        <w:rPr>
          <w:rFonts w:cs="Times New Roman"/>
          <w:b/>
          <w:color w:val="auto"/>
          <w:highlight w:val="none"/>
        </w:rPr>
        <w:t>2.1　</w:t>
      </w:r>
      <w:r>
        <w:rPr>
          <w:rFonts w:cs="Times New Roman"/>
          <w:color w:val="auto"/>
          <w:highlight w:val="none"/>
        </w:rPr>
        <w:t>超声波法</w:t>
      </w:r>
      <w:r>
        <w:rPr>
          <w:rFonts w:cs="Times New Roman" w:hint="eastAsia"/>
          <w:color w:val="auto"/>
          <w:highlight w:val="none"/>
        </w:rPr>
        <w:t>可</w:t>
      </w:r>
      <w:r>
        <w:rPr>
          <w:rFonts w:cs="Times New Roman"/>
          <w:color w:val="auto"/>
          <w:highlight w:val="none"/>
        </w:rPr>
        <w:t>用于焊缝内部缺陷检测。</w:t>
      </w:r>
    </w:p>
    <w:p>
      <w:pPr>
        <w:ind w:firstLineChars="0" w:firstLine="0"/>
        <w:rPr>
          <w:rFonts w:eastAsia="仿宋" w:cs="Times New Roman"/>
          <w:color w:val="auto"/>
          <w:szCs w:val="24"/>
          <w:shd w:val="pct10" w:color="auto" w:fill="FFFFFF"/>
          <w:highlight w:val="none"/>
        </w:rPr>
      </w:pPr>
      <w:r>
        <w:rPr>
          <w:rFonts w:eastAsia="仿宋" w:cs="Times New Roman" w:hint="eastAsia"/>
          <w:b/>
          <w:bCs/>
          <w:color w:val="auto"/>
          <w:szCs w:val="24"/>
          <w:shd w:val="clear" w:color="FFFFFF" w:fill="D9D9D9"/>
          <w:highlight w:val="none"/>
        </w:rPr>
        <w:t>条文说明</w:t>
      </w:r>
      <w:r>
        <w:rPr>
          <w:rFonts w:eastAsia="仿宋" w:cs="Times New Roman" w:hint="eastAsia"/>
          <w:b/>
          <w:bCs/>
          <w:color w:val="auto"/>
          <w:szCs w:val="24"/>
          <w:shd w:val="pct10" w:color="auto" w:fill="FFFFFF"/>
          <w:lang w:eastAsia="zh-CN"/>
          <w:highlight w:val="none"/>
        </w:rPr>
        <w:t>17.</w:t>
      </w:r>
      <w:r>
        <w:rPr>
          <w:rFonts w:eastAsia="仿宋" w:cs="Times New Roman"/>
          <w:b/>
          <w:bCs/>
          <w:color w:val="auto"/>
          <w:szCs w:val="24"/>
          <w:shd w:val="pct10" w:color="auto" w:fill="FFFFFF"/>
          <w:highlight w:val="none"/>
        </w:rPr>
        <w:t>2.1　</w:t>
      </w:r>
      <w:r>
        <w:rPr>
          <w:rFonts w:eastAsia="仿宋" w:cs="Times New Roman"/>
          <w:color w:val="auto"/>
          <w:szCs w:val="24"/>
          <w:shd w:val="pct10" w:color="auto" w:fill="FFFFFF"/>
          <w:highlight w:val="none"/>
        </w:rPr>
        <w:t>超声波检测（Ultrasonic Testing，UT），可用于检测焊缝内部埋藏缺陷和焊缝内表面裂纹、夹渣、末熔合、未焊透等缺陷及厚度测定。该方法具有灵敏度高、指向性好、穿透力强、检测速度快、成本低等优点，且超声波探伤仪体积小、重量轻，便于携带和操作，对人体没有危害。</w:t>
      </w:r>
    </w:p>
    <w:p>
      <w:pPr>
        <w:ind w:firstLineChars="0" w:firstLine="0"/>
        <w:rPr>
          <w:rFonts w:eastAsia="仿宋" w:cs="Times New Roman"/>
          <w:color w:val="auto"/>
          <w:szCs w:val="24"/>
          <w:shd w:val="pct10" w:color="auto" w:fill="FFFFFF"/>
          <w:highlight w:val="none"/>
        </w:rPr>
      </w:pPr>
    </w:p>
    <w:p>
      <w:pPr>
        <w:rPr>
          <w:color w:val="auto"/>
          <w:highlight w:val="none"/>
        </w:rPr>
      </w:pPr>
    </w:p>
    <w:p>
      <w:pPr>
        <w:pStyle w:val="3"/>
        <w:tabs>
          <w:tab w:val="left" w:pos="0"/>
          <w:tab w:val="left" w:pos="567"/>
          <w:tab w:val="left" w:pos="709"/>
          <w:tab w:val="left" w:pos="1560"/>
        </w:tabs>
        <w:rPr>
          <w:rFonts w:cs="Times New Roman"/>
          <w:color w:val="auto"/>
          <w:highlight w:val="none"/>
        </w:rPr>
      </w:pPr>
      <w:r>
        <w:rPr>
          <w:rFonts w:cs="Times New Roman" w:hint="eastAsia"/>
          <w:b/>
          <w:color w:val="auto"/>
          <w:lang w:eastAsia="zh-CN"/>
          <w:highlight w:val="none"/>
        </w:rPr>
        <w:t>17.</w:t>
      </w:r>
      <w:r>
        <w:rPr>
          <w:rFonts w:cs="Times New Roman"/>
          <w:b/>
          <w:color w:val="auto"/>
          <w:highlight w:val="none"/>
        </w:rPr>
        <w:t>2.2　</w:t>
      </w:r>
      <w:r>
        <w:rPr>
          <w:rFonts w:cs="Times New Roman"/>
          <w:color w:val="auto"/>
          <w:highlight w:val="none"/>
        </w:rPr>
        <w:t>超声波检测用超声检测仪、探头、试块应符合现行国家标准《焊缝无损检测 超声检测</w:t>
      </w:r>
      <w:r>
        <w:rPr>
          <w:rFonts w:cs="Times New Roman" w:hint="eastAsia"/>
          <w:color w:val="auto"/>
          <w:highlight w:val="none"/>
        </w:rPr>
        <w:t xml:space="preserve"> </w:t>
      </w:r>
      <w:r>
        <w:rPr>
          <w:rFonts w:cs="Times New Roman"/>
          <w:color w:val="auto"/>
          <w:highlight w:val="none"/>
        </w:rPr>
        <w:t>技术、检测等级和评定》GB/T 11345的</w:t>
      </w:r>
      <w:r>
        <w:rPr>
          <w:rFonts w:cs="Times New Roman" w:hint="eastAsia"/>
          <w:color w:val="auto"/>
          <w:highlight w:val="none"/>
        </w:rPr>
        <w:t>有关</w:t>
      </w:r>
      <w:r>
        <w:rPr>
          <w:rFonts w:cs="Times New Roman"/>
          <w:color w:val="auto"/>
          <w:highlight w:val="none"/>
        </w:rPr>
        <w:t>规定。</w:t>
      </w:r>
    </w:p>
    <w:p>
      <w:pPr>
        <w:pStyle w:val="3"/>
        <w:tabs>
          <w:tab w:val="left" w:pos="0"/>
          <w:tab w:val="left" w:pos="567"/>
          <w:tab w:val="left" w:pos="709"/>
          <w:tab w:val="left" w:pos="1560"/>
        </w:tabs>
        <w:rPr>
          <w:rFonts w:cs="Times New Roman"/>
          <w:color w:val="auto"/>
          <w:highlight w:val="none"/>
        </w:rPr>
      </w:pPr>
      <w:r>
        <w:rPr>
          <w:rFonts w:cs="Times New Roman" w:hint="eastAsia"/>
          <w:b/>
          <w:color w:val="auto"/>
          <w:lang w:eastAsia="zh-CN"/>
          <w:highlight w:val="none"/>
        </w:rPr>
        <w:t>17.</w:t>
      </w:r>
      <w:r>
        <w:rPr>
          <w:rFonts w:cs="Times New Roman"/>
          <w:b/>
          <w:color w:val="auto"/>
          <w:highlight w:val="none"/>
        </w:rPr>
        <w:t>2.3　</w:t>
      </w:r>
      <w:r>
        <w:rPr>
          <w:rFonts w:cs="Times New Roman"/>
          <w:color w:val="auto"/>
          <w:highlight w:val="none"/>
        </w:rPr>
        <w:t>超声波检测应符合行业标准《公路钢结构桥梁制造和安装施工规范》JTG/T 3651-2022第7.3.6条～第7.3.12条的规定，</w:t>
      </w:r>
      <w:r>
        <w:rPr>
          <w:rFonts w:cs="Times New Roman" w:hint="eastAsia"/>
          <w:color w:val="auto"/>
          <w:highlight w:val="none"/>
        </w:rPr>
        <w:t>并应</w:t>
      </w:r>
      <w:r>
        <w:rPr>
          <w:rFonts w:cs="Times New Roman"/>
          <w:color w:val="auto"/>
          <w:highlight w:val="none"/>
        </w:rPr>
        <w:t>根据钢结构桥梁类型、部位确定质量等级、检测等级、检测比例、检测范围以及验收等级。</w:t>
      </w:r>
    </w:p>
    <w:p>
      <w:pPr>
        <w:rPr>
          <w:color w:val="auto"/>
          <w:highlight w:val="none"/>
        </w:rPr>
      </w:pPr>
      <w:r>
        <w:rPr>
          <w:rFonts w:eastAsia="仿宋" w:cs="Times New Roman" w:hint="eastAsia"/>
          <w:b/>
          <w:bCs/>
          <w:color w:val="auto"/>
          <w:szCs w:val="24"/>
          <w:shd w:val="clear" w:color="FFFFFF" w:fill="D9D9D9"/>
          <w:highlight w:val="none"/>
        </w:rPr>
        <w:t>条文说明</w:t>
      </w:r>
      <w:r>
        <w:rPr>
          <w:rFonts w:eastAsia="仿宋" w:cs="Times New Roman" w:hint="eastAsia"/>
          <w:b/>
          <w:bCs/>
          <w:color w:val="auto"/>
          <w:szCs w:val="24"/>
          <w:shd w:val="pct10" w:color="auto" w:fill="FFFFFF"/>
          <w:lang w:eastAsia="zh-CN"/>
          <w:highlight w:val="none"/>
        </w:rPr>
        <w:t>17.</w:t>
      </w:r>
      <w:r>
        <w:rPr>
          <w:rFonts w:eastAsia="仿宋" w:cs="Times New Roman"/>
          <w:b/>
          <w:bCs/>
          <w:color w:val="auto"/>
          <w:szCs w:val="24"/>
          <w:shd w:val="pct10" w:color="auto" w:fill="FFFFFF"/>
          <w:highlight w:val="none"/>
        </w:rPr>
        <w:t>2.3、</w:t>
      </w:r>
      <w:r>
        <w:rPr>
          <w:rFonts w:eastAsia="仿宋" w:cs="Times New Roman" w:hint="eastAsia"/>
          <w:b/>
          <w:bCs/>
          <w:color w:val="auto"/>
          <w:szCs w:val="24"/>
          <w:shd w:val="pct10" w:color="auto" w:fill="FFFFFF"/>
          <w:lang w:eastAsia="zh-CN"/>
          <w:highlight w:val="none"/>
        </w:rPr>
        <w:t>17.</w:t>
      </w:r>
      <w:r>
        <w:rPr>
          <w:rFonts w:eastAsia="仿宋" w:cs="Times New Roman"/>
          <w:b/>
          <w:bCs/>
          <w:color w:val="auto"/>
          <w:szCs w:val="24"/>
          <w:shd w:val="pct10" w:color="auto" w:fill="FFFFFF"/>
          <w:highlight w:val="none"/>
        </w:rPr>
        <w:t>3.3、</w:t>
      </w:r>
      <w:r>
        <w:rPr>
          <w:rFonts w:eastAsia="仿宋" w:cs="Times New Roman" w:hint="eastAsia"/>
          <w:b/>
          <w:bCs/>
          <w:color w:val="auto"/>
          <w:szCs w:val="24"/>
          <w:shd w:val="pct10" w:color="auto" w:fill="FFFFFF"/>
          <w:lang w:eastAsia="zh-CN"/>
          <w:highlight w:val="none"/>
        </w:rPr>
        <w:t>17.</w:t>
      </w:r>
      <w:r>
        <w:rPr>
          <w:rFonts w:eastAsia="仿宋" w:cs="Times New Roman"/>
          <w:b/>
          <w:bCs/>
          <w:color w:val="auto"/>
          <w:szCs w:val="24"/>
          <w:shd w:val="pct10" w:color="auto" w:fill="FFFFFF"/>
          <w:highlight w:val="none"/>
        </w:rPr>
        <w:t>4.3　</w:t>
      </w:r>
      <w:r>
        <w:rPr>
          <w:rFonts w:eastAsia="仿宋" w:cs="Times New Roman"/>
          <w:color w:val="auto"/>
          <w:szCs w:val="24"/>
          <w:shd w:val="pct10" w:color="auto" w:fill="FFFFFF"/>
          <w:highlight w:val="none"/>
        </w:rPr>
        <w:t>《公路钢结构桥梁制造和安装施工规范》JTG/T 3651-2022第7.3.6条～第7.3.12条按钢结构桥梁类型、部位分别明确了钢箱梁、钢桁梁和钢板梁、钢塔、钢锚梁和钢锚箱、钢箱拱、钢管拱、钢箱墩和钢盖梁的焊缝无损检测的质量等级、检测等级、检测比例、检测范围以及验收等级。</w:t>
      </w:r>
    </w:p>
    <w:p>
      <w:pPr>
        <w:rPr>
          <w:color w:val="auto"/>
          <w:highlight w:val="none"/>
        </w:rPr>
      </w:pPr>
    </w:p>
    <w:p>
      <w:pPr>
        <w:pStyle w:val="3"/>
        <w:tabs>
          <w:tab w:val="left" w:pos="0"/>
          <w:tab w:val="left" w:pos="567"/>
          <w:tab w:val="left" w:pos="709"/>
          <w:tab w:val="left" w:pos="1560"/>
        </w:tabs>
        <w:rPr>
          <w:rFonts w:cs="Times New Roman"/>
          <w:color w:val="auto"/>
          <w:highlight w:val="none"/>
        </w:rPr>
      </w:pPr>
      <w:r>
        <w:rPr>
          <w:rFonts w:cs="Times New Roman" w:hint="eastAsia"/>
          <w:b/>
          <w:color w:val="auto"/>
          <w:lang w:eastAsia="zh-CN"/>
          <w:highlight w:val="none"/>
        </w:rPr>
        <w:t>17.</w:t>
      </w:r>
      <w:r>
        <w:rPr>
          <w:rFonts w:cs="Times New Roman"/>
          <w:b/>
          <w:color w:val="auto"/>
          <w:highlight w:val="none"/>
        </w:rPr>
        <w:t>2.4　</w:t>
      </w:r>
      <w:r>
        <w:rPr>
          <w:rFonts w:cs="Times New Roman"/>
          <w:color w:val="auto"/>
          <w:highlight w:val="none"/>
        </w:rPr>
        <w:t>超声波检测的质量分级应符合现行国家标准《钢的弧焊接头</w:t>
      </w:r>
      <w:r>
        <w:rPr>
          <w:rFonts w:cs="Times New Roman" w:hint="eastAsia"/>
          <w:color w:val="auto"/>
          <w:highlight w:val="none"/>
        </w:rPr>
        <w:t xml:space="preserve"> </w:t>
      </w:r>
      <w:r>
        <w:rPr>
          <w:rFonts w:cs="Times New Roman"/>
          <w:color w:val="auto"/>
          <w:highlight w:val="none"/>
        </w:rPr>
        <w:t>缺陷质量分级指南》GB/T 19418的有关规定。超声波检测等级应符合现行国家标准《焊缝无损检测 超声检测</w:t>
      </w:r>
      <w:r>
        <w:rPr>
          <w:rFonts w:cs="Times New Roman" w:hint="eastAsia"/>
          <w:color w:val="auto"/>
          <w:highlight w:val="none"/>
        </w:rPr>
        <w:t xml:space="preserve"> </w:t>
      </w:r>
      <w:r>
        <w:rPr>
          <w:rFonts w:cs="Times New Roman"/>
          <w:color w:val="auto"/>
          <w:highlight w:val="none"/>
        </w:rPr>
        <w:t>技术、检测等级和评定》GB/T 11345的有关规定。超声波检测验收等级应符合现行国家标准《焊缝无损检测 超声检测 验收等级》GB/T 29712的有关规定，当需要评定显示特征时，应按现行国家标准《焊缝无损检测 超声检测 焊缝中的显示特征》GB/T 29711</w:t>
      </w:r>
      <w:r>
        <w:rPr>
          <w:rFonts w:cs="Times New Roman" w:hint="eastAsia"/>
          <w:color w:val="auto"/>
          <w:highlight w:val="none"/>
        </w:rPr>
        <w:t>的有关规定进行</w:t>
      </w:r>
      <w:r>
        <w:rPr>
          <w:rFonts w:cs="Times New Roman"/>
          <w:color w:val="auto"/>
          <w:highlight w:val="none"/>
        </w:rPr>
        <w:t>评定。</w:t>
      </w:r>
    </w:p>
    <w:p>
      <w:pPr>
        <w:pStyle w:val="2"/>
        <w:tabs>
          <w:tab w:val="left" w:pos="0"/>
        </w:tabs>
        <w:rPr>
          <w:rFonts w:ascii="Times New Roman" w:cs="Times New Roman" w:hAnsi="Times New Roman"/>
          <w:color w:val="auto"/>
          <w:highlight w:val="none"/>
        </w:rPr>
      </w:pPr>
      <w:bookmarkStart w:id="471" w:name="_Toc7129"/>
      <w:bookmarkStart w:id="472" w:name="_Toc20909"/>
      <w:bookmarkStart w:id="473" w:name="_Toc13635"/>
      <w:bookmarkStart w:id="474" w:name="_Toc11270"/>
      <w:r>
        <w:rPr>
          <w:rFonts w:ascii="Times New Roman" w:cs="Times New Roman" w:hAnsi="Times New Roman" w:hint="eastAsia"/>
          <w:color w:val="auto"/>
          <w:lang w:eastAsia="zh-CN"/>
          <w:highlight w:val="none"/>
        </w:rPr>
        <w:t>17.</w:t>
      </w:r>
      <w:r>
        <w:rPr>
          <w:rFonts w:ascii="Times New Roman" w:cs="Times New Roman" w:hAnsi="Times New Roman"/>
          <w:color w:val="auto"/>
          <w:highlight w:val="none"/>
        </w:rPr>
        <w:t>3　射线法</w:t>
      </w:r>
      <w:bookmarkEnd w:id="471"/>
      <w:bookmarkEnd w:id="472"/>
      <w:bookmarkEnd w:id="473"/>
      <w:bookmarkEnd w:id="474"/>
    </w:p>
    <w:p>
      <w:pPr>
        <w:pStyle w:val="3"/>
        <w:tabs>
          <w:tab w:val="left" w:pos="0"/>
          <w:tab w:val="left" w:pos="567"/>
          <w:tab w:val="left" w:pos="709"/>
          <w:tab w:val="left" w:pos="1560"/>
        </w:tabs>
        <w:rPr>
          <w:rFonts w:cs="Times New Roman"/>
          <w:color w:val="auto"/>
          <w:highlight w:val="none"/>
        </w:rPr>
      </w:pPr>
      <w:r>
        <w:rPr>
          <w:rFonts w:cs="Times New Roman" w:hint="eastAsia"/>
          <w:b/>
          <w:color w:val="auto"/>
          <w:lang w:eastAsia="zh-CN"/>
          <w:highlight w:val="none"/>
        </w:rPr>
        <w:t>17.</w:t>
      </w:r>
      <w:r>
        <w:rPr>
          <w:rFonts w:cs="Times New Roman"/>
          <w:b/>
          <w:color w:val="auto"/>
          <w:highlight w:val="none"/>
        </w:rPr>
        <w:t>3.1　</w:t>
      </w:r>
      <w:r>
        <w:rPr>
          <w:rFonts w:cs="Times New Roman"/>
          <w:color w:val="auto"/>
          <w:highlight w:val="none"/>
        </w:rPr>
        <w:t>射线法</w:t>
      </w:r>
      <w:r>
        <w:rPr>
          <w:rFonts w:cs="Times New Roman" w:hint="eastAsia"/>
          <w:color w:val="auto"/>
          <w:highlight w:val="none"/>
        </w:rPr>
        <w:t>可</w:t>
      </w:r>
      <w:r>
        <w:rPr>
          <w:rFonts w:cs="Times New Roman"/>
          <w:color w:val="auto"/>
          <w:highlight w:val="none"/>
        </w:rPr>
        <w:t>用于焊缝内部缺陷检测。</w:t>
      </w:r>
    </w:p>
    <w:p>
      <w:pPr>
        <w:ind w:firstLineChars="0" w:firstLine="0"/>
        <w:rPr>
          <w:rFonts w:eastAsia="仿宋" w:cs="Times New Roman"/>
          <w:color w:val="auto"/>
          <w:szCs w:val="24"/>
          <w:shd w:val="pct10" w:color="auto" w:fill="FFFFFF"/>
          <w:highlight w:val="none"/>
        </w:rPr>
      </w:pPr>
      <w:r>
        <w:rPr>
          <w:rFonts w:eastAsia="仿宋" w:cs="Times New Roman" w:hint="eastAsia"/>
          <w:b/>
          <w:bCs/>
          <w:color w:val="auto"/>
          <w:szCs w:val="24"/>
          <w:shd w:val="clear" w:color="FFFFFF" w:fill="D9D9D9"/>
          <w:highlight w:val="none"/>
        </w:rPr>
        <w:t>条文说明</w:t>
      </w:r>
      <w:r>
        <w:rPr>
          <w:rFonts w:eastAsia="仿宋" w:cs="Times New Roman" w:hint="eastAsia"/>
          <w:b/>
          <w:bCs/>
          <w:color w:val="auto"/>
          <w:szCs w:val="24"/>
          <w:shd w:val="pct10" w:color="auto" w:fill="FFFFFF"/>
          <w:lang w:eastAsia="zh-CN"/>
          <w:highlight w:val="none"/>
        </w:rPr>
        <w:t>17.</w:t>
      </w:r>
      <w:r>
        <w:rPr>
          <w:rFonts w:eastAsia="仿宋" w:cs="Times New Roman"/>
          <w:b/>
          <w:bCs/>
          <w:color w:val="auto"/>
          <w:szCs w:val="24"/>
          <w:shd w:val="pct10" w:color="auto" w:fill="FFFFFF"/>
          <w:highlight w:val="none"/>
        </w:rPr>
        <w:t>3.1　</w:t>
      </w:r>
      <w:r>
        <w:rPr>
          <w:rFonts w:eastAsia="仿宋" w:cs="Times New Roman"/>
          <w:color w:val="auto"/>
          <w:szCs w:val="24"/>
          <w:shd w:val="pct10" w:color="auto" w:fill="FFFFFF"/>
          <w:highlight w:val="none"/>
        </w:rPr>
        <w:t>射线检测（Radiology  Testing，RT），宜用于检测焊缝和铸件中存在的气孔、密集气孔、夹渣和未熔合、未焊透等缺陷。射线检测结果有直观纪录，可长期保存。该方法对体积型缺陷检出率高，对面积型缺陷，如果照相角度不适当，容易漏检。另外，该方法不适宜检测较厚的工件，且检测成本高、速度慢，同时对人体有害，需做特殊防护。</w:t>
      </w:r>
    </w:p>
    <w:p>
      <w:pPr>
        <w:rPr>
          <w:color w:val="auto"/>
          <w:highlight w:val="none"/>
        </w:rPr>
      </w:pPr>
    </w:p>
    <w:p>
      <w:pPr>
        <w:pStyle w:val="3"/>
        <w:tabs>
          <w:tab w:val="left" w:pos="0"/>
          <w:tab w:val="left" w:pos="567"/>
          <w:tab w:val="left" w:pos="709"/>
          <w:tab w:val="left" w:pos="1560"/>
        </w:tabs>
        <w:rPr>
          <w:rFonts w:cs="Times New Roman"/>
          <w:color w:val="auto"/>
          <w:highlight w:val="none"/>
        </w:rPr>
      </w:pPr>
      <w:r>
        <w:rPr>
          <w:rFonts w:cs="Times New Roman" w:hint="eastAsia"/>
          <w:b/>
          <w:color w:val="auto"/>
          <w:lang w:eastAsia="zh-CN"/>
          <w:highlight w:val="none"/>
        </w:rPr>
        <w:t>17.</w:t>
      </w:r>
      <w:r>
        <w:rPr>
          <w:rFonts w:cs="Times New Roman"/>
          <w:b/>
          <w:color w:val="auto"/>
          <w:highlight w:val="none"/>
        </w:rPr>
        <w:t>3.2　</w:t>
      </w:r>
      <w:r>
        <w:rPr>
          <w:rFonts w:cs="Times New Roman"/>
          <w:color w:val="auto"/>
          <w:highlight w:val="none"/>
        </w:rPr>
        <w:t>射线检测用设备应符合现行国家标准《焊缝无损检测 射线检测</w:t>
      </w:r>
      <w:r>
        <w:rPr>
          <w:rFonts w:cs="Times New Roman" w:hint="eastAsia"/>
          <w:color w:val="auto"/>
          <w:highlight w:val="none"/>
        </w:rPr>
        <w:t xml:space="preserve"> </w:t>
      </w:r>
      <w:r>
        <w:rPr>
          <w:rFonts w:cs="Times New Roman"/>
          <w:color w:val="auto"/>
          <w:highlight w:val="none"/>
        </w:rPr>
        <w:t>第1部分：X和伽玛射线的胶片技术》GB/T 3323.1的有关规定。</w:t>
      </w:r>
    </w:p>
    <w:p>
      <w:pPr>
        <w:pStyle w:val="3"/>
        <w:tabs>
          <w:tab w:val="left" w:pos="0"/>
          <w:tab w:val="left" w:pos="567"/>
          <w:tab w:val="left" w:pos="709"/>
          <w:tab w:val="left" w:pos="1560"/>
        </w:tabs>
        <w:rPr>
          <w:rFonts w:cs="Times New Roman"/>
          <w:color w:val="auto"/>
          <w:highlight w:val="none"/>
        </w:rPr>
      </w:pPr>
      <w:r>
        <w:rPr>
          <w:rFonts w:cs="Times New Roman" w:hint="eastAsia"/>
          <w:b/>
          <w:color w:val="auto"/>
          <w:lang w:eastAsia="zh-CN"/>
          <w:highlight w:val="none"/>
        </w:rPr>
        <w:t>17.</w:t>
      </w:r>
      <w:r>
        <w:rPr>
          <w:rFonts w:cs="Times New Roman"/>
          <w:b/>
          <w:color w:val="auto"/>
          <w:highlight w:val="none"/>
        </w:rPr>
        <w:t>3.3　</w:t>
      </w:r>
      <w:r>
        <w:rPr>
          <w:rFonts w:cs="Times New Roman"/>
          <w:color w:val="auto"/>
          <w:highlight w:val="none"/>
        </w:rPr>
        <w:t>射线检测应</w:t>
      </w:r>
      <w:r>
        <w:rPr>
          <w:rFonts w:cs="Times New Roman" w:hint="eastAsia"/>
          <w:color w:val="auto"/>
          <w:highlight w:val="none"/>
        </w:rPr>
        <w:t>符合</w:t>
      </w:r>
      <w:r>
        <w:rPr>
          <w:rFonts w:cs="Times New Roman"/>
          <w:color w:val="auto"/>
          <w:highlight w:val="none"/>
        </w:rPr>
        <w:t>行业标准《公路钢结构桥梁制造和安装施工规范》JTG/T 3651-2022第7.3.6条～第7.3.12条的规定，</w:t>
      </w:r>
      <w:r>
        <w:rPr>
          <w:rFonts w:cs="Times New Roman" w:hint="eastAsia"/>
          <w:color w:val="auto"/>
          <w:highlight w:val="none"/>
        </w:rPr>
        <w:t>并应</w:t>
      </w:r>
      <w:r>
        <w:rPr>
          <w:rFonts w:cs="Times New Roman"/>
          <w:color w:val="auto"/>
          <w:highlight w:val="none"/>
        </w:rPr>
        <w:t>根据钢结构桥梁类型、部位确定质量等级、检测等级、检测比例、检测范围以及验收等级。</w:t>
      </w:r>
    </w:p>
    <w:p>
      <w:pPr>
        <w:pStyle w:val="3"/>
        <w:tabs>
          <w:tab w:val="left" w:pos="0"/>
          <w:tab w:val="left" w:pos="567"/>
          <w:tab w:val="left" w:pos="709"/>
          <w:tab w:val="left" w:pos="1560"/>
        </w:tabs>
        <w:rPr>
          <w:rFonts w:cs="Times New Roman"/>
          <w:color w:val="auto"/>
          <w:highlight w:val="none"/>
        </w:rPr>
      </w:pPr>
      <w:r>
        <w:rPr>
          <w:rFonts w:cs="Times New Roman" w:hint="eastAsia"/>
          <w:b/>
          <w:color w:val="auto"/>
          <w:lang w:eastAsia="zh-CN"/>
          <w:highlight w:val="none"/>
        </w:rPr>
        <w:t>17.</w:t>
      </w:r>
      <w:r>
        <w:rPr>
          <w:rFonts w:cs="Times New Roman"/>
          <w:b/>
          <w:color w:val="auto"/>
          <w:highlight w:val="none"/>
        </w:rPr>
        <w:t>3.4　</w:t>
      </w:r>
      <w:r>
        <w:rPr>
          <w:rFonts w:cs="Times New Roman"/>
          <w:color w:val="auto"/>
          <w:highlight w:val="none"/>
        </w:rPr>
        <w:t>射线检测的质量分级应符合现行国家标准《钢的弧焊接头</w:t>
      </w:r>
      <w:r>
        <w:rPr>
          <w:rFonts w:cs="Times New Roman" w:hint="eastAsia"/>
          <w:color w:val="auto"/>
          <w:highlight w:val="none"/>
        </w:rPr>
        <w:t xml:space="preserve"> </w:t>
      </w:r>
      <w:r>
        <w:rPr>
          <w:rFonts w:cs="Times New Roman"/>
          <w:color w:val="auto"/>
          <w:highlight w:val="none"/>
        </w:rPr>
        <w:t>缺陷质量分级指南》GB/T 19418的有关规定。射线检测等级应符合现行国家标准《焊缝无损检测 射线检测 第1部分：X和伽玛射线的胶片技术》GB/T 3323.1的有关规定。射线检测验收等级应符合现行国家标准《焊缝无损检测 射线检测验收等级 第1部分：钢、镍、钛及其合金》GB/T 37910.1的有关规定。</w:t>
      </w:r>
    </w:p>
    <w:p>
      <w:pPr>
        <w:ind w:firstLineChars="0" w:firstLine="0"/>
        <w:rPr>
          <w:rFonts w:cs="Times New Roman"/>
          <w:color w:val="auto"/>
          <w:highlight w:val="none"/>
        </w:rPr>
      </w:pPr>
    </w:p>
    <w:p>
      <w:pPr>
        <w:pStyle w:val="2"/>
        <w:tabs>
          <w:tab w:val="left" w:pos="0"/>
        </w:tabs>
        <w:rPr>
          <w:rFonts w:ascii="Times New Roman" w:cs="Times New Roman" w:hAnsi="Times New Roman"/>
          <w:color w:val="auto"/>
          <w:highlight w:val="none"/>
        </w:rPr>
      </w:pPr>
      <w:bookmarkStart w:id="475" w:name="_Toc27725"/>
      <w:bookmarkStart w:id="476" w:name="_Toc19380"/>
      <w:bookmarkStart w:id="477" w:name="_Toc9309"/>
      <w:bookmarkStart w:id="478" w:name="_Toc546"/>
      <w:r>
        <w:rPr>
          <w:rFonts w:ascii="Times New Roman" w:cs="Times New Roman" w:hAnsi="Times New Roman" w:hint="eastAsia"/>
          <w:color w:val="auto"/>
          <w:lang w:eastAsia="zh-CN"/>
          <w:highlight w:val="none"/>
        </w:rPr>
        <w:t>17.</w:t>
      </w:r>
      <w:r>
        <w:rPr>
          <w:rFonts w:ascii="Times New Roman" w:cs="Times New Roman" w:hAnsi="Times New Roman"/>
          <w:color w:val="auto"/>
          <w:highlight w:val="none"/>
        </w:rPr>
        <w:t>4　磁粉法</w:t>
      </w:r>
      <w:bookmarkEnd w:id="475"/>
      <w:bookmarkEnd w:id="476"/>
      <w:bookmarkEnd w:id="477"/>
      <w:bookmarkEnd w:id="478"/>
    </w:p>
    <w:p>
      <w:pPr>
        <w:pStyle w:val="3"/>
        <w:tabs>
          <w:tab w:val="left" w:pos="0"/>
          <w:tab w:val="left" w:pos="567"/>
          <w:tab w:val="left" w:pos="709"/>
          <w:tab w:val="left" w:pos="1560"/>
        </w:tabs>
        <w:rPr>
          <w:rFonts w:cs="Times New Roman"/>
          <w:color w:val="auto"/>
          <w:highlight w:val="none"/>
        </w:rPr>
      </w:pPr>
      <w:r>
        <w:rPr>
          <w:rFonts w:cs="Times New Roman" w:hint="eastAsia"/>
          <w:b/>
          <w:color w:val="auto"/>
          <w:lang w:eastAsia="zh-CN"/>
          <w:highlight w:val="none"/>
        </w:rPr>
        <w:t>17.</w:t>
      </w:r>
      <w:r>
        <w:rPr>
          <w:rFonts w:cs="Times New Roman"/>
          <w:b/>
          <w:color w:val="auto"/>
          <w:highlight w:val="none"/>
        </w:rPr>
        <w:t>4.1　</w:t>
      </w:r>
      <w:r>
        <w:rPr>
          <w:rFonts w:cs="Times New Roman"/>
          <w:color w:val="auto"/>
          <w:highlight w:val="none"/>
        </w:rPr>
        <w:t>磁粉法</w:t>
      </w:r>
      <w:r>
        <w:rPr>
          <w:rFonts w:cs="Times New Roman" w:hint="eastAsia"/>
          <w:color w:val="auto"/>
          <w:highlight w:val="none"/>
        </w:rPr>
        <w:t>可</w:t>
      </w:r>
      <w:r>
        <w:rPr>
          <w:rFonts w:cs="Times New Roman"/>
          <w:color w:val="auto"/>
          <w:highlight w:val="none"/>
        </w:rPr>
        <w:t>用于焊缝表面及近表面缺欠的检测。</w:t>
      </w:r>
    </w:p>
    <w:p>
      <w:pPr>
        <w:ind w:firstLineChars="0" w:firstLine="0"/>
        <w:rPr>
          <w:rFonts w:eastAsia="仿宋" w:cs="Times New Roman"/>
          <w:color w:val="auto"/>
          <w:szCs w:val="24"/>
          <w:shd w:val="pct10" w:color="auto" w:fill="FFFFFF"/>
          <w:highlight w:val="none"/>
        </w:rPr>
      </w:pPr>
      <w:r>
        <w:rPr>
          <w:rFonts w:eastAsia="仿宋" w:cs="Times New Roman" w:hint="eastAsia"/>
          <w:b/>
          <w:bCs/>
          <w:color w:val="auto"/>
          <w:szCs w:val="24"/>
          <w:shd w:val="clear" w:color="FFFFFF" w:fill="D9D9D9"/>
          <w:highlight w:val="none"/>
        </w:rPr>
        <w:t>条文说明</w:t>
      </w:r>
      <w:r>
        <w:rPr>
          <w:rFonts w:eastAsia="仿宋" w:cs="Times New Roman" w:hint="eastAsia"/>
          <w:b/>
          <w:bCs/>
          <w:color w:val="auto"/>
          <w:szCs w:val="24"/>
          <w:shd w:val="pct10" w:color="auto" w:fill="FFFFFF"/>
          <w:lang w:eastAsia="zh-CN"/>
          <w:highlight w:val="none"/>
        </w:rPr>
        <w:t>17.</w:t>
      </w:r>
      <w:r>
        <w:rPr>
          <w:rFonts w:eastAsia="仿宋" w:cs="Times New Roman"/>
          <w:b/>
          <w:bCs/>
          <w:color w:val="auto"/>
          <w:szCs w:val="24"/>
          <w:shd w:val="pct10" w:color="auto" w:fill="FFFFFF"/>
          <w:highlight w:val="none"/>
        </w:rPr>
        <w:t>4.1　</w:t>
      </w:r>
      <w:r>
        <w:rPr>
          <w:rFonts w:eastAsia="仿宋" w:cs="Times New Roman"/>
          <w:color w:val="auto"/>
          <w:szCs w:val="24"/>
          <w:shd w:val="pct10" w:color="auto" w:fill="FFFFFF"/>
          <w:highlight w:val="none"/>
        </w:rPr>
        <w:t>磁粉检测（Magnetic Testing，MT），是基于缺陷处漏磁场与磁粉相互作用而显示铁磁性材料表面和近表面缺陷的无损检测方法，用于检测铁磁性材料表面及近表面裂纹、折叠、夹层、夹渣等缺陷。该方法具有检测成本低、速度快、检测灵敏度高等优点。该方法只适用于铁磁性材料，工件的形状和尺寸会影响探伤效果。磁粉法</w:t>
      </w:r>
      <w:r>
        <w:rPr>
          <w:rFonts w:eastAsia="仿宋" w:cs="Times New Roman" w:hint="eastAsia"/>
          <w:color w:val="auto"/>
          <w:szCs w:val="24"/>
          <w:shd w:val="pct10" w:color="auto" w:fill="FFFFFF"/>
          <w:highlight w:val="none"/>
        </w:rPr>
        <w:t>也</w:t>
      </w:r>
      <w:r>
        <w:rPr>
          <w:rFonts w:eastAsia="仿宋" w:cs="Times New Roman"/>
          <w:color w:val="auto"/>
          <w:szCs w:val="24"/>
          <w:shd w:val="pct10" w:color="auto" w:fill="FFFFFF"/>
          <w:highlight w:val="none"/>
        </w:rPr>
        <w:t>适用于热影响区</w:t>
      </w:r>
      <w:r>
        <w:rPr>
          <w:rFonts w:eastAsia="仿宋" w:cs="Times New Roman" w:hint="eastAsia"/>
          <w:color w:val="auto"/>
          <w:szCs w:val="24"/>
          <w:shd w:val="pct10" w:color="auto" w:fill="FFFFFF"/>
          <w:highlight w:val="none"/>
        </w:rPr>
        <w:t>的</w:t>
      </w:r>
      <w:r>
        <w:rPr>
          <w:rFonts w:eastAsia="仿宋" w:cs="Times New Roman"/>
          <w:color w:val="auto"/>
          <w:szCs w:val="24"/>
          <w:shd w:val="pct10" w:color="auto" w:fill="FFFFFF"/>
          <w:highlight w:val="none"/>
        </w:rPr>
        <w:t>表面及近表面缺欠的检测。</w:t>
      </w:r>
    </w:p>
    <w:p>
      <w:pPr>
        <w:rPr>
          <w:color w:val="auto"/>
          <w:highlight w:val="none"/>
        </w:rPr>
      </w:pPr>
    </w:p>
    <w:p>
      <w:pPr>
        <w:pStyle w:val="3"/>
        <w:tabs>
          <w:tab w:val="left" w:pos="0"/>
          <w:tab w:val="left" w:pos="567"/>
          <w:tab w:val="left" w:pos="709"/>
          <w:tab w:val="left" w:pos="1560"/>
        </w:tabs>
        <w:rPr>
          <w:rFonts w:cs="Times New Roman"/>
          <w:color w:val="auto"/>
          <w:highlight w:val="none"/>
        </w:rPr>
      </w:pPr>
      <w:r>
        <w:rPr>
          <w:rFonts w:cs="Times New Roman" w:hint="eastAsia"/>
          <w:b/>
          <w:color w:val="auto"/>
          <w:lang w:eastAsia="zh-CN"/>
          <w:highlight w:val="none"/>
        </w:rPr>
        <w:t>17.</w:t>
      </w:r>
      <w:r>
        <w:rPr>
          <w:rFonts w:cs="Times New Roman"/>
          <w:b/>
          <w:color w:val="auto"/>
          <w:highlight w:val="none"/>
        </w:rPr>
        <w:t>4.2　</w:t>
      </w:r>
      <w:r>
        <w:rPr>
          <w:rFonts w:cs="Times New Roman"/>
          <w:color w:val="auto"/>
          <w:highlight w:val="none"/>
        </w:rPr>
        <w:t>磁粉检测用设备应符合现行国家标准《焊缝无损检测 磁粉检测》GB/T 26951的有关规定。检测设备宜采用电磁轭、带触头的通电设备、电磁感应设备等交流磁化设备，磁化设备应符合现行国家标准《无损检测 磁粉检测 第3部分：设备》GB/T 15822.3的有关规定。检测介质可采用干粉或磁悬液，并应符合现行国家标准《无损检测 磁粉检测 第2部分：检测介质》GB/T 15822.2的有关规定。</w:t>
      </w:r>
    </w:p>
    <w:p>
      <w:pPr>
        <w:pStyle w:val="3"/>
        <w:tabs>
          <w:tab w:val="left" w:pos="0"/>
          <w:tab w:val="left" w:pos="567"/>
          <w:tab w:val="left" w:pos="709"/>
          <w:tab w:val="left" w:pos="1560"/>
        </w:tabs>
        <w:rPr>
          <w:rFonts w:cs="Times New Roman"/>
          <w:color w:val="auto"/>
          <w:highlight w:val="none"/>
        </w:rPr>
      </w:pPr>
      <w:r>
        <w:rPr>
          <w:rFonts w:cs="Times New Roman" w:hint="eastAsia"/>
          <w:b/>
          <w:color w:val="auto"/>
          <w:lang w:eastAsia="zh-CN"/>
          <w:highlight w:val="none"/>
        </w:rPr>
        <w:t>17.</w:t>
      </w:r>
      <w:r>
        <w:rPr>
          <w:rFonts w:cs="Times New Roman"/>
          <w:b/>
          <w:color w:val="auto"/>
          <w:highlight w:val="none"/>
        </w:rPr>
        <w:t>4.3　</w:t>
      </w:r>
      <w:r>
        <w:rPr>
          <w:rFonts w:cs="Times New Roman"/>
          <w:color w:val="auto"/>
          <w:highlight w:val="none"/>
        </w:rPr>
        <w:t>磁粉检测应按行业标准《公路钢结构桥梁制造和安装施工规范》JTG/T 3651-2022第7.3.6条～第7.3.12条的规定，根据钢结构桥梁类型、部位确定质量等级、检测等级、检测比例、检测范围以及验收等级。</w:t>
      </w:r>
    </w:p>
    <w:p>
      <w:pPr>
        <w:pStyle w:val="3"/>
        <w:tabs>
          <w:tab w:val="left" w:pos="0"/>
          <w:tab w:val="left" w:pos="567"/>
          <w:tab w:val="left" w:pos="709"/>
          <w:tab w:val="left" w:pos="1560"/>
        </w:tabs>
        <w:rPr>
          <w:rFonts w:cs="Times New Roman"/>
          <w:color w:val="auto"/>
          <w:highlight w:val="none"/>
        </w:rPr>
      </w:pPr>
      <w:r>
        <w:rPr>
          <w:rFonts w:cs="Times New Roman" w:hint="eastAsia"/>
          <w:b/>
          <w:color w:val="auto"/>
          <w:lang w:eastAsia="zh-CN"/>
          <w:highlight w:val="none"/>
        </w:rPr>
        <w:t>17.</w:t>
      </w:r>
      <w:r>
        <w:rPr>
          <w:rFonts w:cs="Times New Roman"/>
          <w:b/>
          <w:color w:val="auto"/>
          <w:highlight w:val="none"/>
        </w:rPr>
        <w:t>4.4　</w:t>
      </w:r>
      <w:r>
        <w:rPr>
          <w:rFonts w:cs="Times New Roman"/>
          <w:color w:val="auto"/>
          <w:highlight w:val="none"/>
        </w:rPr>
        <w:t>磁粉检测的质量分级应符合现行国家标准《钢的弧焊接头</w:t>
      </w:r>
      <w:r>
        <w:rPr>
          <w:rFonts w:cs="Times New Roman" w:hint="eastAsia"/>
          <w:color w:val="auto"/>
          <w:highlight w:val="none"/>
        </w:rPr>
        <w:t xml:space="preserve"> </w:t>
      </w:r>
      <w:r>
        <w:rPr>
          <w:rFonts w:cs="Times New Roman"/>
          <w:color w:val="auto"/>
          <w:highlight w:val="none"/>
        </w:rPr>
        <w:t>缺陷质量分级指南》GB/T 19418的有关规定。磁粉检测等级应符合现行国家标准《焊缝无损检测 磁粉检测》GB/T 26951的有关规定。磁粉检测验收等级应符合现行国家标准《焊缝无损检测 焊缝磁粉检测</w:t>
      </w:r>
      <w:r>
        <w:rPr>
          <w:rFonts w:cs="Times New Roman" w:hint="eastAsia"/>
          <w:color w:val="auto"/>
          <w:highlight w:val="none"/>
        </w:rPr>
        <w:t xml:space="preserve"> </w:t>
      </w:r>
      <w:r>
        <w:rPr>
          <w:rFonts w:cs="Times New Roman"/>
          <w:color w:val="auto"/>
          <w:highlight w:val="none"/>
        </w:rPr>
        <w:t>验收等级》GB/T 26952的有关规定。</w:t>
      </w:r>
    </w:p>
    <w:p>
      <w:pPr>
        <w:pStyle w:val="2"/>
        <w:tabs>
          <w:tab w:val="left" w:pos="0"/>
        </w:tabs>
        <w:rPr>
          <w:rFonts w:ascii="Times New Roman" w:cs="Times New Roman" w:hAnsi="Times New Roman"/>
          <w:color w:val="auto"/>
          <w:highlight w:val="none"/>
        </w:rPr>
      </w:pPr>
      <w:bookmarkStart w:id="479" w:name="_Toc12143"/>
      <w:bookmarkStart w:id="480" w:name="_Toc16263"/>
      <w:bookmarkStart w:id="481" w:name="_Toc16394"/>
      <w:bookmarkStart w:id="482" w:name="_Toc20581"/>
      <w:r>
        <w:rPr>
          <w:rFonts w:ascii="Times New Roman" w:cs="Times New Roman" w:hAnsi="Times New Roman" w:hint="eastAsia"/>
          <w:color w:val="auto"/>
          <w:lang w:eastAsia="zh-CN"/>
          <w:highlight w:val="none"/>
        </w:rPr>
        <w:t>17.</w:t>
      </w:r>
      <w:r>
        <w:rPr>
          <w:rFonts w:ascii="Times New Roman" w:cs="Times New Roman" w:hAnsi="Times New Roman"/>
          <w:color w:val="auto"/>
          <w:highlight w:val="none"/>
        </w:rPr>
        <w:t>5　渗透法</w:t>
      </w:r>
      <w:bookmarkEnd w:id="479"/>
      <w:bookmarkEnd w:id="480"/>
      <w:bookmarkEnd w:id="481"/>
      <w:bookmarkEnd w:id="482"/>
    </w:p>
    <w:p>
      <w:pPr>
        <w:pStyle w:val="3"/>
        <w:tabs>
          <w:tab w:val="left" w:pos="0"/>
          <w:tab w:val="left" w:pos="567"/>
          <w:tab w:val="left" w:pos="709"/>
          <w:tab w:val="left" w:pos="1560"/>
        </w:tabs>
        <w:rPr>
          <w:rFonts w:cs="Times New Roman"/>
          <w:color w:val="auto"/>
          <w:highlight w:val="none"/>
        </w:rPr>
      </w:pPr>
      <w:r>
        <w:rPr>
          <w:rFonts w:cs="Times New Roman" w:hint="eastAsia"/>
          <w:b/>
          <w:color w:val="auto"/>
          <w:lang w:eastAsia="zh-CN"/>
          <w:highlight w:val="none"/>
        </w:rPr>
        <w:t>17.</w:t>
      </w:r>
      <w:r>
        <w:rPr>
          <w:rFonts w:cs="Times New Roman"/>
          <w:b/>
          <w:color w:val="auto"/>
          <w:highlight w:val="none"/>
        </w:rPr>
        <w:t>5.1　</w:t>
      </w:r>
      <w:r>
        <w:rPr>
          <w:rFonts w:cs="Times New Roman"/>
          <w:color w:val="auto"/>
          <w:highlight w:val="none"/>
        </w:rPr>
        <w:t>渗透法</w:t>
      </w:r>
      <w:r>
        <w:rPr>
          <w:rFonts w:cs="Times New Roman" w:hint="eastAsia"/>
          <w:color w:val="auto"/>
          <w:highlight w:val="none"/>
        </w:rPr>
        <w:t>可</w:t>
      </w:r>
      <w:r>
        <w:rPr>
          <w:rFonts w:cs="Times New Roman"/>
          <w:color w:val="auto"/>
          <w:highlight w:val="none"/>
        </w:rPr>
        <w:t>用于焊缝（包括热影响区）表面缺欠的检测。</w:t>
      </w:r>
    </w:p>
    <w:p>
      <w:pPr>
        <w:ind w:firstLineChars="0" w:firstLine="0"/>
        <w:rPr>
          <w:rFonts w:cs="Times New Roman"/>
          <w:b/>
          <w:bCs/>
          <w:color w:val="auto"/>
          <w:szCs w:val="32"/>
          <w:highlight w:val="none"/>
        </w:rPr>
      </w:pPr>
      <w:r>
        <w:rPr>
          <w:rFonts w:eastAsia="仿宋" w:cs="Times New Roman" w:hint="eastAsia"/>
          <w:b/>
          <w:bCs/>
          <w:color w:val="auto"/>
          <w:szCs w:val="24"/>
          <w:shd w:val="clear" w:color="FFFFFF" w:fill="D9D9D9"/>
          <w:highlight w:val="none"/>
        </w:rPr>
        <w:t>条文说明</w:t>
      </w:r>
      <w:r>
        <w:rPr>
          <w:rFonts w:eastAsia="仿宋" w:cs="Times New Roman" w:hint="eastAsia"/>
          <w:b/>
          <w:bCs/>
          <w:color w:val="auto"/>
          <w:szCs w:val="24"/>
          <w:shd w:val="pct10" w:color="auto" w:fill="FFFFFF"/>
          <w:lang w:eastAsia="zh-CN"/>
          <w:highlight w:val="none"/>
        </w:rPr>
        <w:t>17.</w:t>
      </w:r>
      <w:r>
        <w:rPr>
          <w:rFonts w:eastAsia="仿宋" w:cs="Times New Roman"/>
          <w:b/>
          <w:bCs/>
          <w:color w:val="auto"/>
          <w:szCs w:val="24"/>
          <w:shd w:val="pct10" w:color="auto" w:fill="FFFFFF"/>
          <w:highlight w:val="none"/>
        </w:rPr>
        <w:t>5.1　</w:t>
      </w:r>
      <w:r>
        <w:rPr>
          <w:rFonts w:eastAsia="仿宋" w:cs="Times New Roman"/>
          <w:color w:val="auto"/>
          <w:szCs w:val="24"/>
          <w:shd w:val="pct10" w:color="auto" w:fill="FFFFFF"/>
          <w:highlight w:val="none"/>
        </w:rPr>
        <w:t>渗透检测（PenetrantTest，PT），可有效用于除疏松多孔性材料外的任何种类的材料，如钢铁、有色金属、陶瓷和塑料等材料的表面开口缺陷。该方法操作简单、成本低，缺陷显示直观，检测灵敏度高，可检测的材料和缺陷范围广。</w:t>
      </w:r>
    </w:p>
    <w:p>
      <w:pPr>
        <w:rPr>
          <w:color w:val="auto"/>
          <w:highlight w:val="none"/>
        </w:rPr>
      </w:pPr>
    </w:p>
    <w:p>
      <w:pPr>
        <w:pStyle w:val="3"/>
        <w:tabs>
          <w:tab w:val="left" w:pos="0"/>
          <w:tab w:val="left" w:pos="567"/>
          <w:tab w:val="left" w:pos="709"/>
          <w:tab w:val="left" w:pos="1560"/>
        </w:tabs>
        <w:rPr>
          <w:rFonts w:cs="Times New Roman"/>
          <w:color w:val="auto"/>
          <w:highlight w:val="none"/>
        </w:rPr>
      </w:pPr>
      <w:r>
        <w:rPr>
          <w:rFonts w:cs="Times New Roman" w:hint="eastAsia"/>
          <w:b/>
          <w:color w:val="auto"/>
          <w:highlight w:val="none"/>
        </w:rPr>
        <w:t>17.</w:t>
      </w:r>
      <w:r>
        <w:rPr>
          <w:rFonts w:cs="Times New Roman"/>
          <w:b/>
          <w:color w:val="auto"/>
          <w:highlight w:val="none"/>
        </w:rPr>
        <w:t>5.</w:t>
      </w:r>
      <w:r>
        <w:rPr>
          <w:rFonts w:cs="Times New Roman" w:hint="eastAsia"/>
          <w:b/>
          <w:color w:val="auto"/>
          <w:highlight w:val="none"/>
        </w:rPr>
        <w:t>2</w:t>
      </w:r>
      <w:r>
        <w:rPr>
          <w:rFonts w:cs="Times New Roman"/>
          <w:b/>
          <w:color w:val="auto"/>
          <w:highlight w:val="none"/>
        </w:rPr>
        <w:t>　</w:t>
      </w:r>
      <w:r>
        <w:rPr>
          <w:rFonts w:cs="Times New Roman"/>
          <w:color w:val="auto"/>
          <w:highlight w:val="none"/>
        </w:rPr>
        <w:t>渗透</w:t>
      </w:r>
      <w:r>
        <w:rPr>
          <w:rFonts w:cs="Times New Roman" w:hint="eastAsia"/>
          <w:color w:val="auto"/>
          <w:highlight w:val="none"/>
        </w:rPr>
        <w:t>法的检测部位和数量要求，</w:t>
      </w:r>
      <w:r>
        <w:rPr>
          <w:rFonts w:cs="Times New Roman"/>
          <w:color w:val="auto"/>
          <w:highlight w:val="none"/>
        </w:rPr>
        <w:t>应</w:t>
      </w:r>
      <w:r>
        <w:rPr>
          <w:rFonts w:cs="Times New Roman" w:hint="eastAsia"/>
          <w:color w:val="auto"/>
          <w:highlight w:val="none"/>
        </w:rPr>
        <w:t>符合现行</w:t>
      </w:r>
      <w:r>
        <w:rPr>
          <w:rFonts w:cs="Times New Roman"/>
          <w:color w:val="auto"/>
          <w:highlight w:val="none"/>
        </w:rPr>
        <w:t>行业标准《公路钢结构桥梁制造和安装施工规范》JTG/T 3651-2022第7.3.6条～第7.3.12条</w:t>
      </w:r>
      <w:r>
        <w:rPr>
          <w:rFonts w:cs="Times New Roman" w:hint="eastAsia"/>
          <w:color w:val="auto"/>
          <w:highlight w:val="none"/>
        </w:rPr>
        <w:t>中关于磁粉法的</w:t>
      </w:r>
      <w:r>
        <w:rPr>
          <w:rFonts w:cs="Times New Roman" w:hint="eastAsia"/>
          <w:color w:val="auto"/>
          <w:lang w:val="en-US" w:eastAsia="zh-CN"/>
          <w:highlight w:val="none"/>
        </w:rPr>
        <w:t>有</w:t>
      </w:r>
      <w:r>
        <w:rPr>
          <w:rFonts w:cs="Times New Roman" w:hint="eastAsia"/>
          <w:color w:val="auto"/>
          <w:highlight w:val="none"/>
        </w:rPr>
        <w:t>关规定</w:t>
      </w:r>
      <w:r>
        <w:rPr>
          <w:rFonts w:cs="Times New Roman"/>
          <w:color w:val="auto"/>
          <w:highlight w:val="none"/>
        </w:rPr>
        <w:t>。</w:t>
      </w:r>
    </w:p>
    <w:p>
      <w:pPr>
        <w:ind w:firstLineChars="0" w:firstLine="0"/>
        <w:rPr>
          <w:rFonts w:eastAsia="仿宋" w:cs="Times New Roman"/>
          <w:color w:val="auto"/>
          <w:szCs w:val="24"/>
          <w:shd w:val="pct10" w:color="auto" w:fill="FFFFFF"/>
          <w:highlight w:val="none"/>
        </w:rPr>
      </w:pPr>
      <w:r>
        <w:rPr>
          <w:rFonts w:eastAsia="仿宋" w:cs="Times New Roman"/>
          <w:b/>
          <w:bCs/>
          <w:color w:val="auto"/>
          <w:szCs w:val="24"/>
          <w:shd w:val="pct10" w:color="auto" w:fill="FFFFFF"/>
          <w:highlight w:val="none"/>
        </w:rPr>
        <w:t>条文说明17.</w:t>
      </w:r>
      <w:r>
        <w:rPr>
          <w:rFonts w:eastAsia="仿宋" w:cs="Times New Roman"/>
          <w:b/>
          <w:bCs/>
          <w:color w:val="auto"/>
          <w:szCs w:val="24"/>
          <w:shd w:val="pct10" w:color="auto" w:fill="FFFFFF"/>
          <w:highlight w:val="none"/>
        </w:rPr>
        <w:t>5.</w:t>
      </w:r>
      <w:r>
        <w:rPr>
          <w:rFonts w:eastAsia="仿宋" w:cs="Times New Roman"/>
          <w:b/>
          <w:bCs/>
          <w:color w:val="auto"/>
          <w:szCs w:val="24"/>
          <w:shd w:val="pct10" w:color="auto" w:fill="FFFFFF"/>
          <w:highlight w:val="none"/>
        </w:rPr>
        <w:t>2</w:t>
      </w:r>
      <w:r>
        <w:rPr>
          <w:rFonts w:eastAsia="仿宋" w:cs="Times New Roman"/>
          <w:b/>
          <w:bCs/>
          <w:color w:val="auto"/>
          <w:szCs w:val="24"/>
          <w:shd w:val="pct10" w:color="auto" w:fill="FFFFFF"/>
          <w:highlight w:val="none"/>
        </w:rPr>
        <w:t>　</w:t>
      </w:r>
      <w:r>
        <w:rPr>
          <w:rFonts w:eastAsia="仿宋" w:cs="Times New Roman"/>
          <w:color w:val="auto"/>
          <w:szCs w:val="24"/>
          <w:shd w:val="pct10" w:color="auto" w:fill="FFFFFF"/>
          <w:highlight w:val="none"/>
        </w:rPr>
        <w:t>渗透</w:t>
      </w:r>
      <w:r>
        <w:rPr>
          <w:rFonts w:eastAsia="仿宋" w:cs="Times New Roman"/>
          <w:color w:val="auto"/>
          <w:szCs w:val="24"/>
          <w:shd w:val="pct10" w:color="auto" w:fill="FFFFFF"/>
          <w:highlight w:val="none"/>
        </w:rPr>
        <w:t>法与磁粉法均为检测焊缝表面缺欠的方法，现行</w:t>
      </w:r>
      <w:r>
        <w:rPr>
          <w:rFonts w:eastAsia="仿宋" w:cs="Times New Roman"/>
          <w:color w:val="auto"/>
          <w:szCs w:val="24"/>
          <w:shd w:val="pct10" w:color="auto" w:fill="FFFFFF"/>
          <w:highlight w:val="none"/>
        </w:rPr>
        <w:t>行业标准《公路钢结构桥梁制造和安装施工规范》JTG/T 3651-2022第7.3.6条～第7.3.12条</w:t>
      </w:r>
      <w:r>
        <w:rPr>
          <w:rFonts w:eastAsia="仿宋" w:cs="Times New Roman"/>
          <w:color w:val="auto"/>
          <w:szCs w:val="24"/>
          <w:shd w:val="pct10" w:color="auto" w:fill="FFFFFF"/>
          <w:highlight w:val="none"/>
        </w:rPr>
        <w:t>中关于磁粉法检测部位和数量要求，适用于</w:t>
      </w:r>
      <w:r>
        <w:rPr>
          <w:rFonts w:eastAsia="仿宋" w:cs="Times New Roman"/>
          <w:color w:val="auto"/>
          <w:szCs w:val="24"/>
          <w:shd w:val="pct10" w:color="auto" w:fill="FFFFFF"/>
          <w:highlight w:val="none"/>
        </w:rPr>
        <w:t>渗透</w:t>
      </w:r>
      <w:r>
        <w:rPr>
          <w:rFonts w:eastAsia="仿宋" w:cs="Times New Roman"/>
          <w:color w:val="auto"/>
          <w:szCs w:val="24"/>
          <w:shd w:val="pct10" w:color="auto" w:fill="FFFFFF"/>
          <w:highlight w:val="none"/>
        </w:rPr>
        <w:t>法。</w:t>
      </w:r>
    </w:p>
    <w:p>
      <w:pPr>
        <w:pStyle w:val="3"/>
        <w:tabs>
          <w:tab w:val="left" w:pos="0"/>
          <w:tab w:val="left" w:pos="567"/>
          <w:tab w:val="left" w:pos="709"/>
          <w:tab w:val="left" w:pos="1560"/>
        </w:tabs>
        <w:rPr>
          <w:rFonts w:cs="Times New Roman"/>
          <w:color w:val="auto"/>
          <w:highlight w:val="none"/>
        </w:rPr>
      </w:pPr>
      <w:r>
        <w:rPr>
          <w:rFonts w:cs="Times New Roman" w:hint="eastAsia"/>
          <w:b/>
          <w:color w:val="auto"/>
          <w:lang w:eastAsia="zh-CN"/>
          <w:highlight w:val="none"/>
        </w:rPr>
        <w:t>17.</w:t>
      </w:r>
      <w:r>
        <w:rPr>
          <w:rFonts w:cs="Times New Roman"/>
          <w:b/>
          <w:color w:val="auto"/>
          <w:highlight w:val="none"/>
        </w:rPr>
        <w:t>5.3　</w:t>
      </w:r>
      <w:r>
        <w:rPr>
          <w:rFonts w:cs="Times New Roman"/>
          <w:color w:val="auto"/>
          <w:highlight w:val="none"/>
        </w:rPr>
        <w:t>渗透检测方法应符合现行国家标准《无损检测 渗透检测 第1部分：总则》GB/T 18851.1、《无损检测 渗透检测 第2部分：渗透材料的检验》GB/T 18851.2、《无损检测 渗透检测 第3部分：参考试块》GB/T 18851.3、《无损检测 渗透检测</w:t>
      </w:r>
      <w:r>
        <w:rPr>
          <w:rFonts w:cs="Times New Roman" w:hint="eastAsia"/>
          <w:color w:val="auto"/>
          <w:highlight w:val="none"/>
        </w:rPr>
        <w:t xml:space="preserve"> </w:t>
      </w:r>
      <w:r>
        <w:rPr>
          <w:rFonts w:cs="Times New Roman"/>
          <w:color w:val="auto"/>
          <w:highlight w:val="none"/>
        </w:rPr>
        <w:t>第4部分：设备》GB/T 18851.4、《无损检测 渗透检测 第5部分：温度高于50℃的渗透检测》GB/T 18851.5、《无损检测 渗透检测 第6部分：温度低于10℃的渗透检测》GB/T 18851.6的有关规定。</w:t>
      </w:r>
    </w:p>
    <w:p>
      <w:pPr>
        <w:pStyle w:val="3"/>
        <w:tabs>
          <w:tab w:val="left" w:pos="0"/>
          <w:tab w:val="left" w:pos="567"/>
          <w:tab w:val="left" w:pos="709"/>
          <w:tab w:val="left" w:pos="1560"/>
        </w:tabs>
        <w:rPr>
          <w:rFonts w:cs="Times New Roman"/>
          <w:color w:val="auto"/>
          <w:highlight w:val="none"/>
        </w:rPr>
      </w:pPr>
      <w:r>
        <w:rPr>
          <w:rFonts w:cs="Times New Roman" w:hint="eastAsia"/>
          <w:b/>
          <w:color w:val="auto"/>
          <w:lang w:eastAsia="zh-CN"/>
          <w:highlight w:val="none"/>
        </w:rPr>
        <w:t>17.</w:t>
      </w:r>
      <w:r>
        <w:rPr>
          <w:rFonts w:cs="Times New Roman"/>
          <w:b/>
          <w:color w:val="auto"/>
          <w:highlight w:val="none"/>
        </w:rPr>
        <w:t>5.4　</w:t>
      </w:r>
      <w:r>
        <w:rPr>
          <w:rFonts w:cs="Times New Roman"/>
          <w:color w:val="auto"/>
          <w:highlight w:val="none"/>
        </w:rPr>
        <w:t>渗透检测的验收等级应符合现行国家标准《焊缝无损检测 焊缝渗透检测验收等级》GB/T 26953的有关规定，验收等级不应低于2X级。</w:t>
      </w:r>
    </w:p>
    <w:p>
      <w:pPr>
        <w:pStyle w:val="2"/>
        <w:tabs>
          <w:tab w:val="left" w:pos="0"/>
        </w:tabs>
        <w:rPr>
          <w:rFonts w:ascii="Times New Roman" w:cs="Times New Roman" w:hAnsi="Times New Roman"/>
          <w:color w:val="auto"/>
          <w:highlight w:val="none"/>
        </w:rPr>
      </w:pPr>
      <w:bookmarkStart w:id="483" w:name="_Toc20806"/>
      <w:bookmarkStart w:id="484" w:name="_Toc8266"/>
      <w:bookmarkStart w:id="485" w:name="_Toc28985"/>
      <w:bookmarkStart w:id="486" w:name="_Toc13444"/>
      <w:r>
        <w:rPr>
          <w:rFonts w:ascii="Times New Roman" w:cs="Times New Roman" w:hAnsi="Times New Roman" w:hint="eastAsia"/>
          <w:color w:val="auto"/>
          <w:lang w:eastAsia="zh-CN"/>
          <w:highlight w:val="none"/>
        </w:rPr>
        <w:t>17.</w:t>
      </w:r>
      <w:r>
        <w:rPr>
          <w:rFonts w:ascii="Times New Roman" w:cs="Times New Roman" w:hAnsi="Times New Roman"/>
          <w:color w:val="auto"/>
          <w:highlight w:val="none"/>
        </w:rPr>
        <w:t>6　相控阵法</w:t>
      </w:r>
      <w:bookmarkEnd w:id="483"/>
      <w:bookmarkEnd w:id="484"/>
      <w:bookmarkEnd w:id="485"/>
      <w:bookmarkEnd w:id="486"/>
    </w:p>
    <w:p>
      <w:pPr>
        <w:pStyle w:val="3"/>
        <w:tabs>
          <w:tab w:val="left" w:pos="0"/>
          <w:tab w:val="left" w:pos="567"/>
          <w:tab w:val="left" w:pos="709"/>
          <w:tab w:val="left" w:pos="1560"/>
        </w:tabs>
        <w:rPr>
          <w:rFonts w:cs="Times New Roman"/>
          <w:color w:val="auto"/>
          <w:highlight w:val="none"/>
        </w:rPr>
      </w:pPr>
      <w:r>
        <w:rPr>
          <w:rFonts w:cs="Times New Roman" w:hint="eastAsia"/>
          <w:b/>
          <w:color w:val="auto"/>
          <w:lang w:eastAsia="zh-CN"/>
          <w:highlight w:val="none"/>
        </w:rPr>
        <w:t>17.</w:t>
      </w:r>
      <w:r>
        <w:rPr>
          <w:rFonts w:cs="Times New Roman"/>
          <w:b/>
          <w:color w:val="auto"/>
          <w:highlight w:val="none"/>
        </w:rPr>
        <w:t>6.1　</w:t>
      </w:r>
      <w:r>
        <w:rPr>
          <w:rFonts w:cs="Times New Roman"/>
          <w:color w:val="auto"/>
          <w:highlight w:val="none"/>
        </w:rPr>
        <w:t>相控阵法</w:t>
      </w:r>
      <w:r>
        <w:rPr>
          <w:rFonts w:cs="Times New Roman" w:hint="eastAsia"/>
          <w:color w:val="auto"/>
          <w:highlight w:val="none"/>
        </w:rPr>
        <w:t>可</w:t>
      </w:r>
      <w:r>
        <w:rPr>
          <w:rFonts w:cs="Times New Roman"/>
          <w:color w:val="auto"/>
          <w:highlight w:val="none"/>
        </w:rPr>
        <w:t>用于钢结构U肋与面板T型接头单面非熔透焊、双面非熔透焊焊缝熔深和内部非熔深缺陷的相控阵超声检测。</w:t>
      </w:r>
    </w:p>
    <w:p>
      <w:pPr>
        <w:pStyle w:val="38"/>
        <w:ind w:firstLineChars="0" w:firstLine="0"/>
        <w:rPr>
          <w:rFonts w:eastAsia="仿宋" w:cs="Times New Roman"/>
          <w:color w:val="auto"/>
          <w:szCs w:val="24"/>
          <w:shd w:val="pct10" w:color="auto" w:fill="FFFFFF"/>
          <w:highlight w:val="none"/>
        </w:rPr>
      </w:pPr>
      <w:r>
        <w:rPr>
          <w:rFonts w:eastAsia="仿宋" w:cs="Times New Roman" w:hint="eastAsia"/>
          <w:b/>
          <w:bCs/>
          <w:color w:val="auto"/>
          <w:szCs w:val="24"/>
          <w:shd w:val="clear" w:color="FFFFFF" w:fill="D9D9D9"/>
          <w:highlight w:val="none"/>
        </w:rPr>
        <w:t>条文说明</w:t>
      </w:r>
      <w:r>
        <w:rPr>
          <w:rFonts w:eastAsia="仿宋" w:cs="Times New Roman" w:hint="eastAsia"/>
          <w:b/>
          <w:bCs/>
          <w:color w:val="auto"/>
          <w:szCs w:val="24"/>
          <w:shd w:val="pct10" w:color="auto" w:fill="FFFFFF"/>
          <w:lang w:eastAsia="zh-CN"/>
          <w:highlight w:val="none"/>
        </w:rPr>
        <w:t>17.</w:t>
      </w:r>
      <w:r>
        <w:rPr>
          <w:rFonts w:eastAsia="仿宋" w:cs="Times New Roman"/>
          <w:b/>
          <w:bCs/>
          <w:color w:val="auto"/>
          <w:szCs w:val="24"/>
          <w:shd w:val="pct10" w:color="auto" w:fill="FFFFFF"/>
          <w:highlight w:val="none"/>
        </w:rPr>
        <w:t>6.1　</w:t>
      </w:r>
      <w:r>
        <w:rPr>
          <w:rFonts w:eastAsia="仿宋" w:cs="Times New Roman"/>
          <w:color w:val="auto"/>
          <w:szCs w:val="24"/>
          <w:shd w:val="pct10" w:color="auto" w:fill="FFFFFF"/>
          <w:highlight w:val="none"/>
        </w:rPr>
        <w:t>随着计算机技术的发展，应用计算机辅助超声波成像技术，可直观地了解缺陷在工作中的存在状态。相控阵超声检测技术容易检出各种走向、不同位置的缺陷，缺陷检出率高，定量、定位精度高，主要应用于对接焊缝、T型对接焊缝、异型构件的焊缝。相控阵超声检测与超声波检测方法对比具有以下特点：</w:t>
      </w:r>
    </w:p>
    <w:p>
      <w:pPr>
        <w:pStyle w:val="19"/>
        <w:rPr>
          <w:color w:val="auto"/>
          <w:shd w:val="clear" w:color="FFFFFF" w:fill="D9D9D9"/>
          <w:highlight w:val="none"/>
        </w:rPr>
      </w:pPr>
      <w:r>
        <w:rPr>
          <w:color w:val="auto"/>
          <w:shd w:val="clear" w:color="FFFFFF" w:fill="D9D9D9"/>
          <w:lang w:val="en-US"/>
          <w:highlight w:val="none"/>
        </w:rPr>
        <w:t>1　</w:t>
      </w:r>
      <w:r>
        <w:rPr>
          <w:color w:val="auto"/>
          <w:shd w:val="clear" w:color="FFFFFF" w:fill="D9D9D9"/>
          <w:highlight w:val="none"/>
        </w:rPr>
        <w:t>采用电子方法控制声束聚焦和扫描，检测速度成倍提高；</w:t>
      </w:r>
    </w:p>
    <w:p>
      <w:pPr>
        <w:pStyle w:val="19"/>
        <w:rPr>
          <w:color w:val="auto"/>
          <w:shd w:val="clear" w:color="FFFFFF" w:fill="D9D9D9"/>
          <w:highlight w:val="none"/>
        </w:rPr>
      </w:pPr>
      <w:r>
        <w:rPr>
          <w:color w:val="auto"/>
          <w:shd w:val="clear" w:color="FFFFFF" w:fill="D9D9D9"/>
          <w:lang w:val="en-US"/>
          <w:highlight w:val="none"/>
        </w:rPr>
        <w:t>2　</w:t>
      </w:r>
      <w:r>
        <w:rPr>
          <w:color w:val="auto"/>
          <w:shd w:val="clear" w:color="FFFFFF" w:fill="D9D9D9"/>
          <w:highlight w:val="none"/>
        </w:rPr>
        <w:t>具有良好的声束可达性，能对复杂几何形状的工件进行探查；</w:t>
      </w:r>
    </w:p>
    <w:p>
      <w:pPr>
        <w:pStyle w:val="19"/>
        <w:rPr>
          <w:color w:val="auto"/>
          <w:shd w:val="clear" w:color="FFFFFF" w:fill="D9D9D9"/>
          <w:highlight w:val="none"/>
        </w:rPr>
      </w:pPr>
      <w:r>
        <w:rPr>
          <w:color w:val="auto"/>
          <w:shd w:val="clear" w:color="FFFFFF" w:fill="D9D9D9"/>
          <w:lang w:val="en-US"/>
          <w:highlight w:val="none"/>
        </w:rPr>
        <w:t>3　</w:t>
      </w:r>
      <w:r>
        <w:rPr>
          <w:color w:val="auto"/>
          <w:shd w:val="clear" w:color="FFFFFF" w:fill="D9D9D9"/>
          <w:highlight w:val="none"/>
        </w:rPr>
        <w:t>通过优化控制焦点尺寸、焦区深度和声束方向，可使检测分辨力、信噪灵敏度等性能得到提高；</w:t>
      </w:r>
    </w:p>
    <w:p>
      <w:pPr>
        <w:pStyle w:val="19"/>
        <w:rPr>
          <w:color w:val="auto"/>
          <w:shd w:val="clear" w:color="FFFFFF" w:fill="D9D9D9"/>
          <w:highlight w:val="none"/>
        </w:rPr>
      </w:pPr>
      <w:r>
        <w:rPr>
          <w:color w:val="auto"/>
          <w:shd w:val="clear" w:color="FFFFFF" w:fill="D9D9D9"/>
          <w:lang w:val="en-US"/>
          <w:highlight w:val="none"/>
        </w:rPr>
        <w:t>4　</w:t>
      </w:r>
      <w:r>
        <w:rPr>
          <w:color w:val="auto"/>
          <w:shd w:val="clear" w:color="FFFFFF" w:fill="D9D9D9"/>
          <w:highlight w:val="none"/>
        </w:rPr>
        <w:t>检测过程可同步显示A、B、S、C、D、P、3D扫描数据，数据以电子文件格式存储，操作灵活简便。</w:t>
      </w:r>
    </w:p>
    <w:p>
      <w:pPr>
        <w:rPr>
          <w:color w:val="auto"/>
          <w:highlight w:val="none"/>
        </w:rPr>
      </w:pPr>
    </w:p>
    <w:p>
      <w:pPr>
        <w:pStyle w:val="3"/>
        <w:tabs>
          <w:tab w:val="left" w:pos="0"/>
          <w:tab w:val="left" w:pos="567"/>
          <w:tab w:val="left" w:pos="709"/>
          <w:tab w:val="left" w:pos="1560"/>
        </w:tabs>
        <w:rPr>
          <w:rFonts w:cs="Times New Roman"/>
          <w:color w:val="auto"/>
          <w:highlight w:val="none"/>
        </w:rPr>
      </w:pPr>
      <w:r>
        <w:rPr>
          <w:rFonts w:cs="Times New Roman" w:hint="eastAsia"/>
          <w:b/>
          <w:color w:val="auto"/>
          <w:lang w:eastAsia="zh-CN"/>
          <w:highlight w:val="none"/>
        </w:rPr>
        <w:t>17.</w:t>
      </w:r>
      <w:r>
        <w:rPr>
          <w:rFonts w:cs="Times New Roman"/>
          <w:b/>
          <w:color w:val="auto"/>
          <w:highlight w:val="none"/>
        </w:rPr>
        <w:t>6.2　</w:t>
      </w:r>
      <w:r>
        <w:rPr>
          <w:rFonts w:cs="Times New Roman"/>
          <w:color w:val="auto"/>
          <w:highlight w:val="none"/>
        </w:rPr>
        <w:t>相控阵超声检测设备相控阵超声仪、相控阵探头、软件及仪器校准要求应符合现行国家标准《无损检测</w:t>
      </w:r>
      <w:r>
        <w:rPr>
          <w:rFonts w:cs="Times New Roman" w:hint="eastAsia"/>
          <w:color w:val="auto"/>
          <w:highlight w:val="none"/>
        </w:rPr>
        <w:t xml:space="preserve"> </w:t>
      </w:r>
      <w:r>
        <w:rPr>
          <w:rFonts w:cs="Times New Roman"/>
          <w:color w:val="auto"/>
          <w:highlight w:val="none"/>
        </w:rPr>
        <w:t>超声检测</w:t>
      </w:r>
      <w:r>
        <w:rPr>
          <w:rFonts w:cs="Times New Roman" w:hint="eastAsia"/>
          <w:color w:val="auto"/>
          <w:highlight w:val="none"/>
        </w:rPr>
        <w:t xml:space="preserve"> </w:t>
      </w:r>
      <w:r>
        <w:rPr>
          <w:rFonts w:cs="Times New Roman"/>
          <w:color w:val="auto"/>
          <w:highlight w:val="none"/>
        </w:rPr>
        <w:t>相控阵超声检测方法》GB/T 32563的有关规定。相控阵探头尚应符合下列规定：</w:t>
      </w:r>
    </w:p>
    <w:p>
      <w:pPr>
        <w:rPr>
          <w:rFonts w:cs="Times New Roman"/>
          <w:color w:val="auto"/>
          <w:highlight w:val="none"/>
        </w:rPr>
      </w:pPr>
      <w:r>
        <w:rPr>
          <w:rFonts w:cs="Times New Roman"/>
          <w:b/>
          <w:color w:val="auto"/>
          <w:highlight w:val="none"/>
        </w:rPr>
        <w:t>1</w:t>
      </w:r>
      <w:r>
        <w:rPr>
          <w:rFonts w:cs="Times New Roman"/>
          <w:color w:val="auto"/>
          <w:highlight w:val="none"/>
        </w:rPr>
        <w:t>　线阵探头中心频率范围可采用4MHz～10MHz，阵元数不</w:t>
      </w:r>
      <w:r>
        <w:rPr>
          <w:rFonts w:cs="Times New Roman" w:hint="eastAsia"/>
          <w:color w:val="auto"/>
          <w:highlight w:val="none"/>
        </w:rPr>
        <w:t>应</w:t>
      </w:r>
      <w:r>
        <w:rPr>
          <w:rFonts w:cs="Times New Roman"/>
          <w:color w:val="auto"/>
          <w:highlight w:val="none"/>
        </w:rPr>
        <w:t>少于16个</w:t>
      </w:r>
      <w:r>
        <w:rPr>
          <w:rFonts w:cs="Times New Roman" w:hint="eastAsia"/>
          <w:color w:val="auto"/>
          <w:highlight w:val="none"/>
        </w:rPr>
        <w:t>；</w:t>
      </w:r>
    </w:p>
    <w:p>
      <w:pPr>
        <w:rPr>
          <w:rFonts w:eastAsia="宋体" w:cs="Times New Roman" w:hint="eastAsia"/>
          <w:color w:val="auto"/>
          <w:lang w:eastAsia="zh-CN"/>
          <w:highlight w:val="none"/>
        </w:rPr>
      </w:pPr>
      <w:r>
        <w:rPr>
          <w:rFonts w:cs="Times New Roman"/>
          <w:b/>
          <w:color w:val="auto"/>
          <w:highlight w:val="none"/>
        </w:rPr>
        <w:t>2</w:t>
      </w:r>
      <w:r>
        <w:rPr>
          <w:rFonts w:cs="Times New Roman"/>
          <w:color w:val="auto"/>
          <w:highlight w:val="none"/>
        </w:rPr>
        <w:t>　使用折射楔块辅助声束调向，楔块自然入射角的选定范围宜为0°～60°</w:t>
      </w:r>
      <w:r>
        <w:rPr>
          <w:rFonts w:cs="Times New Roman" w:hint="eastAsia"/>
          <w:color w:val="auto"/>
          <w:lang w:eastAsia="zh-CN"/>
          <w:highlight w:val="none"/>
        </w:rPr>
        <w:t>；</w:t>
      </w:r>
    </w:p>
    <w:p>
      <w:pPr>
        <w:rPr>
          <w:rFonts w:cs="Times New Roman"/>
          <w:color w:val="auto"/>
          <w:highlight w:val="none"/>
        </w:rPr>
      </w:pPr>
      <w:r>
        <w:rPr>
          <w:rFonts w:cs="Times New Roman"/>
          <w:b/>
          <w:color w:val="auto"/>
          <w:highlight w:val="none"/>
        </w:rPr>
        <w:t>3</w:t>
      </w:r>
      <w:r>
        <w:rPr>
          <w:rFonts w:cs="Times New Roman"/>
          <w:color w:val="auto"/>
          <w:highlight w:val="none"/>
        </w:rPr>
        <w:t>　超声波相控阵探头应在首次使用前进行有效晶片评估。灵敏度校准过程增益异常或检测过程中扇形扫描异常时，应进行有效晶片评估。当晶片失效数量达到所使用晶片数量的10%或相邻两个晶片同时失效时，应更换探头。相控阵探头有效晶片评估方法应符合现行国家标准《无损检测仪器 相控阵超声检测系统的性能与检验》GB/T</w:t>
      </w:r>
      <w:r>
        <w:rPr>
          <w:rFonts w:cs="Times New Roman" w:hint="eastAsia"/>
          <w:color w:val="auto"/>
          <w:highlight w:val="none"/>
        </w:rPr>
        <w:t xml:space="preserve"> </w:t>
      </w:r>
      <w:r>
        <w:rPr>
          <w:rFonts w:cs="Times New Roman"/>
          <w:color w:val="auto"/>
          <w:highlight w:val="none"/>
        </w:rPr>
        <w:t>29302的有关规定。</w:t>
      </w:r>
    </w:p>
    <w:p>
      <w:pPr>
        <w:pStyle w:val="3"/>
        <w:tabs>
          <w:tab w:val="left" w:pos="0"/>
          <w:tab w:val="left" w:pos="567"/>
          <w:tab w:val="left" w:pos="709"/>
          <w:tab w:val="left" w:pos="1560"/>
        </w:tabs>
        <w:rPr>
          <w:rFonts w:cs="Times New Roman"/>
          <w:color w:val="auto"/>
          <w:highlight w:val="none"/>
        </w:rPr>
      </w:pPr>
      <w:r>
        <w:rPr>
          <w:rFonts w:cs="Times New Roman" w:hint="eastAsia"/>
          <w:b/>
          <w:color w:val="auto"/>
          <w:lang w:eastAsia="zh-CN"/>
          <w:highlight w:val="none"/>
        </w:rPr>
        <w:t>17.</w:t>
      </w:r>
      <w:r>
        <w:rPr>
          <w:rFonts w:cs="Times New Roman"/>
          <w:b/>
          <w:color w:val="auto"/>
          <w:highlight w:val="none"/>
        </w:rPr>
        <w:t>6.3　</w:t>
      </w:r>
      <w:r>
        <w:rPr>
          <w:rFonts w:cs="Times New Roman"/>
          <w:color w:val="auto"/>
          <w:highlight w:val="none"/>
        </w:rPr>
        <w:t>相控阵超声检测方法应符合现行国家标准《无损检测</w:t>
      </w:r>
      <w:r>
        <w:rPr>
          <w:rFonts w:cs="Times New Roman" w:hint="eastAsia"/>
          <w:color w:val="auto"/>
          <w:highlight w:val="none"/>
        </w:rPr>
        <w:t xml:space="preserve"> </w:t>
      </w:r>
      <w:r>
        <w:rPr>
          <w:rFonts w:cs="Times New Roman"/>
          <w:color w:val="auto"/>
          <w:highlight w:val="none"/>
        </w:rPr>
        <w:t>超声检测</w:t>
      </w:r>
      <w:r>
        <w:rPr>
          <w:rFonts w:cs="Times New Roman" w:hint="eastAsia"/>
          <w:color w:val="auto"/>
          <w:highlight w:val="none"/>
        </w:rPr>
        <w:t xml:space="preserve"> </w:t>
      </w:r>
      <w:r>
        <w:rPr>
          <w:rFonts w:cs="Times New Roman"/>
          <w:color w:val="auto"/>
          <w:highlight w:val="none"/>
        </w:rPr>
        <w:t>相控阵超声检测方法》GB/T 32563的有关规定。检测技术等级不应低于B级。检测前应编制相控阵超声检测工艺规程，并</w:t>
      </w:r>
      <w:r>
        <w:rPr>
          <w:rFonts w:cs="Times New Roman" w:hint="eastAsia"/>
          <w:color w:val="auto"/>
          <w:highlight w:val="none"/>
        </w:rPr>
        <w:t>应</w:t>
      </w:r>
      <w:r>
        <w:rPr>
          <w:rFonts w:cs="Times New Roman"/>
          <w:color w:val="auto"/>
          <w:highlight w:val="none"/>
        </w:rPr>
        <w:t>进行工艺验证试验。工艺验证试验结果应确保能够清楚地显示和测量模拟试块中的缺陷或反射体。</w:t>
      </w:r>
    </w:p>
    <w:p>
      <w:pPr>
        <w:pStyle w:val="38"/>
        <w:ind w:firstLineChars="0" w:firstLine="0"/>
        <w:rPr>
          <w:rFonts w:eastAsia="仿宋" w:cs="Times New Roman"/>
          <w:color w:val="auto"/>
          <w:kern w:val="0"/>
          <w:szCs w:val="24"/>
          <w:shd w:val="clear" w:color="FFFFFF" w:fill="D9D9D9"/>
          <w:highlight w:val="none"/>
        </w:rPr>
      </w:pPr>
      <w:r>
        <w:rPr>
          <w:rFonts w:eastAsia="仿宋" w:cs="Times New Roman" w:hint="eastAsia"/>
          <w:b/>
          <w:bCs/>
          <w:color w:val="auto"/>
          <w:szCs w:val="24"/>
          <w:shd w:val="clear" w:color="FFFFFF" w:fill="D9D9D9"/>
          <w:highlight w:val="none"/>
        </w:rPr>
        <w:t>条文说明</w:t>
      </w:r>
      <w:r>
        <w:rPr>
          <w:rFonts w:eastAsia="仿宋" w:cs="Times New Roman" w:hint="eastAsia"/>
          <w:b/>
          <w:bCs/>
          <w:color w:val="auto"/>
          <w:szCs w:val="24"/>
          <w:shd w:val="pct10" w:color="auto" w:fill="FFFFFF"/>
          <w:lang w:eastAsia="zh-CN"/>
          <w:highlight w:val="none"/>
        </w:rPr>
        <w:t>17.</w:t>
      </w:r>
      <w:r>
        <w:rPr>
          <w:rFonts w:eastAsia="仿宋" w:cs="Times New Roman"/>
          <w:b/>
          <w:bCs/>
          <w:color w:val="auto"/>
          <w:szCs w:val="24"/>
          <w:shd w:val="pct10" w:color="auto" w:fill="FFFFFF"/>
          <w:highlight w:val="none"/>
        </w:rPr>
        <w:t>6.</w:t>
      </w:r>
      <w:r>
        <w:rPr>
          <w:rFonts w:eastAsia="仿宋" w:cs="Times New Roman" w:hint="eastAsia"/>
          <w:b/>
          <w:bCs/>
          <w:color w:val="auto"/>
          <w:szCs w:val="24"/>
          <w:shd w:val="pct10" w:color="auto" w:fill="FFFFFF"/>
          <w:highlight w:val="none"/>
        </w:rPr>
        <w:t>3</w:t>
      </w:r>
      <w:r>
        <w:rPr>
          <w:rFonts w:eastAsia="仿宋" w:cs="Times New Roman"/>
          <w:b/>
          <w:bCs/>
          <w:color w:val="auto"/>
          <w:szCs w:val="24"/>
          <w:shd w:val="pct10" w:color="auto" w:fill="FFFFFF"/>
          <w:highlight w:val="none"/>
        </w:rPr>
        <w:t>　</w:t>
      </w:r>
      <w:r>
        <w:rPr>
          <w:rFonts w:eastAsia="仿宋" w:cs="Times New Roman"/>
          <w:color w:val="auto"/>
          <w:kern w:val="0"/>
          <w:szCs w:val="24"/>
          <w:shd w:val="clear" w:color="FFFFFF" w:fill="D9D9D9"/>
          <w:highlight w:val="none"/>
        </w:rPr>
        <w:t>检测前应</w:t>
      </w:r>
      <w:r>
        <w:rPr>
          <w:rFonts w:eastAsia="仿宋" w:cs="Times New Roman"/>
          <w:color w:val="auto"/>
          <w:szCs w:val="24"/>
          <w:shd w:val="pct10" w:color="auto" w:fill="FFFFFF"/>
          <w:highlight w:val="none"/>
        </w:rPr>
        <w:t>编制</w:t>
      </w:r>
      <w:r>
        <w:rPr>
          <w:rFonts w:eastAsia="仿宋" w:cs="Times New Roman"/>
          <w:color w:val="auto"/>
          <w:kern w:val="0"/>
          <w:szCs w:val="24"/>
          <w:shd w:val="clear" w:color="FFFFFF" w:fill="D9D9D9"/>
          <w:highlight w:val="none"/>
        </w:rPr>
        <w:t>相控阵超声检测工艺规程，进行工艺验证试验，</w:t>
      </w:r>
      <w:r>
        <w:rPr>
          <w:rFonts w:eastAsia="仿宋" w:cs="Times New Roman" w:hint="eastAsia"/>
          <w:color w:val="auto"/>
          <w:kern w:val="0"/>
          <w:szCs w:val="24"/>
          <w:shd w:val="clear" w:color="FFFFFF" w:fill="D9D9D9"/>
          <w:highlight w:val="none"/>
        </w:rPr>
        <w:t>主要是为了</w:t>
      </w:r>
      <w:r>
        <w:rPr>
          <w:rFonts w:eastAsia="仿宋" w:cs="Times New Roman"/>
          <w:color w:val="auto"/>
          <w:kern w:val="0"/>
          <w:szCs w:val="24"/>
          <w:shd w:val="clear" w:color="FFFFFF" w:fill="D9D9D9"/>
          <w:highlight w:val="none"/>
        </w:rPr>
        <w:t>验证拟采用检测工艺的有效性。</w:t>
      </w:r>
    </w:p>
    <w:p>
      <w:pPr>
        <w:rPr>
          <w:color w:val="auto"/>
          <w:highlight w:val="none"/>
        </w:rPr>
      </w:pPr>
    </w:p>
    <w:p>
      <w:pPr>
        <w:pStyle w:val="3"/>
        <w:tabs>
          <w:tab w:val="left" w:pos="0"/>
          <w:tab w:val="left" w:pos="567"/>
          <w:tab w:val="left" w:pos="709"/>
          <w:tab w:val="left" w:pos="1560"/>
        </w:tabs>
        <w:rPr>
          <w:rFonts w:cs="Times New Roman"/>
          <w:color w:val="auto"/>
          <w:highlight w:val="none"/>
        </w:rPr>
      </w:pPr>
      <w:r>
        <w:rPr>
          <w:rFonts w:cs="Times New Roman" w:hint="eastAsia"/>
          <w:b/>
          <w:color w:val="auto"/>
          <w:lang w:eastAsia="zh-CN"/>
          <w:highlight w:val="none"/>
        </w:rPr>
        <w:t>17.</w:t>
      </w:r>
      <w:r>
        <w:rPr>
          <w:rFonts w:cs="Times New Roman"/>
          <w:b/>
          <w:color w:val="auto"/>
          <w:highlight w:val="none"/>
        </w:rPr>
        <w:t>6.4　</w:t>
      </w:r>
      <w:r>
        <w:rPr>
          <w:rFonts w:cs="Times New Roman"/>
          <w:color w:val="auto"/>
          <w:highlight w:val="none"/>
        </w:rPr>
        <w:t>相控阵超声检测的验收等级不应低于相对应焊缝超声波检测验收等级。</w:t>
      </w:r>
    </w:p>
    <w:p>
      <w:pPr>
        <w:pStyle w:val="38"/>
        <w:ind w:firstLineChars="0" w:firstLine="0"/>
        <w:rPr>
          <w:rFonts w:eastAsia="仿宋" w:cs="Times New Roman"/>
          <w:color w:val="auto"/>
          <w:szCs w:val="24"/>
          <w:shd w:val="pct10" w:color="auto" w:fill="FFFFFF"/>
          <w:highlight w:val="none"/>
        </w:rPr>
      </w:pPr>
      <w:r>
        <w:rPr>
          <w:rFonts w:eastAsia="仿宋" w:cs="Times New Roman" w:hint="eastAsia"/>
          <w:b/>
          <w:bCs/>
          <w:color w:val="auto"/>
          <w:szCs w:val="24"/>
          <w:shd w:val="clear" w:color="FFFFFF" w:fill="D9D9D9"/>
          <w:highlight w:val="none"/>
        </w:rPr>
        <w:t>条文说明</w:t>
      </w:r>
      <w:r>
        <w:rPr>
          <w:rFonts w:eastAsia="仿宋" w:cs="Times New Roman" w:hint="eastAsia"/>
          <w:b/>
          <w:bCs/>
          <w:color w:val="auto"/>
          <w:szCs w:val="24"/>
          <w:shd w:val="pct10" w:color="auto" w:fill="FFFFFF"/>
          <w:lang w:eastAsia="zh-CN"/>
          <w:highlight w:val="none"/>
        </w:rPr>
        <w:t>17.</w:t>
      </w:r>
      <w:r>
        <w:rPr>
          <w:rFonts w:eastAsia="仿宋" w:cs="Times New Roman"/>
          <w:b/>
          <w:bCs/>
          <w:color w:val="auto"/>
          <w:szCs w:val="24"/>
          <w:shd w:val="pct10" w:color="auto" w:fill="FFFFFF"/>
          <w:highlight w:val="none"/>
        </w:rPr>
        <w:t>6.4　</w:t>
      </w:r>
      <w:r>
        <w:rPr>
          <w:rFonts w:eastAsia="仿宋" w:cs="Times New Roman"/>
          <w:color w:val="auto"/>
          <w:szCs w:val="24"/>
          <w:shd w:val="pct10" w:color="auto" w:fill="FFFFFF"/>
          <w:highlight w:val="none"/>
        </w:rPr>
        <w:t>由于相控阵超声检测</w:t>
      </w:r>
      <w:r>
        <w:rPr>
          <w:rFonts w:eastAsia="仿宋" w:cs="Times New Roman" w:hint="eastAsia"/>
          <w:color w:val="auto"/>
          <w:szCs w:val="24"/>
          <w:shd w:val="pct10" w:color="auto" w:fill="FFFFFF"/>
          <w:highlight w:val="none"/>
        </w:rPr>
        <w:t>暂</w:t>
      </w:r>
      <w:r>
        <w:rPr>
          <w:rFonts w:eastAsia="仿宋" w:cs="Times New Roman"/>
          <w:color w:val="auto"/>
          <w:szCs w:val="24"/>
          <w:shd w:val="pct10" w:color="auto" w:fill="FFFFFF"/>
          <w:highlight w:val="none"/>
        </w:rPr>
        <w:t>无相应的国家和行业验收标准，为促进相控阵超声检测方法在钢结构检测中的发展，</w:t>
      </w:r>
      <w:r>
        <w:rPr>
          <w:rFonts w:eastAsia="仿宋" w:cs="Times New Roman" w:hint="eastAsia"/>
          <w:color w:val="auto"/>
          <w:szCs w:val="24"/>
          <w:shd w:val="pct10" w:color="auto" w:fill="FFFFFF"/>
          <w:highlight w:val="none"/>
        </w:rPr>
        <w:t>建议</w:t>
      </w:r>
      <w:r>
        <w:rPr>
          <w:rFonts w:eastAsia="仿宋" w:cs="Times New Roman"/>
          <w:color w:val="auto"/>
          <w:szCs w:val="24"/>
          <w:shd w:val="pct10" w:color="auto" w:fill="FFFFFF"/>
          <w:highlight w:val="none"/>
        </w:rPr>
        <w:t>将其作为一种辅助的技术手段进行无损检测，验收标准</w:t>
      </w:r>
      <w:r>
        <w:rPr>
          <w:rFonts w:eastAsia="仿宋" w:cs="Times New Roman" w:hint="eastAsia"/>
          <w:color w:val="auto"/>
          <w:szCs w:val="24"/>
          <w:shd w:val="pct10" w:color="auto" w:fill="FFFFFF"/>
          <w:highlight w:val="none"/>
        </w:rPr>
        <w:t>不低于</w:t>
      </w:r>
      <w:r>
        <w:rPr>
          <w:rFonts w:eastAsia="仿宋" w:cs="Times New Roman"/>
          <w:color w:val="auto"/>
          <w:szCs w:val="24"/>
          <w:shd w:val="pct10" w:color="auto" w:fill="FFFFFF"/>
          <w:highlight w:val="none"/>
        </w:rPr>
        <w:t>相关行业</w:t>
      </w:r>
      <w:r>
        <w:rPr>
          <w:rFonts w:eastAsia="仿宋" w:cs="Times New Roman" w:hint="eastAsia"/>
          <w:color w:val="auto"/>
          <w:szCs w:val="24"/>
          <w:shd w:val="pct10" w:color="auto" w:fill="FFFFFF"/>
          <w:highlight w:val="none"/>
        </w:rPr>
        <w:t>的</w:t>
      </w:r>
      <w:r>
        <w:rPr>
          <w:rFonts w:eastAsia="仿宋" w:cs="Times New Roman"/>
          <w:color w:val="auto"/>
          <w:szCs w:val="24"/>
          <w:shd w:val="pct10" w:color="auto" w:fill="FFFFFF"/>
          <w:highlight w:val="none"/>
        </w:rPr>
        <w:t>超声波检测验收标准。</w:t>
      </w:r>
    </w:p>
    <w:p>
      <w:pPr>
        <w:rPr>
          <w:color w:val="auto"/>
          <w:highlight w:val="none"/>
        </w:rPr>
      </w:pPr>
    </w:p>
    <w:p>
      <w:pPr>
        <w:pStyle w:val="2"/>
        <w:tabs>
          <w:tab w:val="left" w:pos="0"/>
        </w:tabs>
        <w:rPr>
          <w:rFonts w:ascii="Times New Roman" w:cs="Times New Roman" w:hAnsi="Times New Roman"/>
          <w:color w:val="auto"/>
          <w:highlight w:val="none"/>
        </w:rPr>
      </w:pPr>
      <w:bookmarkStart w:id="487" w:name="_Toc27013"/>
      <w:bookmarkStart w:id="488" w:name="_Toc23441"/>
      <w:bookmarkStart w:id="489" w:name="_Toc32379"/>
      <w:bookmarkStart w:id="490" w:name="_Toc6500"/>
      <w:r>
        <w:rPr>
          <w:rFonts w:ascii="Times New Roman" w:cs="Times New Roman" w:hAnsi="Times New Roman" w:hint="eastAsia"/>
          <w:color w:val="auto"/>
          <w:lang w:eastAsia="zh-CN"/>
          <w:highlight w:val="none"/>
        </w:rPr>
        <w:t>17.</w:t>
      </w:r>
      <w:r>
        <w:rPr>
          <w:rFonts w:ascii="Times New Roman" w:cs="Times New Roman" w:hAnsi="Times New Roman"/>
          <w:color w:val="auto"/>
          <w:highlight w:val="none"/>
        </w:rPr>
        <w:t>7　扭矩系数法</w:t>
      </w:r>
      <w:bookmarkEnd w:id="487"/>
      <w:bookmarkEnd w:id="488"/>
      <w:bookmarkEnd w:id="489"/>
      <w:bookmarkEnd w:id="490"/>
    </w:p>
    <w:p>
      <w:pPr>
        <w:pStyle w:val="3"/>
        <w:tabs>
          <w:tab w:val="left" w:pos="0"/>
          <w:tab w:val="left" w:pos="567"/>
          <w:tab w:val="left" w:pos="709"/>
          <w:tab w:val="left" w:pos="1560"/>
        </w:tabs>
        <w:rPr>
          <w:rFonts w:cs="Times New Roman"/>
          <w:color w:val="auto"/>
          <w:highlight w:val="none"/>
        </w:rPr>
      </w:pPr>
      <w:r>
        <w:rPr>
          <w:rFonts w:cs="Times New Roman" w:hint="eastAsia"/>
          <w:b/>
          <w:color w:val="auto"/>
          <w:lang w:eastAsia="zh-CN"/>
          <w:highlight w:val="none"/>
        </w:rPr>
        <w:t>17.</w:t>
      </w:r>
      <w:r>
        <w:rPr>
          <w:rFonts w:cs="Times New Roman"/>
          <w:b/>
          <w:color w:val="auto"/>
          <w:highlight w:val="none"/>
        </w:rPr>
        <w:t>7.1　</w:t>
      </w:r>
      <w:r>
        <w:rPr>
          <w:rFonts w:cs="Times New Roman"/>
          <w:color w:val="auto"/>
          <w:highlight w:val="none"/>
        </w:rPr>
        <w:t>扭矩系数法</w:t>
      </w:r>
      <w:r>
        <w:rPr>
          <w:rFonts w:cs="Times New Roman" w:hint="eastAsia"/>
          <w:color w:val="auto"/>
          <w:highlight w:val="none"/>
        </w:rPr>
        <w:t>可</w:t>
      </w:r>
      <w:r>
        <w:rPr>
          <w:rFonts w:cs="Times New Roman"/>
          <w:color w:val="auto"/>
          <w:highlight w:val="none"/>
        </w:rPr>
        <w:t>用于检测高强度螺栓连接副的扭矩系数。</w:t>
      </w:r>
    </w:p>
    <w:p>
      <w:pPr>
        <w:ind w:firstLineChars="0" w:firstLine="0"/>
        <w:rPr>
          <w:rFonts w:cs="Times New Roman"/>
          <w:color w:val="auto"/>
          <w:highlight w:val="none"/>
        </w:rPr>
      </w:pPr>
      <w:r>
        <w:rPr>
          <w:rFonts w:eastAsia="仿宋" w:cs="Times New Roman" w:hint="eastAsia"/>
          <w:b/>
          <w:bCs/>
          <w:color w:val="auto"/>
          <w:szCs w:val="24"/>
          <w:shd w:val="clear" w:color="FFFFFF" w:fill="D9D9D9"/>
          <w:highlight w:val="none"/>
        </w:rPr>
        <w:t>条文说明</w:t>
      </w:r>
      <w:r>
        <w:rPr>
          <w:rFonts w:eastAsia="仿宋" w:cs="Times New Roman" w:hint="eastAsia"/>
          <w:b/>
          <w:bCs/>
          <w:color w:val="auto"/>
          <w:szCs w:val="24"/>
          <w:shd w:val="pct10" w:color="auto" w:fill="FFFFFF"/>
          <w:lang w:eastAsia="zh-CN"/>
          <w:highlight w:val="none"/>
        </w:rPr>
        <w:t>17.</w:t>
      </w:r>
      <w:r>
        <w:rPr>
          <w:rFonts w:eastAsia="仿宋" w:cs="Times New Roman"/>
          <w:b/>
          <w:bCs/>
          <w:color w:val="auto"/>
          <w:szCs w:val="24"/>
          <w:shd w:val="pct10" w:color="auto" w:fill="FFFFFF"/>
          <w:highlight w:val="none"/>
        </w:rPr>
        <w:t>7.1　</w:t>
      </w:r>
      <w:r>
        <w:rPr>
          <w:rFonts w:eastAsia="仿宋" w:cs="Times New Roman"/>
          <w:color w:val="auto"/>
          <w:szCs w:val="24"/>
          <w:shd w:val="pct10" w:color="auto" w:fill="FFFFFF"/>
          <w:highlight w:val="none"/>
        </w:rPr>
        <w:t>施工现场应在待安装的螺栓批中随机抽取连接副进行扭矩系数复验。</w:t>
      </w:r>
    </w:p>
    <w:p>
      <w:pPr>
        <w:rPr>
          <w:color w:val="auto"/>
          <w:highlight w:val="none"/>
        </w:rPr>
      </w:pPr>
    </w:p>
    <w:p>
      <w:pPr>
        <w:pStyle w:val="3"/>
        <w:tabs>
          <w:tab w:val="left" w:pos="0"/>
          <w:tab w:val="left" w:pos="567"/>
          <w:tab w:val="left" w:pos="709"/>
          <w:tab w:val="left" w:pos="1560"/>
        </w:tabs>
        <w:rPr>
          <w:rFonts w:cs="Times New Roman"/>
          <w:color w:val="auto"/>
          <w:highlight w:val="none"/>
        </w:rPr>
      </w:pPr>
      <w:r>
        <w:rPr>
          <w:rFonts w:cs="Times New Roman" w:hint="eastAsia"/>
          <w:b/>
          <w:color w:val="auto"/>
          <w:lang w:eastAsia="zh-CN"/>
          <w:highlight w:val="none"/>
        </w:rPr>
        <w:t>17.</w:t>
      </w:r>
      <w:r>
        <w:rPr>
          <w:rFonts w:cs="Times New Roman"/>
          <w:b/>
          <w:color w:val="auto"/>
          <w:highlight w:val="none"/>
        </w:rPr>
        <w:t>7.2　</w:t>
      </w:r>
      <w:r>
        <w:rPr>
          <w:rFonts w:cs="Times New Roman"/>
          <w:color w:val="auto"/>
          <w:highlight w:val="none"/>
        </w:rPr>
        <w:t>高强度螺栓连接副</w:t>
      </w:r>
      <w:r>
        <w:rPr>
          <w:rFonts w:cs="Times New Roman" w:hint="eastAsia"/>
          <w:color w:val="auto"/>
          <w:highlight w:val="none"/>
        </w:rPr>
        <w:t>的复验应按批进行，每批抽检8套，批次和检验项目应符合现行行业标准《公路钢结构桥梁制造和安装施工规范》JTG/T 3651的有关规定</w:t>
      </w:r>
      <w:r>
        <w:rPr>
          <w:rFonts w:cs="Times New Roman"/>
          <w:color w:val="auto"/>
          <w:highlight w:val="none"/>
        </w:rPr>
        <w:t>。</w:t>
      </w:r>
    </w:p>
    <w:p>
      <w:pPr>
        <w:pStyle w:val="3"/>
        <w:tabs>
          <w:tab w:val="left" w:pos="0"/>
          <w:tab w:val="left" w:pos="567"/>
          <w:tab w:val="left" w:pos="709"/>
          <w:tab w:val="left" w:pos="1560"/>
        </w:tabs>
        <w:rPr>
          <w:rFonts w:cs="Times New Roman"/>
          <w:color w:val="auto"/>
          <w:highlight w:val="none"/>
        </w:rPr>
      </w:pPr>
      <w:r>
        <w:rPr>
          <w:rFonts w:cs="Times New Roman" w:hint="eastAsia"/>
          <w:b/>
          <w:color w:val="auto"/>
          <w:lang w:eastAsia="zh-CN"/>
          <w:highlight w:val="none"/>
        </w:rPr>
        <w:t>17.</w:t>
      </w:r>
      <w:r>
        <w:rPr>
          <w:rFonts w:cs="Times New Roman"/>
          <w:b/>
          <w:color w:val="auto"/>
          <w:highlight w:val="none"/>
        </w:rPr>
        <w:t>7.</w:t>
      </w:r>
      <w:r>
        <w:rPr>
          <w:rFonts w:cs="Times New Roman" w:hint="eastAsia"/>
          <w:b/>
          <w:color w:val="auto"/>
          <w:lang w:val="en-US" w:eastAsia="zh-CN"/>
          <w:highlight w:val="none"/>
        </w:rPr>
        <w:t>3</w:t>
      </w:r>
      <w:r>
        <w:rPr>
          <w:rFonts w:cs="Times New Roman"/>
          <w:b/>
          <w:color w:val="auto"/>
          <w:highlight w:val="none"/>
        </w:rPr>
        <w:t>　</w:t>
      </w:r>
      <w:r>
        <w:rPr>
          <w:rFonts w:cs="Times New Roman"/>
          <w:color w:val="auto"/>
          <w:highlight w:val="none"/>
        </w:rPr>
        <w:t>扭矩系数检测应符合现行国家标准《钢结构用高强</w:t>
      </w:r>
      <w:r>
        <w:rPr>
          <w:rFonts w:cs="Times New Roman" w:hint="eastAsia"/>
          <w:color w:val="auto"/>
          <w:highlight w:val="none"/>
        </w:rPr>
        <w:t>度</w:t>
      </w:r>
      <w:r>
        <w:rPr>
          <w:rFonts w:cs="Times New Roman"/>
          <w:color w:val="auto"/>
          <w:highlight w:val="none"/>
        </w:rPr>
        <w:t>大六角头螺栓、大六角螺母、垫圈技术条件》GB/T 1231的有关规定。</w:t>
      </w:r>
    </w:p>
    <w:p>
      <w:pPr>
        <w:pStyle w:val="3"/>
        <w:tabs>
          <w:tab w:val="left" w:pos="0"/>
          <w:tab w:val="left" w:pos="567"/>
          <w:tab w:val="left" w:pos="709"/>
          <w:tab w:val="left" w:pos="1560"/>
        </w:tabs>
        <w:rPr>
          <w:rFonts w:cs="Times New Roman"/>
          <w:color w:val="auto"/>
          <w:highlight w:val="none"/>
        </w:rPr>
      </w:pPr>
      <w:r>
        <w:rPr>
          <w:rFonts w:cs="Times New Roman" w:hint="eastAsia"/>
          <w:b/>
          <w:color w:val="auto"/>
          <w:lang w:eastAsia="zh-CN"/>
          <w:highlight w:val="none"/>
        </w:rPr>
        <w:t>17.</w:t>
      </w:r>
      <w:r>
        <w:rPr>
          <w:rFonts w:cs="Times New Roman"/>
          <w:b/>
          <w:color w:val="auto"/>
          <w:highlight w:val="none"/>
        </w:rPr>
        <w:t>7.</w:t>
      </w:r>
      <w:r>
        <w:rPr>
          <w:rFonts w:cs="Times New Roman" w:hint="eastAsia"/>
          <w:b/>
          <w:color w:val="auto"/>
          <w:lang w:val="en-US" w:eastAsia="zh-CN"/>
          <w:highlight w:val="none"/>
        </w:rPr>
        <w:t>4</w:t>
      </w:r>
      <w:r>
        <w:rPr>
          <w:rFonts w:cs="Times New Roman"/>
          <w:b/>
          <w:color w:val="auto"/>
          <w:highlight w:val="none"/>
        </w:rPr>
        <w:t>　</w:t>
      </w:r>
      <w:r>
        <w:rPr>
          <w:rFonts w:cs="Times New Roman"/>
          <w:color w:val="auto"/>
          <w:highlight w:val="none"/>
        </w:rPr>
        <w:t>检测结果应符合现行国家标准《钢结构用高强</w:t>
      </w:r>
      <w:r>
        <w:rPr>
          <w:rFonts w:cs="Times New Roman" w:hint="eastAsia"/>
          <w:color w:val="auto"/>
          <w:highlight w:val="none"/>
        </w:rPr>
        <w:t>度</w:t>
      </w:r>
      <w:r>
        <w:rPr>
          <w:rFonts w:cs="Times New Roman"/>
          <w:color w:val="auto"/>
          <w:highlight w:val="none"/>
        </w:rPr>
        <w:t>大六角头螺栓、大六角螺母、垫圈技术条件》GB/T 1231的有关规定。高强度大六角头螺栓连接副扭矩系数平均值和标准偏差应符合表</w:t>
      </w:r>
      <w:r>
        <w:rPr>
          <w:rFonts w:cs="Times New Roman" w:hint="eastAsia"/>
          <w:color w:val="auto"/>
          <w:lang w:eastAsia="zh-CN"/>
          <w:highlight w:val="none"/>
        </w:rPr>
        <w:t>17.</w:t>
      </w:r>
      <w:r>
        <w:rPr>
          <w:rFonts w:cs="Times New Roman"/>
          <w:color w:val="auto"/>
          <w:highlight w:val="none"/>
        </w:rPr>
        <w:t>7.4的规定。</w:t>
      </w:r>
    </w:p>
    <w:p>
      <w:pPr>
        <w:pStyle w:val="16"/>
        <w:rPr>
          <w:rFonts w:cs="Times New Roman"/>
          <w:color w:val="auto"/>
          <w:highlight w:val="none"/>
        </w:rPr>
      </w:pPr>
      <w:r>
        <w:rPr>
          <w:rFonts w:cs="Times New Roman"/>
          <w:color w:val="auto"/>
          <w:highlight w:val="none"/>
        </w:rPr>
        <w:t>表</w:t>
      </w:r>
      <w:r>
        <w:rPr>
          <w:rFonts w:cs="Times New Roman" w:hint="eastAsia"/>
          <w:color w:val="auto"/>
          <w:lang w:eastAsia="zh-CN"/>
          <w:highlight w:val="none"/>
        </w:rPr>
        <w:t>17.</w:t>
      </w:r>
      <w:r>
        <w:rPr>
          <w:rFonts w:cs="Times New Roman"/>
          <w:color w:val="auto"/>
          <w:highlight w:val="none"/>
        </w:rPr>
        <w:t>7.4　高强度大六角头螺栓连接副扭矩系数平均值和标准偏差</w:t>
      </w:r>
    </w:p>
    <w:tbl>
      <w:tblPr>
        <w:jc w:val="center"/>
        <w:tblW w:w="810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top w:w="15" w:type="dxa"/>
          <w:left w:w="15" w:type="dxa"/>
          <w:bottom w:w="15" w:type="dxa"/>
          <w:right w:w="15" w:type="dxa"/>
        </w:tblCellMar>
        <w:tblLook w:val="0600" w:firstRow="0" w:lastRow="0" w:firstColumn="0" w:lastColumn="0" w:noHBand="1" w:noVBand="1"/>
      </w:tblPr>
      <w:tblGrid>
        <w:gridCol w:w="3866"/>
        <w:gridCol w:w="2117"/>
        <w:gridCol w:w="2117"/>
      </w:tblGrid>
      <w:tr>
        <w:trPr>
          <w:trHeight w:val="567"/>
        </w:trPr>
        <w:tc>
          <w:tcPr>
            <w:tcW w:w="3866" w:type="dxa"/>
            <w:vAlign w:val="center"/>
          </w:tcPr>
          <w:p>
            <w:pPr>
              <w:spacing w:line="240" w:lineRule="auto"/>
              <w:ind w:firstLineChars="0" w:firstLine="0"/>
              <w:jc w:val="center"/>
              <w:rPr>
                <w:rFonts w:cs="Times New Roman"/>
                <w:b/>
                <w:bCs/>
                <w:color w:val="auto"/>
                <w:sz w:val="21"/>
                <w:highlight w:val="none"/>
              </w:rPr>
            </w:pPr>
            <w:r>
              <w:rPr>
                <w:rFonts w:cs="Times New Roman"/>
                <w:b/>
                <w:bCs/>
                <w:color w:val="auto"/>
                <w:sz w:val="21"/>
                <w:highlight w:val="none"/>
              </w:rPr>
              <w:t>连接副表面状态</w:t>
            </w:r>
          </w:p>
        </w:tc>
        <w:tc>
          <w:tcPr>
            <w:tcW w:w="2117" w:type="dxa"/>
            <w:vAlign w:val="center"/>
          </w:tcPr>
          <w:p>
            <w:pPr>
              <w:spacing w:line="240" w:lineRule="auto"/>
              <w:ind w:firstLineChars="0" w:firstLine="0"/>
              <w:jc w:val="center"/>
              <w:rPr>
                <w:rFonts w:cs="Times New Roman"/>
                <w:b/>
                <w:bCs/>
                <w:color w:val="auto"/>
                <w:sz w:val="21"/>
                <w:highlight w:val="none"/>
              </w:rPr>
            </w:pPr>
            <w:r>
              <w:rPr>
                <w:rFonts w:cs="Times New Roman"/>
                <w:b/>
                <w:bCs/>
                <w:color w:val="auto"/>
                <w:sz w:val="21"/>
                <w:highlight w:val="none"/>
              </w:rPr>
              <w:t>扭矩系数平均值</w:t>
            </w:r>
          </w:p>
        </w:tc>
        <w:tc>
          <w:tcPr>
            <w:tcW w:w="2117" w:type="dxa"/>
            <w:vAlign w:val="center"/>
          </w:tcPr>
          <w:p>
            <w:pPr>
              <w:spacing w:line="240" w:lineRule="auto"/>
              <w:ind w:firstLineChars="0" w:firstLine="0"/>
              <w:jc w:val="center"/>
              <w:rPr>
                <w:rFonts w:cs="Times New Roman"/>
                <w:b/>
                <w:bCs/>
                <w:color w:val="auto"/>
                <w:sz w:val="21"/>
                <w:highlight w:val="none"/>
              </w:rPr>
            </w:pPr>
            <w:r>
              <w:rPr>
                <w:rFonts w:cs="Times New Roman"/>
                <w:b/>
                <w:bCs/>
                <w:color w:val="auto"/>
                <w:sz w:val="21"/>
                <w:highlight w:val="none"/>
              </w:rPr>
              <w:t>扭矩系数标准偏差</w:t>
            </w:r>
          </w:p>
        </w:tc>
      </w:tr>
      <w:tr>
        <w:trPr>
          <w:trHeight w:val="567"/>
        </w:trPr>
        <w:tc>
          <w:tcPr>
            <w:tcW w:w="3866" w:type="dxa"/>
            <w:vAlign w:val="center"/>
          </w:tcPr>
          <w:p>
            <w:pPr>
              <w:spacing w:line="240" w:lineRule="auto"/>
              <w:ind w:firstLineChars="0" w:firstLine="0"/>
              <w:jc w:val="center"/>
              <w:rPr>
                <w:rFonts w:cs="Times New Roman"/>
                <w:color w:val="auto"/>
                <w:sz w:val="21"/>
                <w:highlight w:val="none"/>
              </w:rPr>
            </w:pPr>
            <w:r>
              <w:rPr>
                <w:rFonts w:cs="Times New Roman"/>
                <w:color w:val="auto"/>
                <w:sz w:val="21"/>
                <w:highlight w:val="none"/>
              </w:rPr>
              <w:t>符合现行国家标准《钢结构用高强度大六角头螺栓、大六角螺母、垫圈技术条件》GB/T 1231的有关规定</w:t>
            </w:r>
          </w:p>
        </w:tc>
        <w:tc>
          <w:tcPr>
            <w:tcW w:w="2117" w:type="dxa"/>
            <w:vAlign w:val="center"/>
          </w:tcPr>
          <w:p>
            <w:pPr>
              <w:spacing w:line="240" w:lineRule="auto"/>
              <w:ind w:firstLineChars="0" w:firstLine="0"/>
              <w:jc w:val="center"/>
              <w:rPr>
                <w:rFonts w:cs="Times New Roman"/>
                <w:color w:val="auto"/>
                <w:sz w:val="21"/>
                <w:highlight w:val="none"/>
              </w:rPr>
            </w:pPr>
            <w:r>
              <w:rPr>
                <w:rFonts w:cs="Times New Roman"/>
                <w:color w:val="auto"/>
                <w:sz w:val="21"/>
                <w:highlight w:val="none"/>
              </w:rPr>
              <w:t>0.11～0.15</w:t>
            </w:r>
          </w:p>
        </w:tc>
        <w:tc>
          <w:tcPr>
            <w:tcW w:w="2117" w:type="dxa"/>
            <w:vAlign w:val="center"/>
          </w:tcPr>
          <w:p>
            <w:pPr>
              <w:spacing w:line="240" w:lineRule="auto"/>
              <w:ind w:firstLineChars="0" w:firstLine="0"/>
              <w:jc w:val="center"/>
              <w:rPr>
                <w:rFonts w:cs="Times New Roman"/>
                <w:color w:val="auto"/>
                <w:sz w:val="21"/>
                <w:highlight w:val="none"/>
              </w:rPr>
            </w:pPr>
            <w:r>
              <w:rPr>
                <w:rFonts w:cs="Times New Roman"/>
                <w:color w:val="auto"/>
                <w:sz w:val="21"/>
                <w:highlight w:val="none"/>
              </w:rPr>
              <w:t>≤0.0100</w:t>
            </w:r>
          </w:p>
        </w:tc>
      </w:tr>
    </w:tbl>
    <w:p>
      <w:pPr>
        <w:pStyle w:val="38"/>
        <w:ind w:firstLineChars="0" w:firstLine="0"/>
        <w:rPr>
          <w:rFonts w:cs="Times New Roman"/>
          <w:color w:val="auto"/>
          <w:highlight w:val="none"/>
        </w:rPr>
      </w:pPr>
    </w:p>
    <w:p>
      <w:pPr>
        <w:pStyle w:val="2"/>
        <w:tabs>
          <w:tab w:val="left" w:pos="0"/>
        </w:tabs>
        <w:rPr>
          <w:rFonts w:ascii="Times New Roman" w:cs="Times New Roman" w:hAnsi="Times New Roman"/>
          <w:color w:val="auto"/>
          <w:highlight w:val="none"/>
        </w:rPr>
      </w:pPr>
      <w:bookmarkStart w:id="491" w:name="_Toc10378"/>
      <w:bookmarkStart w:id="492" w:name="_Toc16959"/>
      <w:bookmarkStart w:id="493" w:name="_Toc3344"/>
      <w:bookmarkStart w:id="494" w:name="_Toc32065"/>
      <w:r>
        <w:rPr>
          <w:rFonts w:ascii="Times New Roman" w:cs="Times New Roman" w:hAnsi="Times New Roman" w:hint="eastAsia"/>
          <w:color w:val="auto"/>
          <w:lang w:eastAsia="zh-CN"/>
          <w:highlight w:val="none"/>
        </w:rPr>
        <w:t>17.</w:t>
      </w:r>
      <w:r>
        <w:rPr>
          <w:rFonts w:ascii="Times New Roman" w:cs="Times New Roman" w:hAnsi="Times New Roman"/>
          <w:color w:val="auto"/>
          <w:highlight w:val="none"/>
        </w:rPr>
        <w:t>8　松扣回扣法</w:t>
      </w:r>
      <w:bookmarkEnd w:id="491"/>
      <w:bookmarkEnd w:id="492"/>
      <w:bookmarkEnd w:id="493"/>
      <w:bookmarkEnd w:id="494"/>
    </w:p>
    <w:p>
      <w:pPr>
        <w:pStyle w:val="3"/>
        <w:tabs>
          <w:tab w:val="left" w:pos="0"/>
          <w:tab w:val="left" w:pos="567"/>
          <w:tab w:val="left" w:pos="709"/>
          <w:tab w:val="left" w:pos="1560"/>
        </w:tabs>
        <w:rPr>
          <w:rFonts w:cs="Times New Roman"/>
          <w:color w:val="auto"/>
          <w:highlight w:val="none"/>
        </w:rPr>
      </w:pPr>
      <w:r>
        <w:rPr>
          <w:rFonts w:cs="Times New Roman" w:hint="eastAsia"/>
          <w:b/>
          <w:color w:val="auto"/>
          <w:lang w:eastAsia="zh-CN"/>
          <w:highlight w:val="none"/>
        </w:rPr>
        <w:t>17.</w:t>
      </w:r>
      <w:r>
        <w:rPr>
          <w:rFonts w:cs="Times New Roman"/>
          <w:b/>
          <w:color w:val="auto"/>
          <w:highlight w:val="none"/>
        </w:rPr>
        <w:t>8.1　</w:t>
      </w:r>
      <w:r>
        <w:rPr>
          <w:rFonts w:cs="Times New Roman"/>
          <w:color w:val="auto"/>
          <w:highlight w:val="none"/>
        </w:rPr>
        <w:t>松扣回扣法</w:t>
      </w:r>
      <w:r>
        <w:rPr>
          <w:rFonts w:cs="Times New Roman" w:hint="eastAsia"/>
          <w:color w:val="auto"/>
          <w:highlight w:val="none"/>
        </w:rPr>
        <w:t>可</w:t>
      </w:r>
      <w:r>
        <w:rPr>
          <w:rFonts w:cs="Times New Roman"/>
          <w:color w:val="auto"/>
          <w:highlight w:val="none"/>
        </w:rPr>
        <w:t>用于高强度螺栓连接副采用扭矩法施工时的终拧质量检查和验收。</w:t>
      </w:r>
    </w:p>
    <w:p>
      <w:pPr>
        <w:pStyle w:val="38"/>
        <w:ind w:firstLineChars="0" w:firstLine="0"/>
        <w:rPr>
          <w:rFonts w:cs="Times New Roman"/>
          <w:color w:val="auto"/>
          <w:shd w:val="clear" w:color="FFFFFF" w:fill="D9D9D9"/>
          <w:highlight w:val="none"/>
        </w:rPr>
      </w:pPr>
      <w:r>
        <w:rPr>
          <w:rFonts w:eastAsia="仿宋" w:cs="Times New Roman" w:hint="eastAsia"/>
          <w:b/>
          <w:bCs/>
          <w:color w:val="auto"/>
          <w:szCs w:val="24"/>
          <w:shd w:val="clear" w:color="FFFFFF" w:fill="D9D9D9"/>
          <w:highlight w:val="none"/>
        </w:rPr>
        <w:t>条文说明</w:t>
      </w:r>
      <w:r>
        <w:rPr>
          <w:rFonts w:eastAsia="仿宋" w:cs="Times New Roman" w:hint="eastAsia"/>
          <w:b/>
          <w:bCs/>
          <w:color w:val="auto"/>
          <w:szCs w:val="24"/>
          <w:shd w:val="pct10" w:color="auto" w:fill="FFFFFF"/>
          <w:lang w:eastAsia="zh-CN"/>
          <w:highlight w:val="none"/>
        </w:rPr>
        <w:t>17.</w:t>
      </w:r>
      <w:r>
        <w:rPr>
          <w:rFonts w:eastAsia="仿宋" w:cs="Times New Roman"/>
          <w:b/>
          <w:bCs/>
          <w:color w:val="auto"/>
          <w:szCs w:val="24"/>
          <w:shd w:val="pct10" w:color="auto" w:fill="FFFFFF"/>
          <w:highlight w:val="none"/>
        </w:rPr>
        <w:t>8.1　</w:t>
      </w:r>
      <w:r>
        <w:rPr>
          <w:rFonts w:eastAsia="仿宋" w:cs="Times New Roman"/>
          <w:color w:val="auto"/>
          <w:szCs w:val="24"/>
          <w:shd w:val="pct10" w:color="auto" w:fill="FFFFFF"/>
          <w:highlight w:val="none"/>
        </w:rPr>
        <w:t>高强度螺栓连接副的紧固采用扭矩法施工时，终拧质量检查和验收宜采用松扣回扣法。当试验数据足够且准确时，也可采用紧扣法，检查方法可参见</w:t>
      </w:r>
      <w:r>
        <w:rPr>
          <w:rFonts w:eastAsia="仿宋" w:cs="Times New Roman" w:hint="eastAsia"/>
          <w:color w:val="auto"/>
          <w:szCs w:val="24"/>
          <w:shd w:val="pct10" w:color="auto" w:fill="FFFFFF"/>
          <w:highlight w:val="none"/>
        </w:rPr>
        <w:t>行业标准</w:t>
      </w:r>
      <w:r>
        <w:rPr>
          <w:rFonts w:eastAsia="仿宋" w:cs="Times New Roman"/>
          <w:color w:val="auto"/>
          <w:szCs w:val="24"/>
          <w:shd w:val="pct10" w:color="auto" w:fill="FFFFFF"/>
          <w:highlight w:val="none"/>
        </w:rPr>
        <w:t>《公路钢结构桥梁制造和安装施工规范》JTG/T 3651-2022附录H。</w:t>
      </w:r>
    </w:p>
    <w:p>
      <w:pPr>
        <w:rPr>
          <w:color w:val="auto"/>
          <w:highlight w:val="none"/>
        </w:rPr>
      </w:pPr>
    </w:p>
    <w:p>
      <w:pPr>
        <w:pStyle w:val="3"/>
        <w:tabs>
          <w:tab w:val="left" w:pos="0"/>
          <w:tab w:val="left" w:pos="567"/>
          <w:tab w:val="left" w:pos="709"/>
          <w:tab w:val="left" w:pos="1560"/>
        </w:tabs>
        <w:rPr>
          <w:rFonts w:cs="Times New Roman"/>
          <w:color w:val="auto"/>
          <w:highlight w:val="none"/>
        </w:rPr>
      </w:pPr>
      <w:r>
        <w:rPr>
          <w:rFonts w:cs="Times New Roman" w:hint="eastAsia"/>
          <w:b/>
          <w:color w:val="auto"/>
          <w:lang w:eastAsia="zh-CN"/>
          <w:highlight w:val="none"/>
        </w:rPr>
        <w:t>17.</w:t>
      </w:r>
      <w:r>
        <w:rPr>
          <w:rFonts w:cs="Times New Roman"/>
          <w:b/>
          <w:color w:val="auto"/>
          <w:highlight w:val="none"/>
        </w:rPr>
        <w:t>8.2　</w:t>
      </w:r>
      <w:r>
        <w:rPr>
          <w:rFonts w:cs="Times New Roman"/>
          <w:color w:val="auto"/>
          <w:highlight w:val="none"/>
        </w:rPr>
        <w:t>检查所用的扭矩扳手应在施工前进行标定和校正，误差不得超过使用扭矩值的±3%。</w:t>
      </w:r>
    </w:p>
    <w:p>
      <w:pPr>
        <w:pStyle w:val="3"/>
        <w:tabs>
          <w:tab w:val="left" w:pos="0"/>
          <w:tab w:val="left" w:pos="567"/>
          <w:tab w:val="left" w:pos="709"/>
          <w:tab w:val="left" w:pos="1560"/>
        </w:tabs>
        <w:rPr>
          <w:rFonts w:cs="Times New Roman"/>
          <w:color w:val="auto"/>
          <w:highlight w:val="none"/>
        </w:rPr>
      </w:pPr>
      <w:r>
        <w:rPr>
          <w:rFonts w:cs="Times New Roman" w:hint="eastAsia"/>
          <w:b/>
          <w:color w:val="auto"/>
          <w:lang w:eastAsia="zh-CN"/>
          <w:highlight w:val="none"/>
        </w:rPr>
        <w:t>17.</w:t>
      </w:r>
      <w:r>
        <w:rPr>
          <w:rFonts w:cs="Times New Roman"/>
          <w:b/>
          <w:color w:val="auto"/>
          <w:highlight w:val="none"/>
        </w:rPr>
        <w:t>8.3　</w:t>
      </w:r>
      <w:r>
        <w:rPr>
          <w:rFonts w:cs="Times New Roman"/>
          <w:color w:val="auto"/>
          <w:highlight w:val="none"/>
        </w:rPr>
        <w:t>高强度螺栓连接副终拧扭矩的检查应为每个栓群和节点高强度螺栓数量总数的5%，且对主桁架节点、板梁和箱梁主体以及纵横梁连接处不应少于2套，其余节点不应少于1套。</w:t>
      </w:r>
    </w:p>
    <w:p>
      <w:pPr>
        <w:pStyle w:val="3"/>
        <w:tabs>
          <w:tab w:val="left" w:pos="0"/>
          <w:tab w:val="left" w:pos="567"/>
          <w:tab w:val="left" w:pos="709"/>
          <w:tab w:val="left" w:pos="1560"/>
        </w:tabs>
        <w:rPr>
          <w:rFonts w:cs="Times New Roman"/>
          <w:color w:val="auto"/>
          <w:highlight w:val="none"/>
        </w:rPr>
      </w:pPr>
      <w:r>
        <w:rPr>
          <w:rFonts w:cs="Times New Roman" w:hint="eastAsia"/>
          <w:b/>
          <w:color w:val="auto"/>
          <w:lang w:eastAsia="zh-CN"/>
          <w:highlight w:val="none"/>
        </w:rPr>
        <w:t>17.</w:t>
      </w:r>
      <w:r>
        <w:rPr>
          <w:rFonts w:cs="Times New Roman"/>
          <w:b/>
          <w:color w:val="auto"/>
          <w:highlight w:val="none"/>
        </w:rPr>
        <w:t>8.4　</w:t>
      </w:r>
      <w:r>
        <w:rPr>
          <w:rFonts w:cs="Times New Roman"/>
          <w:color w:val="auto"/>
          <w:highlight w:val="none"/>
        </w:rPr>
        <w:t>高强度螺栓连接副终拧扭矩检查应在螺栓终拧1h之后、24h以内完成。</w:t>
      </w:r>
    </w:p>
    <w:p>
      <w:pPr>
        <w:pStyle w:val="3"/>
        <w:tabs>
          <w:tab w:val="left" w:pos="0"/>
          <w:tab w:val="left" w:pos="567"/>
          <w:tab w:val="left" w:pos="709"/>
          <w:tab w:val="left" w:pos="1560"/>
        </w:tabs>
        <w:rPr>
          <w:rFonts w:cs="Times New Roman"/>
          <w:color w:val="auto"/>
          <w:highlight w:val="none"/>
        </w:rPr>
      </w:pPr>
      <w:r>
        <w:rPr>
          <w:rFonts w:cs="Times New Roman" w:hint="eastAsia"/>
          <w:b/>
          <w:color w:val="auto"/>
          <w:lang w:eastAsia="zh-CN"/>
          <w:highlight w:val="none"/>
        </w:rPr>
        <w:t>17.</w:t>
      </w:r>
      <w:r>
        <w:rPr>
          <w:rFonts w:cs="Times New Roman"/>
          <w:b/>
          <w:color w:val="auto"/>
          <w:highlight w:val="none"/>
        </w:rPr>
        <w:t>8.5　</w:t>
      </w:r>
      <w:r>
        <w:rPr>
          <w:rFonts w:cs="Times New Roman"/>
          <w:color w:val="auto"/>
          <w:highlight w:val="none"/>
        </w:rPr>
        <w:t>采用松扣回扣法检查终拧扭矩时，</w:t>
      </w:r>
      <w:r>
        <w:rPr>
          <w:rFonts w:cs="Times New Roman" w:hint="eastAsia"/>
          <w:color w:val="auto"/>
          <w:highlight w:val="none"/>
        </w:rPr>
        <w:t>应按下列步骤进行：</w:t>
      </w:r>
    </w:p>
    <w:p>
      <w:pPr>
        <w:rPr>
          <w:rFonts w:cs="Times New Roman"/>
          <w:bCs/>
          <w:color w:val="auto"/>
          <w:highlight w:val="none"/>
        </w:rPr>
      </w:pPr>
      <w:r>
        <w:rPr>
          <w:rFonts w:cs="Times New Roman"/>
          <w:bCs/>
          <w:color w:val="auto"/>
          <w:highlight w:val="none"/>
        </w:rPr>
        <w:t>1　在被检的螺栓与螺母上划出标记线；</w:t>
      </w:r>
    </w:p>
    <w:p>
      <w:pPr>
        <w:rPr>
          <w:rFonts w:cs="Times New Roman"/>
          <w:bCs/>
          <w:color w:val="auto"/>
          <w:highlight w:val="none"/>
        </w:rPr>
      </w:pPr>
      <w:r>
        <w:rPr>
          <w:rFonts w:cs="Times New Roman"/>
          <w:bCs/>
          <w:color w:val="auto"/>
          <w:highlight w:val="none"/>
        </w:rPr>
        <w:t>2　将螺母拧松退回30°，再用扭矩扳手将螺母重新拧至原来位置，使所划标记线重合，测定此时的扭矩值；</w:t>
      </w:r>
    </w:p>
    <w:p>
      <w:pPr>
        <w:rPr>
          <w:rFonts w:cs="Times New Roman"/>
          <w:bCs/>
          <w:color w:val="auto"/>
          <w:highlight w:val="none"/>
        </w:rPr>
      </w:pPr>
      <w:r>
        <w:rPr>
          <w:rFonts w:cs="Times New Roman"/>
          <w:bCs/>
          <w:color w:val="auto"/>
          <w:highlight w:val="none"/>
        </w:rPr>
        <w:t>3　当扭矩值在0.9倍～1.1倍检查扭矩范围内时，应判定为合格。</w:t>
      </w:r>
    </w:p>
    <w:p>
      <w:pPr>
        <w:pStyle w:val="3"/>
        <w:tabs>
          <w:tab w:val="left" w:pos="0"/>
          <w:tab w:val="left" w:pos="567"/>
          <w:tab w:val="left" w:pos="709"/>
          <w:tab w:val="left" w:pos="1560"/>
        </w:tabs>
        <w:rPr>
          <w:rFonts w:cs="Times New Roman"/>
          <w:color w:val="auto"/>
          <w:highlight w:val="none"/>
        </w:rPr>
      </w:pPr>
      <w:r>
        <w:rPr>
          <w:rFonts w:cs="Times New Roman" w:hint="eastAsia"/>
          <w:b/>
          <w:color w:val="auto"/>
          <w:lang w:eastAsia="zh-CN"/>
          <w:highlight w:val="none"/>
        </w:rPr>
        <w:t>17.</w:t>
      </w:r>
      <w:r>
        <w:rPr>
          <w:rFonts w:cs="Times New Roman"/>
          <w:b/>
          <w:color w:val="auto"/>
          <w:highlight w:val="none"/>
        </w:rPr>
        <w:t>8.6　</w:t>
      </w:r>
      <w:r>
        <w:rPr>
          <w:rFonts w:cs="Times New Roman"/>
          <w:color w:val="auto"/>
          <w:highlight w:val="none"/>
        </w:rPr>
        <w:t>采用扭矩法施工时的终拧扭矩质量验收应符合现行</w:t>
      </w:r>
      <w:r>
        <w:rPr>
          <w:rFonts w:cs="Times New Roman" w:hint="eastAsia"/>
          <w:color w:val="auto"/>
          <w:lang w:val="en-US" w:eastAsia="zh-CN"/>
          <w:highlight w:val="none"/>
        </w:rPr>
        <w:t>行业</w:t>
      </w:r>
      <w:r>
        <w:rPr>
          <w:rFonts w:cs="Times New Roman"/>
          <w:color w:val="auto"/>
          <w:highlight w:val="none"/>
        </w:rPr>
        <w:t>标准《公路钢结构桥梁制造和安装施工规范》JTG/T 3651的有关规定。</w:t>
      </w:r>
    </w:p>
    <w:p>
      <w:pPr>
        <w:rPr>
          <w:color w:val="auto"/>
          <w:highlight w:val="none"/>
        </w:rPr>
      </w:pPr>
    </w:p>
    <w:p>
      <w:pPr>
        <w:pStyle w:val="2"/>
        <w:tabs>
          <w:tab w:val="left" w:pos="0"/>
        </w:tabs>
        <w:rPr>
          <w:rFonts w:ascii="Times New Roman" w:cs="Times New Roman" w:hAnsi="Times New Roman"/>
          <w:color w:val="auto"/>
          <w:highlight w:val="none"/>
        </w:rPr>
      </w:pPr>
      <w:bookmarkStart w:id="495" w:name="_Toc18952"/>
      <w:bookmarkStart w:id="496" w:name="_Toc1956"/>
      <w:r>
        <w:rPr>
          <w:rFonts w:ascii="Times New Roman" w:cs="Times New Roman" w:hAnsi="Times New Roman" w:hint="eastAsia"/>
          <w:color w:val="auto"/>
          <w:lang w:eastAsia="zh-CN"/>
          <w:highlight w:val="none"/>
        </w:rPr>
        <w:t>17.</w:t>
      </w:r>
      <w:r>
        <w:rPr>
          <w:rFonts w:ascii="Times New Roman" w:cs="Times New Roman" w:hAnsi="Times New Roman" w:hint="eastAsia"/>
          <w:color w:val="auto"/>
          <w:highlight w:val="none"/>
        </w:rPr>
        <w:t>9</w:t>
      </w:r>
      <w:r>
        <w:rPr>
          <w:rFonts w:ascii="Times New Roman" w:cs="Times New Roman" w:hAnsi="Times New Roman"/>
          <w:color w:val="auto"/>
          <w:highlight w:val="none"/>
        </w:rPr>
        <w:t>　</w:t>
      </w:r>
      <w:r>
        <w:rPr>
          <w:rFonts w:ascii="Times New Roman" w:cs="Times New Roman" w:hAnsi="Times New Roman" w:hint="eastAsia"/>
          <w:color w:val="auto"/>
          <w:highlight w:val="none"/>
        </w:rPr>
        <w:t>尺寸检测法</w:t>
      </w:r>
      <w:bookmarkEnd w:id="495"/>
      <w:bookmarkEnd w:id="496"/>
    </w:p>
    <w:p>
      <w:pPr>
        <w:pStyle w:val="3"/>
        <w:tabs>
          <w:tab w:val="left" w:pos="0"/>
          <w:tab w:val="left" w:pos="567"/>
          <w:tab w:val="left" w:pos="709"/>
          <w:tab w:val="left" w:pos="1560"/>
        </w:tabs>
        <w:rPr>
          <w:rFonts w:cs="Times New Roman"/>
          <w:color w:val="auto"/>
          <w:highlight w:val="none"/>
        </w:rPr>
      </w:pPr>
      <w:r>
        <w:rPr>
          <w:rFonts w:cs="Times New Roman" w:hint="eastAsia"/>
          <w:b/>
          <w:bCs w:val="0"/>
          <w:color w:val="auto"/>
          <w:highlight w:val="none"/>
        </w:rPr>
        <w:t>17.9.1</w:t>
      </w:r>
      <w:r>
        <w:rPr>
          <w:rFonts w:cs="Times New Roman" w:hint="eastAsia"/>
          <w:color w:val="auto"/>
          <w:highlight w:val="none"/>
        </w:rPr>
        <w:t>尺寸检测法可用于高强度环槽铆钉连接副铆接施工质量检查和验收。</w:t>
      </w:r>
    </w:p>
    <w:p>
      <w:pPr>
        <w:pStyle w:val="38"/>
        <w:ind w:firstLineChars="0" w:firstLine="0"/>
        <w:rPr>
          <w:color w:val="auto"/>
          <w:highlight w:val="none"/>
        </w:rPr>
      </w:pPr>
      <w:r>
        <w:rPr>
          <w:rFonts w:eastAsia="仿宋" w:cs="Times New Roman" w:hint="eastAsia"/>
          <w:b/>
          <w:bCs/>
          <w:color w:val="auto"/>
          <w:szCs w:val="24"/>
          <w:shd w:val="clear" w:color="FFFFFF" w:fill="D9D9D9"/>
          <w:highlight w:val="none"/>
        </w:rPr>
        <w:t>条文说明17.9.1　</w:t>
      </w:r>
      <w:r>
        <w:rPr>
          <w:rFonts w:eastAsia="仿宋" w:cs="Times New Roman" w:hint="eastAsia"/>
          <w:color w:val="auto"/>
          <w:szCs w:val="24"/>
          <w:shd w:val="clear" w:color="FFFFFF" w:fill="D9D9D9"/>
          <w:highlight w:val="none"/>
        </w:rPr>
        <w:t>高强度环槽铆钉连接副铆接完成后，由于套环产生了明显的塑性变形，因此成形后的尺寸也相应改变，这是判定环槽铆钉连接副是否满足质量要求的重要指标。</w:t>
      </w:r>
    </w:p>
    <w:p>
      <w:pPr>
        <w:pStyle w:val="3"/>
        <w:tabs>
          <w:tab w:val="left" w:pos="0"/>
          <w:tab w:val="left" w:pos="567"/>
          <w:tab w:val="left" w:pos="709"/>
          <w:tab w:val="left" w:pos="1560"/>
        </w:tabs>
        <w:rPr>
          <w:rFonts w:cs="Times New Roman"/>
          <w:color w:val="auto"/>
          <w:highlight w:val="none"/>
        </w:rPr>
      </w:pPr>
      <w:r>
        <w:rPr>
          <w:rFonts w:cs="Times New Roman" w:hint="eastAsia"/>
          <w:b/>
          <w:bCs w:val="0"/>
          <w:color w:val="auto"/>
          <w:highlight w:val="none"/>
        </w:rPr>
        <w:t xml:space="preserve">17.9.2 </w:t>
      </w:r>
      <w:r>
        <w:rPr>
          <w:rFonts w:cs="Times New Roman" w:hint="eastAsia"/>
          <w:color w:val="auto"/>
          <w:highlight w:val="none"/>
        </w:rPr>
        <w:t>对铆接施工完成的高强度环槽铆钉</w:t>
      </w:r>
      <w:r>
        <w:rPr>
          <w:rFonts w:cs="Times New Roman"/>
          <w:color w:val="auto"/>
          <w:highlight w:val="none"/>
        </w:rPr>
        <w:t>连接</w:t>
      </w:r>
      <w:r>
        <w:rPr>
          <w:rFonts w:cs="Times New Roman" w:hint="eastAsia"/>
          <w:color w:val="auto"/>
          <w:highlight w:val="none"/>
        </w:rPr>
        <w:t>副，应进行铆钉套环外观检查和连接副成形尺寸检测。质量检测应符合《环槽铆钉连接副技术条件》GB/T 36993和《公路钢结构桥梁制造和安装施工规范》JTG/T 3651的有关规定。</w:t>
      </w:r>
    </w:p>
    <w:p>
      <w:pPr>
        <w:ind w:firstLineChars="0" w:firstLine="0"/>
        <w:rPr>
          <w:color w:val="auto"/>
          <w:highlight w:val="none"/>
        </w:rPr>
      </w:pPr>
      <w:r>
        <w:rPr>
          <w:rFonts w:cs="Times New Roman" w:hint="eastAsia"/>
          <w:b/>
          <w:color w:val="auto"/>
          <w:highlight w:val="none"/>
        </w:rPr>
        <w:t>17.9.3对</w:t>
      </w:r>
      <w:r>
        <w:rPr>
          <w:rFonts w:cs="Times New Roman" w:hint="eastAsia"/>
          <w:color w:val="auto"/>
          <w:highlight w:val="none"/>
        </w:rPr>
        <w:t>铆接施工完成的高强度环槽铆钉</w:t>
      </w:r>
      <w:r>
        <w:rPr>
          <w:rFonts w:cs="Times New Roman"/>
          <w:color w:val="auto"/>
          <w:highlight w:val="none"/>
        </w:rPr>
        <w:t>连接</w:t>
      </w:r>
      <w:r>
        <w:rPr>
          <w:rFonts w:cs="Times New Roman" w:hint="eastAsia"/>
          <w:color w:val="auto"/>
          <w:highlight w:val="none"/>
        </w:rPr>
        <w:t>副，套环外观检查比例为100%；每个节点应随机抽取10%的铆钉连接副进行尺寸检测，且对主桁节点、板梁主梁及纵横梁连接处应不少于2套，其余节点不小于1套。</w:t>
      </w:r>
    </w:p>
    <w:p>
      <w:pPr>
        <w:pStyle w:val="3"/>
        <w:tabs>
          <w:tab w:val="left" w:pos="0"/>
          <w:tab w:val="left" w:pos="567"/>
          <w:tab w:val="left" w:pos="709"/>
          <w:tab w:val="left" w:pos="1560"/>
        </w:tabs>
        <w:rPr>
          <w:rFonts w:cs="Times New Roman"/>
          <w:color w:val="auto"/>
          <w:highlight w:val="none"/>
        </w:rPr>
      </w:pPr>
      <w:r>
        <w:rPr>
          <w:rFonts w:cs="Times New Roman" w:hint="eastAsia"/>
          <w:b/>
          <w:bCs w:val="0"/>
          <w:color w:val="auto"/>
          <w:highlight w:val="none"/>
        </w:rPr>
        <w:t>17.</w:t>
      </w:r>
      <w:r>
        <w:rPr>
          <w:rFonts w:cs="Times New Roman"/>
          <w:b/>
          <w:bCs w:val="0"/>
          <w:color w:val="auto"/>
          <w:highlight w:val="none"/>
        </w:rPr>
        <w:t>9.</w:t>
      </w:r>
      <w:r>
        <w:rPr>
          <w:rFonts w:cs="Times New Roman" w:hint="eastAsia"/>
          <w:b/>
          <w:bCs w:val="0"/>
          <w:color w:val="auto"/>
          <w:highlight w:val="none"/>
        </w:rPr>
        <w:t>4</w:t>
      </w:r>
      <w:r>
        <w:rPr>
          <w:rFonts w:cs="Times New Roman"/>
          <w:b/>
          <w:bCs w:val="0"/>
          <w:color w:val="auto"/>
          <w:highlight w:val="none"/>
        </w:rPr>
        <w:t xml:space="preserve"> </w:t>
      </w:r>
      <w:r>
        <w:rPr>
          <w:rFonts w:cs="Times New Roman" w:hint="eastAsia"/>
          <w:color w:val="auto"/>
          <w:highlight w:val="none"/>
        </w:rPr>
        <w:t>高强度环槽铆钉连接副的铆接施工应具有下列施工及检查记录：</w:t>
      </w:r>
    </w:p>
    <w:p>
      <w:pPr>
        <w:rPr>
          <w:rFonts w:cs="Times New Roman"/>
          <w:bCs/>
          <w:color w:val="auto"/>
          <w:highlight w:val="none"/>
        </w:rPr>
      </w:pPr>
      <w:r>
        <w:rPr>
          <w:rFonts w:hint="eastAsia"/>
          <w:color w:val="auto"/>
          <w:highlight w:val="none"/>
        </w:rPr>
        <w:t xml:space="preserve">1 </w:t>
      </w:r>
      <w:r>
        <w:rPr>
          <w:rFonts w:cs="Times New Roman" w:hint="eastAsia"/>
          <w:bCs/>
          <w:color w:val="auto"/>
          <w:szCs w:val="32"/>
          <w:highlight w:val="none"/>
        </w:rPr>
        <w:t>高强度环槽铆钉</w:t>
      </w:r>
      <w:r>
        <w:rPr>
          <w:rFonts w:cs="Times New Roman"/>
          <w:bCs/>
          <w:color w:val="auto"/>
          <w:szCs w:val="32"/>
          <w:highlight w:val="none"/>
        </w:rPr>
        <w:t>连接</w:t>
      </w:r>
      <w:r>
        <w:rPr>
          <w:rFonts w:cs="Times New Roman" w:hint="eastAsia"/>
          <w:bCs/>
          <w:color w:val="auto"/>
          <w:highlight w:val="none"/>
        </w:rPr>
        <w:t>副的进场复验报告；</w:t>
      </w:r>
    </w:p>
    <w:p>
      <w:pPr>
        <w:rPr>
          <w:rFonts w:cs="Times New Roman"/>
          <w:bCs/>
          <w:color w:val="auto"/>
          <w:highlight w:val="none"/>
        </w:rPr>
      </w:pPr>
      <w:r>
        <w:rPr>
          <w:rFonts w:cs="Times New Roman" w:hint="eastAsia"/>
          <w:bCs/>
          <w:color w:val="auto"/>
          <w:highlight w:val="none"/>
        </w:rPr>
        <w:t>2 连接面抗滑移系数试验报告；</w:t>
      </w:r>
    </w:p>
    <w:p>
      <w:pPr>
        <w:rPr>
          <w:rFonts w:cs="Times New Roman"/>
          <w:bCs/>
          <w:color w:val="auto"/>
          <w:szCs w:val="32"/>
          <w:highlight w:val="none"/>
        </w:rPr>
      </w:pPr>
      <w:r>
        <w:rPr>
          <w:rFonts w:cs="Times New Roman" w:hint="eastAsia"/>
          <w:bCs/>
          <w:color w:val="auto"/>
          <w:highlight w:val="none"/>
        </w:rPr>
        <w:t>3 铆接质量检查记录。</w:t>
      </w:r>
    </w:p>
    <w:p>
      <w:pPr>
        <w:pStyle w:val="3"/>
        <w:tabs>
          <w:tab w:val="left" w:pos="0"/>
          <w:tab w:val="left" w:pos="567"/>
          <w:tab w:val="left" w:pos="709"/>
          <w:tab w:val="left" w:pos="1560"/>
        </w:tabs>
        <w:rPr>
          <w:rFonts w:cs="Times New Roman"/>
          <w:color w:val="auto"/>
          <w:highlight w:val="none"/>
        </w:rPr>
      </w:pPr>
      <w:r>
        <w:rPr>
          <w:rFonts w:cs="Times New Roman" w:hint="eastAsia"/>
          <w:b/>
          <w:bCs w:val="0"/>
          <w:color w:val="auto"/>
          <w:highlight w:val="none"/>
        </w:rPr>
        <w:t xml:space="preserve">17.9.5 </w:t>
      </w:r>
      <w:r>
        <w:rPr>
          <w:rFonts w:cs="Times New Roman" w:hint="eastAsia"/>
          <w:color w:val="auto"/>
          <w:highlight w:val="none"/>
        </w:rPr>
        <w:t>高强度环槽铆钉</w:t>
      </w:r>
      <w:r>
        <w:rPr>
          <w:rFonts w:cs="Times New Roman"/>
          <w:color w:val="auto"/>
          <w:highlight w:val="none"/>
        </w:rPr>
        <w:t>连接</w:t>
      </w:r>
      <w:r>
        <w:rPr>
          <w:rFonts w:cs="Times New Roman" w:hint="eastAsia"/>
          <w:color w:val="auto"/>
          <w:highlight w:val="none"/>
        </w:rPr>
        <w:t>副铆接施工质量的验收应符合现行行业标准《公路钢结构桥梁制造和安装施工规范》JTG/T 3651的有关规定。</w:t>
      </w:r>
    </w:p>
    <w:p>
      <w:pPr>
        <w:keepNext/>
        <w:keepLines/>
        <w:pageBreakBefore/>
        <w:spacing w:beforeLines="100" w:before="312"/>
        <w:ind w:firstLineChars="0" w:firstLine="0"/>
        <w:contextualSpacing/>
        <w:jc w:val="center"/>
        <w:outlineLvl w:val="0"/>
        <w:rPr>
          <w:rFonts w:cs="Times New Roman"/>
          <w:b/>
          <w:bCs/>
          <w:color w:val="auto"/>
          <w:kern w:val="44"/>
          <w:sz w:val="30"/>
          <w:szCs w:val="30"/>
          <w:highlight w:val="none"/>
        </w:rPr>
      </w:pPr>
      <w:bookmarkStart w:id="497" w:name="_Toc16069"/>
      <w:bookmarkStart w:id="498" w:name="_Toc21500"/>
      <w:bookmarkStart w:id="499" w:name="_Toc14436"/>
      <w:bookmarkStart w:id="500" w:name="_Toc15932"/>
      <w:r>
        <w:rPr>
          <w:rFonts w:cs="Times New Roman"/>
          <w:b/>
          <w:bCs/>
          <w:color w:val="auto"/>
          <w:kern w:val="44"/>
          <w:sz w:val="30"/>
          <w:szCs w:val="30"/>
          <w:highlight w:val="none"/>
        </w:rPr>
        <w:t>附录A</w:t>
      </w:r>
      <w:bookmarkStart w:id="501" w:name="_Hlk169025739"/>
      <w:r>
        <w:rPr>
          <w:rFonts w:cs="Times New Roman"/>
          <w:b/>
          <w:bCs/>
          <w:color w:val="auto"/>
          <w:kern w:val="44"/>
          <w:sz w:val="30"/>
          <w:szCs w:val="30"/>
          <w:highlight w:val="none"/>
        </w:rPr>
        <w:t>　</w:t>
      </w:r>
      <w:bookmarkEnd w:id="501"/>
      <w:r>
        <w:rPr>
          <w:rFonts w:cs="Times New Roman"/>
          <w:b/>
          <w:bCs/>
          <w:color w:val="auto"/>
          <w:kern w:val="44"/>
          <w:sz w:val="30"/>
          <w:szCs w:val="30"/>
          <w:highlight w:val="none"/>
        </w:rPr>
        <w:t>套筒灌浆饱满度内窥镜法</w:t>
      </w:r>
      <w:r>
        <w:rPr>
          <w:rFonts w:cs="Times New Roman" w:hint="eastAsia"/>
          <w:b/>
          <w:bCs/>
          <w:color w:val="auto"/>
          <w:kern w:val="44"/>
          <w:sz w:val="30"/>
          <w:szCs w:val="30"/>
          <w:highlight w:val="none"/>
        </w:rPr>
        <w:t>检测</w:t>
      </w:r>
      <w:r>
        <w:rPr>
          <w:rFonts w:cs="Times New Roman"/>
          <w:b/>
          <w:bCs/>
          <w:color w:val="auto"/>
          <w:kern w:val="44"/>
          <w:sz w:val="30"/>
          <w:szCs w:val="30"/>
          <w:highlight w:val="none"/>
        </w:rPr>
        <w:t>记录表</w:t>
      </w:r>
      <w:bookmarkEnd w:id="497"/>
      <w:bookmarkEnd w:id="498"/>
      <w:bookmarkEnd w:id="499"/>
      <w:bookmarkEnd w:id="500"/>
    </w:p>
    <w:p>
      <w:pPr>
        <w:pStyle w:val="16"/>
        <w:rPr>
          <w:rFonts w:cs="Times New Roman"/>
          <w:color w:val="auto"/>
          <w:highlight w:val="none"/>
        </w:rPr>
      </w:pPr>
      <w:r>
        <w:rPr>
          <w:rFonts w:cs="Times New Roman"/>
          <w:color w:val="auto"/>
          <w:highlight w:val="none"/>
        </w:rPr>
        <w:t>表A　套筒灌浆饱满度内窥镜法</w:t>
      </w:r>
      <w:r>
        <w:rPr>
          <w:rFonts w:cs="Times New Roman" w:hint="eastAsia"/>
          <w:color w:val="auto"/>
          <w:highlight w:val="none"/>
        </w:rPr>
        <w:t>检测</w:t>
      </w:r>
      <w:r>
        <w:rPr>
          <w:rFonts w:cs="Times New Roman"/>
          <w:color w:val="auto"/>
          <w:highlight w:val="none"/>
        </w:rPr>
        <w:t>记录表</w:t>
      </w:r>
    </w:p>
    <w:p>
      <w:pPr>
        <w:spacing w:line="240" w:lineRule="auto"/>
        <w:ind w:firstLineChars="0" w:firstLine="0"/>
        <w:rPr>
          <w:color w:val="auto"/>
          <w:highlight w:val="none"/>
        </w:rPr>
      </w:pPr>
      <w:r>
        <w:rPr>
          <w:rFonts w:cs="Times New Roman"/>
          <w:color w:val="auto"/>
          <w:sz w:val="21"/>
          <w:szCs w:val="21"/>
          <w:highlight w:val="none"/>
        </w:rPr>
        <w:t xml:space="preserve">委托编号：                                                    </w:t>
      </w:r>
      <w:r>
        <w:rPr>
          <w:rFonts w:cs="Times New Roman" w:hint="eastAsia"/>
          <w:color w:val="auto"/>
          <w:sz w:val="21"/>
          <w:szCs w:val="21"/>
          <w:lang w:val="en-US" w:eastAsia="zh-CN"/>
          <w:highlight w:val="none"/>
        </w:rPr>
        <w:t xml:space="preserve">       </w:t>
      </w:r>
      <w:r>
        <w:rPr>
          <w:rFonts w:cs="Times New Roman"/>
          <w:color w:val="auto"/>
          <w:sz w:val="21"/>
          <w:szCs w:val="21"/>
          <w:highlight w:val="none"/>
        </w:rPr>
        <w:t>共   页   第   页</w:t>
      </w:r>
    </w:p>
    <w:tbl>
      <w:tblPr>
        <w:jc w:val="cente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600" w:firstRow="0" w:lastRow="0" w:firstColumn="0" w:lastColumn="0" w:noHBand="1" w:noVBand="1"/>
      </w:tblPr>
      <w:tblGrid>
        <w:gridCol w:w="1468"/>
        <w:gridCol w:w="2528"/>
        <w:gridCol w:w="984"/>
        <w:gridCol w:w="1479"/>
        <w:gridCol w:w="65"/>
        <w:gridCol w:w="2536"/>
      </w:tblGrid>
      <w:tr>
        <w:tc>
          <w:tcPr>
            <w:tcW w:w="810" w:type="pct"/>
            <w:vAlign w:val="center"/>
          </w:tcPr>
          <w:p>
            <w:pPr>
              <w:ind w:left="-116" w:firstLineChars="0" w:firstLine="0"/>
              <w:jc w:val="center"/>
              <w:rPr>
                <w:rFonts w:cs="Times New Roman"/>
                <w:color w:val="auto"/>
                <w:sz w:val="21"/>
                <w:szCs w:val="21"/>
                <w:highlight w:val="none"/>
              </w:rPr>
            </w:pPr>
            <w:r>
              <w:rPr>
                <w:rFonts w:cs="Times New Roman"/>
                <w:color w:val="auto"/>
                <w:sz w:val="21"/>
                <w:szCs w:val="21"/>
                <w:highlight w:val="none"/>
              </w:rPr>
              <w:t>工程名称</w:t>
            </w:r>
          </w:p>
        </w:tc>
        <w:tc>
          <w:tcPr>
            <w:tcW w:w="1938" w:type="pct"/>
            <w:gridSpan w:val="2"/>
            <w:vAlign w:val="center"/>
          </w:tcPr>
          <w:p>
            <w:pPr>
              <w:ind w:left="960" w:firstLineChars="0" w:firstLine="0"/>
              <w:jc w:val="center"/>
              <w:rPr>
                <w:rFonts w:cs="Times New Roman"/>
                <w:color w:val="auto"/>
                <w:sz w:val="21"/>
                <w:szCs w:val="21"/>
                <w:highlight w:val="none"/>
              </w:rPr>
            </w:pPr>
          </w:p>
        </w:tc>
        <w:tc>
          <w:tcPr>
            <w:tcW w:w="816" w:type="pct"/>
            <w:vAlign w:val="center"/>
          </w:tcPr>
          <w:p>
            <w:pPr>
              <w:ind w:left="-116" w:firstLineChars="0" w:firstLine="0"/>
              <w:jc w:val="center"/>
              <w:rPr>
                <w:rFonts w:cs="Times New Roman"/>
                <w:color w:val="auto"/>
                <w:sz w:val="21"/>
                <w:szCs w:val="21"/>
                <w:highlight w:val="none"/>
              </w:rPr>
            </w:pPr>
            <w:r>
              <w:rPr>
                <w:rFonts w:cs="Times New Roman"/>
                <w:color w:val="auto"/>
                <w:sz w:val="21"/>
                <w:szCs w:val="21"/>
                <w:highlight w:val="none"/>
              </w:rPr>
              <w:t>工程地点</w:t>
            </w:r>
          </w:p>
        </w:tc>
        <w:tc>
          <w:tcPr>
            <w:tcW w:w="1435" w:type="pct"/>
            <w:gridSpan w:val="2"/>
            <w:vAlign w:val="center"/>
          </w:tcPr>
          <w:p>
            <w:pPr>
              <w:ind w:left="960" w:firstLineChars="0" w:firstLine="0"/>
              <w:jc w:val="center"/>
              <w:rPr>
                <w:rFonts w:cs="Times New Roman"/>
                <w:color w:val="auto"/>
                <w:sz w:val="21"/>
                <w:szCs w:val="21"/>
                <w:highlight w:val="none"/>
              </w:rPr>
            </w:pPr>
          </w:p>
        </w:tc>
      </w:tr>
      <w:tr>
        <w:trPr>
          <w:trHeight w:val="90"/>
        </w:trPr>
        <w:tc>
          <w:tcPr>
            <w:tcW w:w="810" w:type="pct"/>
            <w:vAlign w:val="center"/>
          </w:tcPr>
          <w:p>
            <w:pPr>
              <w:ind w:left="-116" w:firstLineChars="0" w:firstLine="0"/>
              <w:jc w:val="center"/>
              <w:rPr>
                <w:rFonts w:cs="Times New Roman"/>
                <w:color w:val="auto"/>
                <w:sz w:val="21"/>
                <w:szCs w:val="21"/>
                <w:highlight w:val="none"/>
              </w:rPr>
            </w:pPr>
            <w:r>
              <w:rPr>
                <w:rFonts w:cs="Times New Roman"/>
                <w:color w:val="auto"/>
                <w:sz w:val="21"/>
                <w:szCs w:val="21"/>
                <w:highlight w:val="none"/>
              </w:rPr>
              <w:t>执行标准</w:t>
            </w:r>
          </w:p>
        </w:tc>
        <w:tc>
          <w:tcPr>
            <w:tcW w:w="4189" w:type="pct"/>
            <w:gridSpan w:val="5"/>
            <w:vAlign w:val="center"/>
          </w:tcPr>
          <w:p>
            <w:pPr>
              <w:ind w:left="-116" w:firstLineChars="0" w:firstLine="0"/>
              <w:jc w:val="center"/>
              <w:rPr>
                <w:rFonts w:cs="Times New Roman"/>
                <w:color w:val="auto"/>
                <w:sz w:val="21"/>
                <w:szCs w:val="21"/>
                <w:highlight w:val="none"/>
              </w:rPr>
            </w:pPr>
          </w:p>
        </w:tc>
      </w:tr>
      <w:tr>
        <w:tc>
          <w:tcPr>
            <w:tcW w:w="810" w:type="pct"/>
            <w:vAlign w:val="center"/>
          </w:tcPr>
          <w:p>
            <w:pPr>
              <w:ind w:left="-116" w:firstLineChars="0" w:firstLine="0"/>
              <w:jc w:val="center"/>
              <w:rPr>
                <w:rFonts w:cs="Times New Roman"/>
                <w:color w:val="auto"/>
                <w:sz w:val="21"/>
                <w:szCs w:val="21"/>
                <w:highlight w:val="none"/>
              </w:rPr>
            </w:pPr>
            <w:r>
              <w:rPr>
                <w:rFonts w:cs="Times New Roman"/>
                <w:color w:val="auto"/>
                <w:sz w:val="21"/>
                <w:szCs w:val="21"/>
                <w:highlight w:val="none"/>
              </w:rPr>
              <w:t>仪器设备</w:t>
            </w:r>
          </w:p>
        </w:tc>
        <w:tc>
          <w:tcPr>
            <w:tcW w:w="1395" w:type="pct"/>
            <w:vAlign w:val="center"/>
          </w:tcPr>
          <w:p>
            <w:pPr>
              <w:ind w:left="-116" w:firstLineChars="0" w:firstLine="0"/>
              <w:jc w:val="center"/>
              <w:rPr>
                <w:rFonts w:cs="Times New Roman"/>
                <w:color w:val="auto"/>
                <w:sz w:val="21"/>
                <w:szCs w:val="21"/>
                <w:highlight w:val="none"/>
              </w:rPr>
            </w:pPr>
          </w:p>
        </w:tc>
        <w:tc>
          <w:tcPr>
            <w:tcW w:w="1395" w:type="pct"/>
            <w:gridSpan w:val="3"/>
            <w:vAlign w:val="center"/>
          </w:tcPr>
          <w:p>
            <w:pPr>
              <w:ind w:left="-116" w:firstLineChars="0" w:firstLine="0"/>
              <w:jc w:val="center"/>
              <w:rPr>
                <w:rFonts w:eastAsia="宋体" w:cs="Times New Roman"/>
                <w:color w:val="auto"/>
                <w:sz w:val="21"/>
                <w:szCs w:val="21"/>
                <w:lang w:val="en-US" w:eastAsia="zh-CN"/>
                <w:highlight w:val="none"/>
              </w:rPr>
            </w:pPr>
            <w:r>
              <w:rPr>
                <w:rFonts w:cs="Times New Roman" w:hint="eastAsia"/>
                <w:color w:val="auto"/>
                <w:sz w:val="21"/>
                <w:szCs w:val="21"/>
                <w:lang w:val="en-US" w:eastAsia="zh-CN"/>
                <w:highlight w:val="none"/>
              </w:rPr>
              <w:t>仪器</w:t>
            </w:r>
            <w:r>
              <w:rPr>
                <w:rFonts w:cs="Times New Roman"/>
                <w:color w:val="auto"/>
                <w:sz w:val="21"/>
                <w:szCs w:val="21"/>
                <w:highlight w:val="none"/>
              </w:rPr>
              <w:t>设备编号</w:t>
            </w:r>
            <w:r>
              <w:rPr>
                <w:rFonts w:cs="Times New Roman" w:hint="eastAsia"/>
                <w:color w:val="auto"/>
                <w:sz w:val="21"/>
                <w:szCs w:val="21"/>
                <w:lang w:val="en-US" w:eastAsia="zh-CN"/>
                <w:highlight w:val="none"/>
              </w:rPr>
              <w:t>/型号</w:t>
            </w:r>
          </w:p>
        </w:tc>
        <w:tc>
          <w:tcPr>
            <w:tcW w:w="1399" w:type="pct"/>
            <w:vAlign w:val="center"/>
          </w:tcPr>
          <w:p>
            <w:pPr>
              <w:ind w:left="-116" w:firstLineChars="0" w:firstLine="0"/>
              <w:jc w:val="center"/>
              <w:rPr>
                <w:rFonts w:cs="Times New Roman"/>
                <w:color w:val="auto"/>
                <w:sz w:val="21"/>
                <w:szCs w:val="21"/>
                <w:highlight w:val="none"/>
              </w:rPr>
            </w:pPr>
          </w:p>
        </w:tc>
      </w:tr>
      <w:tr>
        <w:tc>
          <w:tcPr>
            <w:tcW w:w="810" w:type="pct"/>
            <w:vAlign w:val="center"/>
          </w:tcPr>
          <w:p>
            <w:pPr>
              <w:ind w:left="-116" w:firstLineChars="0" w:firstLine="0"/>
              <w:jc w:val="center"/>
              <w:rPr>
                <w:rFonts w:eastAsia="宋体" w:cs="Times New Roman"/>
                <w:color w:val="auto"/>
                <w:sz w:val="21"/>
                <w:szCs w:val="21"/>
                <w:lang w:val="en-US" w:eastAsia="zh-CN"/>
                <w:highlight w:val="none"/>
              </w:rPr>
            </w:pPr>
            <w:r>
              <w:rPr>
                <w:rFonts w:cs="Times New Roman" w:hint="eastAsia"/>
                <w:color w:val="auto"/>
                <w:sz w:val="21"/>
                <w:szCs w:val="21"/>
                <w:lang w:val="en-US" w:eastAsia="zh-CN"/>
                <w:highlight w:val="none"/>
              </w:rPr>
              <w:t>灌浆日期</w:t>
            </w:r>
          </w:p>
        </w:tc>
        <w:tc>
          <w:tcPr>
            <w:tcW w:w="1395" w:type="pct"/>
            <w:vAlign w:val="center"/>
          </w:tcPr>
          <w:p>
            <w:pPr>
              <w:ind w:left="-116" w:firstLineChars="0" w:firstLine="0"/>
              <w:jc w:val="center"/>
              <w:rPr>
                <w:rFonts w:cs="Times New Roman"/>
                <w:color w:val="auto"/>
                <w:sz w:val="21"/>
                <w:szCs w:val="21"/>
                <w:highlight w:val="none"/>
              </w:rPr>
            </w:pPr>
          </w:p>
        </w:tc>
        <w:tc>
          <w:tcPr>
            <w:tcW w:w="1395" w:type="pct"/>
            <w:gridSpan w:val="3"/>
            <w:vAlign w:val="center"/>
          </w:tcPr>
          <w:p>
            <w:pPr>
              <w:ind w:left="-116" w:firstLineChars="0" w:firstLine="0"/>
              <w:jc w:val="center"/>
              <w:rPr>
                <w:rFonts w:cs="Times New Roman"/>
                <w:color w:val="auto"/>
                <w:sz w:val="21"/>
                <w:szCs w:val="21"/>
                <w:highlight w:val="none"/>
              </w:rPr>
            </w:pPr>
          </w:p>
        </w:tc>
        <w:tc>
          <w:tcPr>
            <w:tcW w:w="1399" w:type="pct"/>
            <w:vAlign w:val="center"/>
          </w:tcPr>
          <w:p>
            <w:pPr>
              <w:ind w:left="-116" w:firstLineChars="0" w:firstLine="0"/>
              <w:jc w:val="center"/>
              <w:rPr>
                <w:rFonts w:cs="Times New Roman"/>
                <w:color w:val="auto"/>
                <w:sz w:val="21"/>
                <w:szCs w:val="21"/>
                <w:highlight w:val="none"/>
              </w:rPr>
            </w:pPr>
          </w:p>
        </w:tc>
      </w:tr>
      <w:tr>
        <w:trPr>
          <w:trHeight w:val="350"/>
        </w:trPr>
        <w:tc>
          <w:tcPr>
            <w:tcW w:w="810" w:type="pct"/>
            <w:vAlign w:val="center"/>
          </w:tcPr>
          <w:p>
            <w:pPr>
              <w:ind w:left="-116" w:firstLineChars="0" w:firstLine="0"/>
              <w:jc w:val="center"/>
              <w:rPr>
                <w:rFonts w:cs="Times New Roman"/>
                <w:color w:val="auto"/>
                <w:sz w:val="21"/>
                <w:szCs w:val="21"/>
                <w:highlight w:val="none"/>
              </w:rPr>
            </w:pPr>
            <w:r>
              <w:rPr>
                <w:rFonts w:cs="Times New Roman"/>
                <w:color w:val="auto"/>
                <w:sz w:val="21"/>
                <w:szCs w:val="21"/>
                <w:highlight w:val="none"/>
              </w:rPr>
              <w:t>序号</w:t>
            </w:r>
          </w:p>
        </w:tc>
        <w:tc>
          <w:tcPr>
            <w:tcW w:w="1395" w:type="pct"/>
            <w:vAlign w:val="center"/>
          </w:tcPr>
          <w:p>
            <w:pPr>
              <w:ind w:left="-116" w:firstLineChars="0" w:firstLine="0"/>
              <w:jc w:val="center"/>
              <w:rPr>
                <w:rFonts w:cs="Times New Roman"/>
                <w:color w:val="auto"/>
                <w:sz w:val="21"/>
                <w:szCs w:val="21"/>
                <w:highlight w:val="none"/>
              </w:rPr>
            </w:pPr>
            <w:r>
              <w:rPr>
                <w:rFonts w:cs="Times New Roman"/>
                <w:color w:val="auto"/>
                <w:sz w:val="21"/>
                <w:szCs w:val="21"/>
                <w:highlight w:val="none"/>
              </w:rPr>
              <w:t>构件类型/编号</w:t>
            </w:r>
          </w:p>
        </w:tc>
        <w:tc>
          <w:tcPr>
            <w:tcW w:w="1395" w:type="pct"/>
            <w:gridSpan w:val="3"/>
            <w:vAlign w:val="center"/>
          </w:tcPr>
          <w:p>
            <w:pPr>
              <w:ind w:left="-116" w:firstLineChars="0" w:firstLine="0"/>
              <w:jc w:val="center"/>
              <w:rPr>
                <w:rFonts w:cs="Times New Roman"/>
                <w:color w:val="auto"/>
                <w:sz w:val="21"/>
                <w:szCs w:val="21"/>
                <w:highlight w:val="none"/>
              </w:rPr>
            </w:pPr>
            <w:r>
              <w:rPr>
                <w:rFonts w:cs="Times New Roman"/>
                <w:color w:val="auto"/>
                <w:sz w:val="21"/>
                <w:szCs w:val="21"/>
                <w:highlight w:val="none"/>
              </w:rPr>
              <w:t>套筒编号</w:t>
            </w:r>
          </w:p>
        </w:tc>
        <w:tc>
          <w:tcPr>
            <w:tcW w:w="1399" w:type="pct"/>
            <w:vAlign w:val="center"/>
          </w:tcPr>
          <w:p>
            <w:pPr>
              <w:ind w:left="-116" w:firstLineChars="0" w:firstLine="0"/>
              <w:jc w:val="center"/>
              <w:rPr>
                <w:rFonts w:cs="Times New Roman"/>
                <w:color w:val="auto"/>
                <w:sz w:val="21"/>
                <w:szCs w:val="21"/>
                <w:highlight w:val="none"/>
              </w:rPr>
            </w:pPr>
            <w:r>
              <w:rPr>
                <w:rFonts w:cs="Times New Roman"/>
                <w:color w:val="auto"/>
                <w:sz w:val="21"/>
                <w:szCs w:val="21"/>
                <w:highlight w:val="none"/>
              </w:rPr>
              <w:t>状况</w:t>
            </w:r>
          </w:p>
        </w:tc>
      </w:tr>
      <w:tr>
        <w:trPr>
          <w:trHeight w:val="349"/>
        </w:trPr>
        <w:tc>
          <w:tcPr>
            <w:tcW w:w="810" w:type="pct"/>
            <w:vAlign w:val="center"/>
          </w:tcPr>
          <w:p>
            <w:pPr>
              <w:ind w:left="-116" w:firstLineChars="0" w:firstLine="0"/>
              <w:jc w:val="center"/>
              <w:rPr>
                <w:rFonts w:eastAsia="楷体" w:cs="Times New Roman"/>
                <w:color w:val="auto"/>
                <w:sz w:val="21"/>
                <w:szCs w:val="21"/>
                <w:highlight w:val="none"/>
              </w:rPr>
            </w:pPr>
          </w:p>
        </w:tc>
        <w:tc>
          <w:tcPr>
            <w:tcW w:w="1395" w:type="pct"/>
            <w:vAlign w:val="center"/>
          </w:tcPr>
          <w:p>
            <w:pPr>
              <w:ind w:left="-116" w:firstLineChars="0" w:firstLine="0"/>
              <w:jc w:val="center"/>
              <w:rPr>
                <w:rFonts w:eastAsia="楷体" w:cs="Times New Roman"/>
                <w:color w:val="auto"/>
                <w:sz w:val="21"/>
                <w:szCs w:val="21"/>
                <w:highlight w:val="none"/>
              </w:rPr>
            </w:pPr>
          </w:p>
        </w:tc>
        <w:tc>
          <w:tcPr>
            <w:tcW w:w="1395" w:type="pct"/>
            <w:gridSpan w:val="3"/>
            <w:vAlign w:val="center"/>
          </w:tcPr>
          <w:p>
            <w:pPr>
              <w:ind w:left="-116" w:firstLineChars="0" w:firstLine="0"/>
              <w:jc w:val="center"/>
              <w:rPr>
                <w:rFonts w:eastAsia="楷体" w:cs="Times New Roman"/>
                <w:color w:val="auto"/>
                <w:sz w:val="21"/>
                <w:szCs w:val="21"/>
                <w:highlight w:val="none"/>
              </w:rPr>
            </w:pPr>
          </w:p>
        </w:tc>
        <w:tc>
          <w:tcPr>
            <w:tcW w:w="1399" w:type="pct"/>
            <w:vAlign w:val="center"/>
          </w:tcPr>
          <w:p>
            <w:pPr>
              <w:ind w:left="-116" w:firstLineChars="0" w:firstLine="0"/>
              <w:jc w:val="center"/>
              <w:rPr>
                <w:rFonts w:eastAsia="楷体" w:cs="Times New Roman"/>
                <w:color w:val="auto"/>
                <w:sz w:val="21"/>
                <w:szCs w:val="21"/>
                <w:highlight w:val="none"/>
              </w:rPr>
            </w:pPr>
          </w:p>
        </w:tc>
      </w:tr>
      <w:tr>
        <w:trPr>
          <w:trHeight w:val="349"/>
        </w:trPr>
        <w:tc>
          <w:tcPr>
            <w:tcW w:w="810" w:type="pct"/>
            <w:vAlign w:val="center"/>
          </w:tcPr>
          <w:p>
            <w:pPr>
              <w:ind w:left="-116" w:firstLineChars="0" w:firstLine="0"/>
              <w:jc w:val="center"/>
              <w:rPr>
                <w:rFonts w:eastAsia="楷体" w:cs="Times New Roman"/>
                <w:color w:val="auto"/>
                <w:sz w:val="21"/>
                <w:szCs w:val="21"/>
                <w:highlight w:val="none"/>
              </w:rPr>
            </w:pPr>
          </w:p>
        </w:tc>
        <w:tc>
          <w:tcPr>
            <w:tcW w:w="1395" w:type="pct"/>
            <w:vAlign w:val="center"/>
          </w:tcPr>
          <w:p>
            <w:pPr>
              <w:ind w:left="-116" w:firstLineChars="0" w:firstLine="0"/>
              <w:jc w:val="center"/>
              <w:rPr>
                <w:rFonts w:eastAsia="楷体" w:cs="Times New Roman"/>
                <w:color w:val="auto"/>
                <w:sz w:val="21"/>
                <w:szCs w:val="21"/>
                <w:highlight w:val="none"/>
              </w:rPr>
            </w:pPr>
          </w:p>
        </w:tc>
        <w:tc>
          <w:tcPr>
            <w:tcW w:w="1395" w:type="pct"/>
            <w:gridSpan w:val="3"/>
            <w:vAlign w:val="center"/>
          </w:tcPr>
          <w:p>
            <w:pPr>
              <w:ind w:left="-116" w:firstLineChars="0" w:firstLine="0"/>
              <w:jc w:val="center"/>
              <w:rPr>
                <w:rFonts w:eastAsia="楷体" w:cs="Times New Roman"/>
                <w:color w:val="auto"/>
                <w:sz w:val="21"/>
                <w:szCs w:val="21"/>
                <w:highlight w:val="none"/>
              </w:rPr>
            </w:pPr>
          </w:p>
        </w:tc>
        <w:tc>
          <w:tcPr>
            <w:tcW w:w="1399" w:type="pct"/>
            <w:vAlign w:val="center"/>
          </w:tcPr>
          <w:p>
            <w:pPr>
              <w:ind w:left="-116" w:firstLineChars="0" w:firstLine="0"/>
              <w:jc w:val="center"/>
              <w:rPr>
                <w:rFonts w:eastAsia="楷体" w:cs="Times New Roman"/>
                <w:color w:val="auto"/>
                <w:sz w:val="21"/>
                <w:szCs w:val="21"/>
                <w:highlight w:val="none"/>
              </w:rPr>
            </w:pPr>
          </w:p>
        </w:tc>
      </w:tr>
      <w:tr>
        <w:trPr>
          <w:trHeight w:val="349"/>
        </w:trPr>
        <w:tc>
          <w:tcPr>
            <w:tcW w:w="810" w:type="pct"/>
            <w:vAlign w:val="center"/>
          </w:tcPr>
          <w:p>
            <w:pPr>
              <w:ind w:left="-116" w:firstLineChars="0" w:firstLine="0"/>
              <w:jc w:val="center"/>
              <w:rPr>
                <w:rFonts w:eastAsia="楷体" w:cs="Times New Roman"/>
                <w:color w:val="auto"/>
                <w:sz w:val="21"/>
                <w:szCs w:val="21"/>
                <w:highlight w:val="none"/>
              </w:rPr>
            </w:pPr>
          </w:p>
        </w:tc>
        <w:tc>
          <w:tcPr>
            <w:tcW w:w="1395" w:type="pct"/>
            <w:vAlign w:val="center"/>
          </w:tcPr>
          <w:p>
            <w:pPr>
              <w:ind w:left="-116" w:firstLineChars="0" w:firstLine="0"/>
              <w:jc w:val="center"/>
              <w:rPr>
                <w:rFonts w:eastAsia="楷体" w:cs="Times New Roman"/>
                <w:color w:val="auto"/>
                <w:sz w:val="21"/>
                <w:szCs w:val="21"/>
                <w:highlight w:val="none"/>
              </w:rPr>
            </w:pPr>
          </w:p>
        </w:tc>
        <w:tc>
          <w:tcPr>
            <w:tcW w:w="1395" w:type="pct"/>
            <w:gridSpan w:val="3"/>
            <w:vAlign w:val="center"/>
          </w:tcPr>
          <w:p>
            <w:pPr>
              <w:ind w:left="-116" w:firstLineChars="0" w:firstLine="0"/>
              <w:jc w:val="center"/>
              <w:rPr>
                <w:rFonts w:eastAsia="楷体" w:cs="Times New Roman"/>
                <w:color w:val="auto"/>
                <w:sz w:val="21"/>
                <w:szCs w:val="21"/>
                <w:highlight w:val="none"/>
              </w:rPr>
            </w:pPr>
          </w:p>
        </w:tc>
        <w:tc>
          <w:tcPr>
            <w:tcW w:w="1399" w:type="pct"/>
            <w:vAlign w:val="center"/>
          </w:tcPr>
          <w:p>
            <w:pPr>
              <w:ind w:left="-116" w:firstLineChars="0" w:firstLine="0"/>
              <w:jc w:val="center"/>
              <w:rPr>
                <w:rFonts w:eastAsia="楷体" w:cs="Times New Roman"/>
                <w:color w:val="auto"/>
                <w:sz w:val="21"/>
                <w:szCs w:val="21"/>
                <w:highlight w:val="none"/>
              </w:rPr>
            </w:pPr>
          </w:p>
        </w:tc>
      </w:tr>
      <w:tr>
        <w:trPr>
          <w:trHeight w:val="349"/>
        </w:trPr>
        <w:tc>
          <w:tcPr>
            <w:tcW w:w="810" w:type="pct"/>
            <w:vAlign w:val="center"/>
          </w:tcPr>
          <w:p>
            <w:pPr>
              <w:ind w:left="-116" w:firstLineChars="0" w:firstLine="0"/>
              <w:jc w:val="center"/>
              <w:rPr>
                <w:rFonts w:eastAsia="楷体" w:cs="Times New Roman"/>
                <w:color w:val="auto"/>
                <w:sz w:val="21"/>
                <w:szCs w:val="21"/>
                <w:highlight w:val="none"/>
              </w:rPr>
            </w:pPr>
          </w:p>
        </w:tc>
        <w:tc>
          <w:tcPr>
            <w:tcW w:w="1395" w:type="pct"/>
            <w:vAlign w:val="center"/>
          </w:tcPr>
          <w:p>
            <w:pPr>
              <w:ind w:left="-116" w:firstLineChars="0" w:firstLine="0"/>
              <w:jc w:val="center"/>
              <w:rPr>
                <w:rFonts w:eastAsia="楷体" w:cs="Times New Roman"/>
                <w:color w:val="auto"/>
                <w:sz w:val="21"/>
                <w:szCs w:val="21"/>
                <w:highlight w:val="none"/>
              </w:rPr>
            </w:pPr>
          </w:p>
        </w:tc>
        <w:tc>
          <w:tcPr>
            <w:tcW w:w="1395" w:type="pct"/>
            <w:gridSpan w:val="3"/>
            <w:vAlign w:val="center"/>
          </w:tcPr>
          <w:p>
            <w:pPr>
              <w:ind w:left="-116" w:firstLineChars="0" w:firstLine="0"/>
              <w:jc w:val="center"/>
              <w:rPr>
                <w:rFonts w:eastAsia="楷体" w:cs="Times New Roman"/>
                <w:color w:val="auto"/>
                <w:sz w:val="21"/>
                <w:szCs w:val="21"/>
                <w:highlight w:val="none"/>
              </w:rPr>
            </w:pPr>
          </w:p>
        </w:tc>
        <w:tc>
          <w:tcPr>
            <w:tcW w:w="1399" w:type="pct"/>
            <w:vAlign w:val="center"/>
          </w:tcPr>
          <w:p>
            <w:pPr>
              <w:ind w:left="-116" w:firstLineChars="0" w:firstLine="0"/>
              <w:jc w:val="center"/>
              <w:rPr>
                <w:rFonts w:eastAsia="楷体" w:cs="Times New Roman"/>
                <w:color w:val="auto"/>
                <w:sz w:val="21"/>
                <w:szCs w:val="21"/>
                <w:highlight w:val="none"/>
              </w:rPr>
            </w:pPr>
          </w:p>
        </w:tc>
      </w:tr>
      <w:tr>
        <w:trPr>
          <w:trHeight w:val="349"/>
        </w:trPr>
        <w:tc>
          <w:tcPr>
            <w:tcW w:w="810" w:type="pct"/>
            <w:vAlign w:val="center"/>
          </w:tcPr>
          <w:p>
            <w:pPr>
              <w:ind w:left="-116" w:firstLineChars="0" w:firstLine="0"/>
              <w:jc w:val="center"/>
              <w:rPr>
                <w:rFonts w:eastAsia="楷体" w:cs="Times New Roman"/>
                <w:color w:val="auto"/>
                <w:sz w:val="21"/>
                <w:szCs w:val="21"/>
                <w:highlight w:val="none"/>
              </w:rPr>
            </w:pPr>
          </w:p>
        </w:tc>
        <w:tc>
          <w:tcPr>
            <w:tcW w:w="1395" w:type="pct"/>
            <w:vAlign w:val="center"/>
          </w:tcPr>
          <w:p>
            <w:pPr>
              <w:ind w:left="-116" w:firstLineChars="0" w:firstLine="0"/>
              <w:jc w:val="center"/>
              <w:rPr>
                <w:rFonts w:eastAsia="楷体" w:cs="Times New Roman"/>
                <w:color w:val="auto"/>
                <w:sz w:val="21"/>
                <w:szCs w:val="21"/>
                <w:highlight w:val="none"/>
              </w:rPr>
            </w:pPr>
          </w:p>
        </w:tc>
        <w:tc>
          <w:tcPr>
            <w:tcW w:w="1395" w:type="pct"/>
            <w:gridSpan w:val="3"/>
            <w:vAlign w:val="center"/>
          </w:tcPr>
          <w:p>
            <w:pPr>
              <w:ind w:left="-116" w:firstLineChars="0" w:firstLine="0"/>
              <w:jc w:val="center"/>
              <w:rPr>
                <w:rFonts w:eastAsia="楷体" w:cs="Times New Roman"/>
                <w:color w:val="auto"/>
                <w:sz w:val="21"/>
                <w:szCs w:val="21"/>
                <w:highlight w:val="none"/>
              </w:rPr>
            </w:pPr>
          </w:p>
        </w:tc>
        <w:tc>
          <w:tcPr>
            <w:tcW w:w="1399" w:type="pct"/>
            <w:vAlign w:val="center"/>
          </w:tcPr>
          <w:p>
            <w:pPr>
              <w:ind w:left="-116" w:firstLineChars="0" w:firstLine="0"/>
              <w:jc w:val="center"/>
              <w:rPr>
                <w:rFonts w:eastAsia="楷体" w:cs="Times New Roman"/>
                <w:color w:val="auto"/>
                <w:sz w:val="21"/>
                <w:szCs w:val="21"/>
                <w:highlight w:val="none"/>
              </w:rPr>
            </w:pPr>
          </w:p>
        </w:tc>
      </w:tr>
      <w:tr>
        <w:trPr>
          <w:trHeight w:val="349"/>
        </w:trPr>
        <w:tc>
          <w:tcPr>
            <w:tcW w:w="810" w:type="pct"/>
            <w:vAlign w:val="center"/>
          </w:tcPr>
          <w:p>
            <w:pPr>
              <w:ind w:left="-116" w:firstLineChars="0" w:firstLine="0"/>
              <w:jc w:val="center"/>
              <w:rPr>
                <w:rFonts w:eastAsia="楷体" w:cs="Times New Roman"/>
                <w:color w:val="auto"/>
                <w:sz w:val="21"/>
                <w:szCs w:val="21"/>
                <w:highlight w:val="none"/>
              </w:rPr>
            </w:pPr>
          </w:p>
        </w:tc>
        <w:tc>
          <w:tcPr>
            <w:tcW w:w="1395" w:type="pct"/>
            <w:vAlign w:val="center"/>
          </w:tcPr>
          <w:p>
            <w:pPr>
              <w:ind w:left="-116" w:firstLineChars="0" w:firstLine="0"/>
              <w:jc w:val="center"/>
              <w:rPr>
                <w:rFonts w:eastAsia="楷体" w:cs="Times New Roman"/>
                <w:color w:val="auto"/>
                <w:sz w:val="21"/>
                <w:szCs w:val="21"/>
                <w:highlight w:val="none"/>
              </w:rPr>
            </w:pPr>
          </w:p>
        </w:tc>
        <w:tc>
          <w:tcPr>
            <w:tcW w:w="1395" w:type="pct"/>
            <w:gridSpan w:val="3"/>
            <w:vAlign w:val="center"/>
          </w:tcPr>
          <w:p>
            <w:pPr>
              <w:ind w:left="-116" w:firstLineChars="0" w:firstLine="0"/>
              <w:jc w:val="center"/>
              <w:rPr>
                <w:rFonts w:eastAsia="楷体" w:cs="Times New Roman"/>
                <w:color w:val="auto"/>
                <w:sz w:val="21"/>
                <w:szCs w:val="21"/>
                <w:highlight w:val="none"/>
              </w:rPr>
            </w:pPr>
          </w:p>
        </w:tc>
        <w:tc>
          <w:tcPr>
            <w:tcW w:w="1399" w:type="pct"/>
            <w:vAlign w:val="center"/>
          </w:tcPr>
          <w:p>
            <w:pPr>
              <w:ind w:left="-116" w:firstLineChars="0" w:firstLine="0"/>
              <w:jc w:val="center"/>
              <w:rPr>
                <w:rFonts w:eastAsia="楷体" w:cs="Times New Roman"/>
                <w:color w:val="auto"/>
                <w:sz w:val="21"/>
                <w:szCs w:val="21"/>
                <w:highlight w:val="none"/>
              </w:rPr>
            </w:pPr>
          </w:p>
        </w:tc>
      </w:tr>
      <w:tr>
        <w:trPr>
          <w:trHeight w:val="349"/>
        </w:trPr>
        <w:tc>
          <w:tcPr>
            <w:tcW w:w="810" w:type="pct"/>
            <w:vAlign w:val="center"/>
          </w:tcPr>
          <w:p>
            <w:pPr>
              <w:ind w:left="-116" w:firstLineChars="0" w:firstLine="0"/>
              <w:jc w:val="center"/>
              <w:rPr>
                <w:rFonts w:eastAsia="楷体" w:cs="Times New Roman"/>
                <w:color w:val="auto"/>
                <w:sz w:val="21"/>
                <w:szCs w:val="21"/>
                <w:highlight w:val="none"/>
              </w:rPr>
            </w:pPr>
          </w:p>
        </w:tc>
        <w:tc>
          <w:tcPr>
            <w:tcW w:w="1395" w:type="pct"/>
            <w:vAlign w:val="center"/>
          </w:tcPr>
          <w:p>
            <w:pPr>
              <w:ind w:left="-116" w:firstLineChars="0" w:firstLine="0"/>
              <w:jc w:val="center"/>
              <w:rPr>
                <w:rFonts w:eastAsia="楷体" w:cs="Times New Roman"/>
                <w:color w:val="auto"/>
                <w:sz w:val="21"/>
                <w:szCs w:val="21"/>
                <w:highlight w:val="none"/>
              </w:rPr>
            </w:pPr>
          </w:p>
        </w:tc>
        <w:tc>
          <w:tcPr>
            <w:tcW w:w="1395" w:type="pct"/>
            <w:gridSpan w:val="3"/>
            <w:vAlign w:val="center"/>
          </w:tcPr>
          <w:p>
            <w:pPr>
              <w:ind w:left="-116" w:firstLineChars="0" w:firstLine="0"/>
              <w:jc w:val="center"/>
              <w:rPr>
                <w:rFonts w:eastAsia="楷体" w:cs="Times New Roman"/>
                <w:color w:val="auto"/>
                <w:sz w:val="21"/>
                <w:szCs w:val="21"/>
                <w:highlight w:val="none"/>
              </w:rPr>
            </w:pPr>
          </w:p>
        </w:tc>
        <w:tc>
          <w:tcPr>
            <w:tcW w:w="1399" w:type="pct"/>
            <w:vAlign w:val="center"/>
          </w:tcPr>
          <w:p>
            <w:pPr>
              <w:ind w:left="-116" w:firstLineChars="0" w:firstLine="0"/>
              <w:jc w:val="center"/>
              <w:rPr>
                <w:rFonts w:eastAsia="楷体" w:cs="Times New Roman"/>
                <w:color w:val="auto"/>
                <w:sz w:val="21"/>
                <w:szCs w:val="21"/>
                <w:highlight w:val="none"/>
              </w:rPr>
            </w:pPr>
          </w:p>
        </w:tc>
      </w:tr>
      <w:tr>
        <w:trPr>
          <w:trHeight w:val="349"/>
        </w:trPr>
        <w:tc>
          <w:tcPr>
            <w:tcW w:w="810" w:type="pct"/>
            <w:vAlign w:val="center"/>
          </w:tcPr>
          <w:p>
            <w:pPr>
              <w:ind w:left="-116" w:firstLineChars="0" w:firstLine="0"/>
              <w:jc w:val="center"/>
              <w:rPr>
                <w:rFonts w:eastAsia="楷体" w:cs="Times New Roman"/>
                <w:color w:val="auto"/>
                <w:sz w:val="21"/>
                <w:szCs w:val="21"/>
                <w:highlight w:val="none"/>
              </w:rPr>
            </w:pPr>
          </w:p>
        </w:tc>
        <w:tc>
          <w:tcPr>
            <w:tcW w:w="1395" w:type="pct"/>
            <w:vAlign w:val="center"/>
          </w:tcPr>
          <w:p>
            <w:pPr>
              <w:ind w:left="-116" w:firstLineChars="0" w:firstLine="0"/>
              <w:jc w:val="center"/>
              <w:rPr>
                <w:rFonts w:eastAsia="楷体" w:cs="Times New Roman"/>
                <w:color w:val="auto"/>
                <w:sz w:val="21"/>
                <w:szCs w:val="21"/>
                <w:highlight w:val="none"/>
              </w:rPr>
            </w:pPr>
          </w:p>
        </w:tc>
        <w:tc>
          <w:tcPr>
            <w:tcW w:w="1395" w:type="pct"/>
            <w:gridSpan w:val="3"/>
            <w:vAlign w:val="center"/>
          </w:tcPr>
          <w:p>
            <w:pPr>
              <w:ind w:left="-116" w:firstLineChars="0" w:firstLine="0"/>
              <w:jc w:val="center"/>
              <w:rPr>
                <w:rFonts w:eastAsia="楷体" w:cs="Times New Roman"/>
                <w:color w:val="auto"/>
                <w:sz w:val="21"/>
                <w:szCs w:val="21"/>
                <w:highlight w:val="none"/>
              </w:rPr>
            </w:pPr>
          </w:p>
        </w:tc>
        <w:tc>
          <w:tcPr>
            <w:tcW w:w="1399" w:type="pct"/>
            <w:vAlign w:val="center"/>
          </w:tcPr>
          <w:p>
            <w:pPr>
              <w:ind w:left="-116" w:firstLineChars="0" w:firstLine="0"/>
              <w:jc w:val="center"/>
              <w:rPr>
                <w:rFonts w:eastAsia="楷体" w:cs="Times New Roman"/>
                <w:color w:val="auto"/>
                <w:sz w:val="21"/>
                <w:szCs w:val="21"/>
                <w:highlight w:val="none"/>
              </w:rPr>
            </w:pPr>
          </w:p>
        </w:tc>
      </w:tr>
      <w:tr>
        <w:trPr>
          <w:trHeight w:val="349"/>
        </w:trPr>
        <w:tc>
          <w:tcPr>
            <w:tcW w:w="810" w:type="pct"/>
            <w:vAlign w:val="center"/>
          </w:tcPr>
          <w:p>
            <w:pPr>
              <w:ind w:left="-116" w:firstLineChars="0" w:firstLine="0"/>
              <w:jc w:val="center"/>
              <w:rPr>
                <w:rFonts w:eastAsia="楷体" w:cs="Times New Roman"/>
                <w:color w:val="auto"/>
                <w:sz w:val="21"/>
                <w:szCs w:val="21"/>
                <w:highlight w:val="none"/>
              </w:rPr>
            </w:pPr>
          </w:p>
        </w:tc>
        <w:tc>
          <w:tcPr>
            <w:tcW w:w="1395" w:type="pct"/>
            <w:vAlign w:val="center"/>
          </w:tcPr>
          <w:p>
            <w:pPr>
              <w:ind w:left="-116" w:firstLineChars="0" w:firstLine="0"/>
              <w:jc w:val="center"/>
              <w:rPr>
                <w:rFonts w:eastAsia="楷体" w:cs="Times New Roman"/>
                <w:color w:val="auto"/>
                <w:sz w:val="21"/>
                <w:szCs w:val="21"/>
                <w:highlight w:val="none"/>
              </w:rPr>
            </w:pPr>
          </w:p>
        </w:tc>
        <w:tc>
          <w:tcPr>
            <w:tcW w:w="1395" w:type="pct"/>
            <w:gridSpan w:val="3"/>
            <w:vAlign w:val="center"/>
          </w:tcPr>
          <w:p>
            <w:pPr>
              <w:ind w:left="-116" w:firstLineChars="0" w:firstLine="0"/>
              <w:jc w:val="center"/>
              <w:rPr>
                <w:rFonts w:eastAsia="楷体" w:cs="Times New Roman"/>
                <w:color w:val="auto"/>
                <w:sz w:val="21"/>
                <w:szCs w:val="21"/>
                <w:highlight w:val="none"/>
              </w:rPr>
            </w:pPr>
          </w:p>
        </w:tc>
        <w:tc>
          <w:tcPr>
            <w:tcW w:w="1399" w:type="pct"/>
            <w:vAlign w:val="center"/>
          </w:tcPr>
          <w:p>
            <w:pPr>
              <w:ind w:left="-116" w:firstLineChars="0" w:firstLine="0"/>
              <w:jc w:val="center"/>
              <w:rPr>
                <w:rFonts w:eastAsia="楷体" w:cs="Times New Roman"/>
                <w:color w:val="auto"/>
                <w:sz w:val="21"/>
                <w:szCs w:val="21"/>
                <w:highlight w:val="none"/>
              </w:rPr>
            </w:pPr>
          </w:p>
        </w:tc>
      </w:tr>
      <w:tr>
        <w:trPr>
          <w:trHeight w:val="349"/>
        </w:trPr>
        <w:tc>
          <w:tcPr>
            <w:tcW w:w="810" w:type="pct"/>
            <w:vAlign w:val="center"/>
          </w:tcPr>
          <w:p>
            <w:pPr>
              <w:ind w:left="-116" w:firstLineChars="0" w:firstLine="0"/>
              <w:jc w:val="center"/>
              <w:rPr>
                <w:rFonts w:eastAsia="楷体" w:cs="Times New Roman"/>
                <w:color w:val="auto"/>
                <w:sz w:val="21"/>
                <w:szCs w:val="21"/>
                <w:highlight w:val="none"/>
              </w:rPr>
            </w:pPr>
          </w:p>
        </w:tc>
        <w:tc>
          <w:tcPr>
            <w:tcW w:w="1395" w:type="pct"/>
            <w:vAlign w:val="center"/>
          </w:tcPr>
          <w:p>
            <w:pPr>
              <w:ind w:left="-116" w:firstLineChars="0" w:firstLine="0"/>
              <w:jc w:val="center"/>
              <w:rPr>
                <w:rFonts w:eastAsia="楷体" w:cs="Times New Roman"/>
                <w:color w:val="auto"/>
                <w:sz w:val="21"/>
                <w:szCs w:val="21"/>
                <w:highlight w:val="none"/>
              </w:rPr>
            </w:pPr>
          </w:p>
        </w:tc>
        <w:tc>
          <w:tcPr>
            <w:tcW w:w="1395" w:type="pct"/>
            <w:gridSpan w:val="3"/>
            <w:vAlign w:val="center"/>
          </w:tcPr>
          <w:p>
            <w:pPr>
              <w:ind w:left="-116" w:firstLineChars="0" w:firstLine="0"/>
              <w:jc w:val="center"/>
              <w:rPr>
                <w:rFonts w:eastAsia="楷体" w:cs="Times New Roman"/>
                <w:color w:val="auto"/>
                <w:sz w:val="21"/>
                <w:szCs w:val="21"/>
                <w:highlight w:val="none"/>
              </w:rPr>
            </w:pPr>
          </w:p>
        </w:tc>
        <w:tc>
          <w:tcPr>
            <w:tcW w:w="1399" w:type="pct"/>
            <w:vAlign w:val="center"/>
          </w:tcPr>
          <w:p>
            <w:pPr>
              <w:ind w:left="-116" w:firstLineChars="0" w:firstLine="0"/>
              <w:jc w:val="center"/>
              <w:rPr>
                <w:rFonts w:eastAsia="楷体" w:cs="Times New Roman"/>
                <w:color w:val="auto"/>
                <w:sz w:val="21"/>
                <w:szCs w:val="21"/>
                <w:highlight w:val="none"/>
              </w:rPr>
            </w:pPr>
          </w:p>
        </w:tc>
      </w:tr>
      <w:tr>
        <w:trPr>
          <w:trHeight w:val="349"/>
        </w:trPr>
        <w:tc>
          <w:tcPr>
            <w:tcW w:w="810" w:type="pct"/>
            <w:vAlign w:val="center"/>
          </w:tcPr>
          <w:p>
            <w:pPr>
              <w:ind w:left="-116" w:firstLineChars="0" w:firstLine="0"/>
              <w:jc w:val="center"/>
              <w:rPr>
                <w:rFonts w:eastAsia="楷体" w:cs="Times New Roman"/>
                <w:color w:val="auto"/>
                <w:sz w:val="21"/>
                <w:szCs w:val="21"/>
                <w:highlight w:val="none"/>
              </w:rPr>
            </w:pPr>
          </w:p>
        </w:tc>
        <w:tc>
          <w:tcPr>
            <w:tcW w:w="1395" w:type="pct"/>
            <w:vAlign w:val="center"/>
          </w:tcPr>
          <w:p>
            <w:pPr>
              <w:ind w:left="-116" w:firstLineChars="0" w:firstLine="0"/>
              <w:jc w:val="center"/>
              <w:rPr>
                <w:rFonts w:eastAsia="楷体" w:cs="Times New Roman"/>
                <w:color w:val="auto"/>
                <w:sz w:val="21"/>
                <w:szCs w:val="21"/>
                <w:highlight w:val="none"/>
              </w:rPr>
            </w:pPr>
          </w:p>
        </w:tc>
        <w:tc>
          <w:tcPr>
            <w:tcW w:w="1395" w:type="pct"/>
            <w:gridSpan w:val="3"/>
            <w:vAlign w:val="center"/>
          </w:tcPr>
          <w:p>
            <w:pPr>
              <w:ind w:left="-116" w:firstLineChars="0" w:firstLine="0"/>
              <w:jc w:val="center"/>
              <w:rPr>
                <w:rFonts w:eastAsia="楷体" w:cs="Times New Roman"/>
                <w:color w:val="auto"/>
                <w:sz w:val="21"/>
                <w:szCs w:val="21"/>
                <w:highlight w:val="none"/>
              </w:rPr>
            </w:pPr>
          </w:p>
        </w:tc>
        <w:tc>
          <w:tcPr>
            <w:tcW w:w="1399" w:type="pct"/>
            <w:vAlign w:val="center"/>
          </w:tcPr>
          <w:p>
            <w:pPr>
              <w:ind w:left="-116" w:firstLineChars="0" w:firstLine="0"/>
              <w:jc w:val="center"/>
              <w:rPr>
                <w:rFonts w:eastAsia="楷体" w:cs="Times New Roman"/>
                <w:color w:val="auto"/>
                <w:sz w:val="21"/>
                <w:szCs w:val="21"/>
                <w:highlight w:val="none"/>
              </w:rPr>
            </w:pPr>
          </w:p>
        </w:tc>
      </w:tr>
      <w:tr>
        <w:trPr>
          <w:trHeight w:val="349"/>
        </w:trPr>
        <w:tc>
          <w:tcPr>
            <w:tcW w:w="810" w:type="pct"/>
            <w:vAlign w:val="center"/>
          </w:tcPr>
          <w:p>
            <w:pPr>
              <w:ind w:left="-116" w:firstLineChars="0" w:firstLine="0"/>
              <w:jc w:val="center"/>
              <w:rPr>
                <w:rFonts w:eastAsia="楷体" w:cs="Times New Roman"/>
                <w:color w:val="auto"/>
                <w:sz w:val="21"/>
                <w:szCs w:val="21"/>
                <w:highlight w:val="none"/>
              </w:rPr>
            </w:pPr>
          </w:p>
        </w:tc>
        <w:tc>
          <w:tcPr>
            <w:tcW w:w="1395" w:type="pct"/>
            <w:vAlign w:val="center"/>
          </w:tcPr>
          <w:p>
            <w:pPr>
              <w:ind w:left="-116" w:firstLineChars="0" w:firstLine="0"/>
              <w:jc w:val="center"/>
              <w:rPr>
                <w:rFonts w:eastAsia="楷体" w:cs="Times New Roman"/>
                <w:color w:val="auto"/>
                <w:sz w:val="21"/>
                <w:szCs w:val="21"/>
                <w:highlight w:val="none"/>
              </w:rPr>
            </w:pPr>
          </w:p>
        </w:tc>
        <w:tc>
          <w:tcPr>
            <w:tcW w:w="1395" w:type="pct"/>
            <w:gridSpan w:val="3"/>
            <w:vAlign w:val="center"/>
          </w:tcPr>
          <w:p>
            <w:pPr>
              <w:ind w:left="-116" w:firstLineChars="0" w:firstLine="0"/>
              <w:jc w:val="center"/>
              <w:rPr>
                <w:rFonts w:eastAsia="楷体" w:cs="Times New Roman"/>
                <w:color w:val="auto"/>
                <w:sz w:val="21"/>
                <w:szCs w:val="21"/>
                <w:highlight w:val="none"/>
              </w:rPr>
            </w:pPr>
          </w:p>
        </w:tc>
        <w:tc>
          <w:tcPr>
            <w:tcW w:w="1399" w:type="pct"/>
            <w:vAlign w:val="center"/>
          </w:tcPr>
          <w:p>
            <w:pPr>
              <w:ind w:left="-116" w:firstLineChars="0" w:firstLine="0"/>
              <w:jc w:val="center"/>
              <w:rPr>
                <w:rFonts w:eastAsia="楷体" w:cs="Times New Roman"/>
                <w:color w:val="auto"/>
                <w:sz w:val="21"/>
                <w:szCs w:val="21"/>
                <w:highlight w:val="none"/>
              </w:rPr>
            </w:pPr>
          </w:p>
        </w:tc>
      </w:tr>
      <w:tr>
        <w:trPr>
          <w:trHeight w:val="349"/>
        </w:trPr>
        <w:tc>
          <w:tcPr>
            <w:tcW w:w="810" w:type="pct"/>
            <w:vAlign w:val="center"/>
          </w:tcPr>
          <w:p>
            <w:pPr>
              <w:ind w:left="-116" w:firstLineChars="0" w:firstLine="0"/>
              <w:jc w:val="center"/>
              <w:rPr>
                <w:rFonts w:eastAsia="楷体" w:cs="Times New Roman"/>
                <w:color w:val="auto"/>
                <w:sz w:val="21"/>
                <w:szCs w:val="21"/>
                <w:highlight w:val="none"/>
              </w:rPr>
            </w:pPr>
          </w:p>
        </w:tc>
        <w:tc>
          <w:tcPr>
            <w:tcW w:w="1395" w:type="pct"/>
            <w:vAlign w:val="center"/>
          </w:tcPr>
          <w:p>
            <w:pPr>
              <w:ind w:left="-116" w:firstLineChars="0" w:firstLine="0"/>
              <w:jc w:val="center"/>
              <w:rPr>
                <w:rFonts w:eastAsia="楷体" w:cs="Times New Roman"/>
                <w:color w:val="auto"/>
                <w:sz w:val="21"/>
                <w:szCs w:val="21"/>
                <w:highlight w:val="none"/>
              </w:rPr>
            </w:pPr>
          </w:p>
        </w:tc>
        <w:tc>
          <w:tcPr>
            <w:tcW w:w="1395" w:type="pct"/>
            <w:gridSpan w:val="3"/>
            <w:vAlign w:val="center"/>
          </w:tcPr>
          <w:p>
            <w:pPr>
              <w:ind w:left="-116" w:firstLineChars="0" w:firstLine="0"/>
              <w:jc w:val="center"/>
              <w:rPr>
                <w:rFonts w:eastAsia="楷体" w:cs="Times New Roman"/>
                <w:color w:val="auto"/>
                <w:sz w:val="21"/>
                <w:szCs w:val="21"/>
                <w:highlight w:val="none"/>
              </w:rPr>
            </w:pPr>
          </w:p>
        </w:tc>
        <w:tc>
          <w:tcPr>
            <w:tcW w:w="1399" w:type="pct"/>
            <w:vAlign w:val="center"/>
          </w:tcPr>
          <w:p>
            <w:pPr>
              <w:ind w:left="-116" w:firstLineChars="0" w:firstLine="0"/>
              <w:jc w:val="center"/>
              <w:rPr>
                <w:rFonts w:eastAsia="楷体" w:cs="Times New Roman"/>
                <w:color w:val="auto"/>
                <w:sz w:val="21"/>
                <w:szCs w:val="21"/>
                <w:highlight w:val="none"/>
              </w:rPr>
            </w:pPr>
          </w:p>
        </w:tc>
      </w:tr>
      <w:tr>
        <w:trPr>
          <w:trHeight w:val="349"/>
        </w:trPr>
        <w:tc>
          <w:tcPr>
            <w:tcW w:w="810" w:type="pct"/>
            <w:vAlign w:val="center"/>
          </w:tcPr>
          <w:p>
            <w:pPr>
              <w:ind w:left="-116" w:firstLineChars="0" w:firstLine="0"/>
              <w:jc w:val="center"/>
              <w:rPr>
                <w:rFonts w:eastAsia="楷体" w:cs="Times New Roman"/>
                <w:color w:val="auto"/>
                <w:sz w:val="21"/>
                <w:szCs w:val="21"/>
                <w:highlight w:val="none"/>
              </w:rPr>
            </w:pPr>
          </w:p>
        </w:tc>
        <w:tc>
          <w:tcPr>
            <w:tcW w:w="1395" w:type="pct"/>
            <w:vAlign w:val="center"/>
          </w:tcPr>
          <w:p>
            <w:pPr>
              <w:ind w:left="-116" w:firstLineChars="0" w:firstLine="0"/>
              <w:jc w:val="center"/>
              <w:rPr>
                <w:rFonts w:eastAsia="楷体" w:cs="Times New Roman"/>
                <w:color w:val="auto"/>
                <w:sz w:val="21"/>
                <w:szCs w:val="21"/>
                <w:highlight w:val="none"/>
              </w:rPr>
            </w:pPr>
          </w:p>
        </w:tc>
        <w:tc>
          <w:tcPr>
            <w:tcW w:w="1395" w:type="pct"/>
            <w:gridSpan w:val="3"/>
            <w:vAlign w:val="center"/>
          </w:tcPr>
          <w:p>
            <w:pPr>
              <w:ind w:left="-116" w:firstLineChars="0" w:firstLine="0"/>
              <w:jc w:val="center"/>
              <w:rPr>
                <w:rFonts w:eastAsia="楷体" w:cs="Times New Roman"/>
                <w:color w:val="auto"/>
                <w:sz w:val="21"/>
                <w:szCs w:val="21"/>
                <w:highlight w:val="none"/>
              </w:rPr>
            </w:pPr>
          </w:p>
        </w:tc>
        <w:tc>
          <w:tcPr>
            <w:tcW w:w="1399" w:type="pct"/>
            <w:vAlign w:val="center"/>
          </w:tcPr>
          <w:p>
            <w:pPr>
              <w:ind w:left="-116" w:firstLineChars="0" w:firstLine="0"/>
              <w:jc w:val="center"/>
              <w:rPr>
                <w:rFonts w:eastAsia="楷体" w:cs="Times New Roman"/>
                <w:color w:val="auto"/>
                <w:sz w:val="21"/>
                <w:szCs w:val="21"/>
                <w:highlight w:val="none"/>
              </w:rPr>
            </w:pPr>
          </w:p>
        </w:tc>
      </w:tr>
      <w:tr>
        <w:trPr>
          <w:trHeight w:val="349"/>
        </w:trPr>
        <w:tc>
          <w:tcPr>
            <w:tcW w:w="810" w:type="pct"/>
            <w:vAlign w:val="center"/>
          </w:tcPr>
          <w:p>
            <w:pPr>
              <w:ind w:left="-116" w:firstLineChars="0" w:firstLine="0"/>
              <w:jc w:val="center"/>
              <w:rPr>
                <w:rFonts w:eastAsia="楷体" w:cs="Times New Roman"/>
                <w:color w:val="auto"/>
                <w:sz w:val="21"/>
                <w:szCs w:val="21"/>
                <w:highlight w:val="none"/>
              </w:rPr>
            </w:pPr>
          </w:p>
        </w:tc>
        <w:tc>
          <w:tcPr>
            <w:tcW w:w="1395" w:type="pct"/>
            <w:vAlign w:val="center"/>
          </w:tcPr>
          <w:p>
            <w:pPr>
              <w:ind w:left="-116" w:firstLineChars="0" w:firstLine="0"/>
              <w:jc w:val="center"/>
              <w:rPr>
                <w:rFonts w:eastAsia="楷体" w:cs="Times New Roman"/>
                <w:color w:val="auto"/>
                <w:sz w:val="21"/>
                <w:szCs w:val="21"/>
                <w:highlight w:val="none"/>
              </w:rPr>
            </w:pPr>
          </w:p>
        </w:tc>
        <w:tc>
          <w:tcPr>
            <w:tcW w:w="1395" w:type="pct"/>
            <w:gridSpan w:val="3"/>
            <w:vAlign w:val="center"/>
          </w:tcPr>
          <w:p>
            <w:pPr>
              <w:ind w:left="-116" w:firstLineChars="0" w:firstLine="0"/>
              <w:jc w:val="center"/>
              <w:rPr>
                <w:rFonts w:eastAsia="楷体" w:cs="Times New Roman"/>
                <w:color w:val="auto"/>
                <w:sz w:val="21"/>
                <w:szCs w:val="21"/>
                <w:highlight w:val="none"/>
              </w:rPr>
            </w:pPr>
          </w:p>
        </w:tc>
        <w:tc>
          <w:tcPr>
            <w:tcW w:w="1399" w:type="pct"/>
            <w:vAlign w:val="center"/>
          </w:tcPr>
          <w:p>
            <w:pPr>
              <w:ind w:left="-116" w:firstLineChars="0" w:firstLine="0"/>
              <w:jc w:val="center"/>
              <w:rPr>
                <w:rFonts w:eastAsia="楷体" w:cs="Times New Roman"/>
                <w:color w:val="auto"/>
                <w:sz w:val="21"/>
                <w:szCs w:val="21"/>
                <w:highlight w:val="none"/>
              </w:rPr>
            </w:pPr>
          </w:p>
        </w:tc>
      </w:tr>
      <w:tr>
        <w:trPr>
          <w:trHeight w:val="349"/>
        </w:trPr>
        <w:tc>
          <w:tcPr>
            <w:tcW w:w="810" w:type="pct"/>
            <w:vAlign w:val="center"/>
          </w:tcPr>
          <w:p>
            <w:pPr>
              <w:ind w:left="-116" w:firstLineChars="0" w:firstLine="0"/>
              <w:jc w:val="center"/>
              <w:rPr>
                <w:rFonts w:eastAsia="楷体" w:cs="Times New Roman"/>
                <w:color w:val="auto"/>
                <w:sz w:val="21"/>
                <w:szCs w:val="21"/>
                <w:highlight w:val="none"/>
              </w:rPr>
            </w:pPr>
          </w:p>
        </w:tc>
        <w:tc>
          <w:tcPr>
            <w:tcW w:w="1395" w:type="pct"/>
            <w:vAlign w:val="center"/>
          </w:tcPr>
          <w:p>
            <w:pPr>
              <w:ind w:left="-116" w:firstLineChars="0" w:firstLine="0"/>
              <w:jc w:val="center"/>
              <w:rPr>
                <w:rFonts w:eastAsia="楷体" w:cs="Times New Roman"/>
                <w:color w:val="auto"/>
                <w:sz w:val="21"/>
                <w:szCs w:val="21"/>
                <w:highlight w:val="none"/>
              </w:rPr>
            </w:pPr>
          </w:p>
        </w:tc>
        <w:tc>
          <w:tcPr>
            <w:tcW w:w="1395" w:type="pct"/>
            <w:gridSpan w:val="3"/>
            <w:vAlign w:val="center"/>
          </w:tcPr>
          <w:p>
            <w:pPr>
              <w:ind w:left="-116" w:firstLineChars="0" w:firstLine="0"/>
              <w:jc w:val="center"/>
              <w:rPr>
                <w:rFonts w:eastAsia="楷体" w:cs="Times New Roman"/>
                <w:color w:val="auto"/>
                <w:sz w:val="21"/>
                <w:szCs w:val="21"/>
                <w:highlight w:val="none"/>
              </w:rPr>
            </w:pPr>
          </w:p>
        </w:tc>
        <w:tc>
          <w:tcPr>
            <w:tcW w:w="1399" w:type="pct"/>
            <w:vAlign w:val="center"/>
          </w:tcPr>
          <w:p>
            <w:pPr>
              <w:ind w:left="-116" w:firstLineChars="0" w:firstLine="0"/>
              <w:jc w:val="center"/>
              <w:rPr>
                <w:rFonts w:eastAsia="楷体" w:cs="Times New Roman"/>
                <w:color w:val="auto"/>
                <w:sz w:val="21"/>
                <w:szCs w:val="21"/>
                <w:highlight w:val="none"/>
              </w:rPr>
            </w:pPr>
          </w:p>
        </w:tc>
      </w:tr>
    </w:tbl>
    <w:p>
      <w:pPr>
        <w:ind w:right="-1" w:firstLineChars="0" w:firstLine="0"/>
        <w:rPr>
          <w:rFonts w:cs="Times New Roman"/>
          <w:color w:val="auto"/>
          <w:sz w:val="21"/>
          <w:szCs w:val="21"/>
          <w:highlight w:val="none"/>
        </w:rPr>
      </w:pPr>
      <w:r>
        <w:rPr>
          <w:rFonts w:cs="Times New Roman"/>
          <w:color w:val="auto"/>
          <w:sz w:val="21"/>
          <w:szCs w:val="21"/>
          <w:highlight w:val="none"/>
        </w:rPr>
        <w:t>检测人员：                审核人员：              检测日期：</w:t>
      </w:r>
    </w:p>
    <w:p>
      <w:pPr>
        <w:pStyle w:val="38"/>
        <w:ind w:firstLineChars="0" w:firstLine="0"/>
        <w:rPr>
          <w:rFonts w:cs="Times New Roman"/>
          <w:color w:val="auto"/>
          <w:highlight w:val="none"/>
        </w:rPr>
        <w:sectPr>
          <w:pgSz w:w="11906" w:h="16838"/>
          <w:pgMar w:top="1440" w:right="1274" w:bottom="1440" w:left="1560" w:header="851" w:footer="992" w:gutter="0"/>
          <w:pgBorders>
            <w:top w:val="none" w:sz="0" w:space="0" w:color="auto"/>
            <w:left w:val="none" w:sz="0" w:space="0" w:color="auto"/>
            <w:bottom w:val="none" w:sz="0" w:space="0" w:color="auto"/>
            <w:right w:val="none" w:sz="0" w:space="0" w:color="auto"/>
          </w:pgBorders>
          <w:cols w:num="1" w:space="425"/>
          <w:docGrid w:type="lines" w:linePitch="312" w:charSpace="0"/>
        </w:sectPr>
      </w:pPr>
    </w:p>
    <w:p>
      <w:pPr>
        <w:keepNext/>
        <w:keepLines/>
        <w:pageBreakBefore/>
        <w:spacing w:beforeLines="100" w:before="312"/>
        <w:ind w:firstLineChars="0" w:firstLine="0"/>
        <w:contextualSpacing/>
        <w:jc w:val="center"/>
        <w:outlineLvl w:val="0"/>
        <w:rPr>
          <w:rFonts w:cs="Times New Roman"/>
          <w:b/>
          <w:bCs/>
          <w:color w:val="auto"/>
          <w:kern w:val="44"/>
          <w:sz w:val="30"/>
          <w:szCs w:val="30"/>
          <w:highlight w:val="none"/>
        </w:rPr>
      </w:pPr>
      <w:bookmarkStart w:id="502" w:name="_Toc656"/>
      <w:bookmarkStart w:id="503" w:name="_Toc28867"/>
      <w:bookmarkStart w:id="504" w:name="_Toc31293"/>
      <w:bookmarkStart w:id="505" w:name="_Toc8027"/>
      <w:bookmarkStart w:id="506" w:name="_Toc29215"/>
      <w:bookmarkStart w:id="507" w:name="_Toc17326"/>
      <w:r>
        <w:rPr>
          <w:rFonts w:cs="Times New Roman"/>
          <w:b/>
          <w:bCs/>
          <w:color w:val="auto"/>
          <w:kern w:val="44"/>
          <w:sz w:val="30"/>
          <w:szCs w:val="30"/>
          <w:highlight w:val="none"/>
        </w:rPr>
        <w:t>附录B　套筒灌浆饱满度阻尼传感器法</w:t>
      </w:r>
      <w:r>
        <w:rPr>
          <w:rFonts w:cs="Times New Roman" w:hint="eastAsia"/>
          <w:b/>
          <w:bCs/>
          <w:color w:val="auto"/>
          <w:kern w:val="44"/>
          <w:sz w:val="30"/>
          <w:szCs w:val="30"/>
          <w:highlight w:val="none"/>
        </w:rPr>
        <w:t>检测</w:t>
      </w:r>
      <w:r>
        <w:rPr>
          <w:rFonts w:cs="Times New Roman"/>
          <w:b/>
          <w:bCs/>
          <w:color w:val="auto"/>
          <w:kern w:val="44"/>
          <w:sz w:val="30"/>
          <w:szCs w:val="30"/>
          <w:highlight w:val="none"/>
        </w:rPr>
        <w:t>记录表</w:t>
      </w:r>
      <w:bookmarkEnd w:id="502"/>
      <w:bookmarkEnd w:id="503"/>
      <w:bookmarkEnd w:id="504"/>
      <w:bookmarkEnd w:id="505"/>
      <w:bookmarkEnd w:id="506"/>
    </w:p>
    <w:p>
      <w:pPr>
        <w:ind w:left="-116" w:firstLineChars="0" w:firstLine="0"/>
        <w:jc w:val="center"/>
        <w:rPr>
          <w:rFonts w:cs="Times New Roman"/>
          <w:b/>
          <w:bCs/>
          <w:color w:val="auto"/>
          <w:sz w:val="21"/>
          <w:szCs w:val="21"/>
          <w:highlight w:val="none"/>
        </w:rPr>
      </w:pPr>
      <w:r>
        <w:rPr>
          <w:rFonts w:cs="Times New Roman"/>
          <w:b/>
          <w:bCs/>
          <w:color w:val="auto"/>
          <w:sz w:val="21"/>
          <w:szCs w:val="21"/>
          <w:highlight w:val="none"/>
        </w:rPr>
        <w:t>表B　套筒灌浆饱满度阻尼传感器法</w:t>
      </w:r>
      <w:r>
        <w:rPr>
          <w:rFonts w:cs="Times New Roman" w:hint="eastAsia"/>
          <w:b/>
          <w:bCs/>
          <w:color w:val="auto"/>
          <w:sz w:val="21"/>
          <w:szCs w:val="21"/>
          <w:highlight w:val="none"/>
        </w:rPr>
        <w:t>检测</w:t>
      </w:r>
      <w:r>
        <w:rPr>
          <w:rFonts w:cs="Times New Roman"/>
          <w:b/>
          <w:bCs/>
          <w:color w:val="auto"/>
          <w:sz w:val="21"/>
          <w:szCs w:val="21"/>
          <w:highlight w:val="none"/>
        </w:rPr>
        <w:t>记录表</w:t>
      </w:r>
    </w:p>
    <w:p>
      <w:pPr>
        <w:spacing w:line="240" w:lineRule="auto"/>
        <w:ind w:firstLineChars="0" w:firstLine="0"/>
        <w:rPr>
          <w:rFonts w:cs="Times New Roman"/>
          <w:color w:val="auto"/>
          <w:highlight w:val="none"/>
        </w:rPr>
      </w:pPr>
      <w:r>
        <w:rPr>
          <w:rFonts w:cs="Times New Roman"/>
          <w:color w:val="auto"/>
          <w:sz w:val="21"/>
          <w:szCs w:val="21"/>
          <w:highlight w:val="none"/>
        </w:rPr>
        <w:t xml:space="preserve">委托编号：                                                   </w:t>
      </w:r>
      <w:r>
        <w:rPr>
          <w:rFonts w:cs="Times New Roman" w:hint="eastAsia"/>
          <w:color w:val="auto"/>
          <w:sz w:val="21"/>
          <w:szCs w:val="21"/>
          <w:lang w:val="en-US" w:eastAsia="zh-CN"/>
          <w:highlight w:val="none"/>
        </w:rPr>
        <w:t xml:space="preserve">        </w:t>
      </w:r>
      <w:r>
        <w:rPr>
          <w:rFonts w:cs="Times New Roman"/>
          <w:color w:val="auto"/>
          <w:sz w:val="21"/>
          <w:szCs w:val="21"/>
          <w:highlight w:val="none"/>
        </w:rPr>
        <w:t xml:space="preserve"> 共   页   第   页</w:t>
      </w:r>
    </w:p>
    <w:tbl>
      <w:tblPr>
        <w:jc w:val="center"/>
        <w:tblW w:w="53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600" w:firstRow="0" w:lastRow="0" w:firstColumn="0" w:lastColumn="0" w:noHBand="1" w:noVBand="1"/>
      </w:tblPr>
      <w:tblGrid>
        <w:gridCol w:w="725"/>
        <w:gridCol w:w="1372"/>
        <w:gridCol w:w="1155"/>
        <w:gridCol w:w="1223"/>
        <w:gridCol w:w="663"/>
        <w:gridCol w:w="761"/>
        <w:gridCol w:w="1203"/>
        <w:gridCol w:w="227"/>
        <w:gridCol w:w="769"/>
        <w:gridCol w:w="815"/>
        <w:gridCol w:w="696"/>
      </w:tblGrid>
      <w:tr>
        <w:trPr>
          <w:trHeight w:val="454"/>
        </w:trPr>
        <w:tc>
          <w:tcPr>
            <w:tcW w:w="1091" w:type="pct"/>
            <w:gridSpan w:val="2"/>
            <w:tcBorders>
              <w:top w:val="single" w:sz="4" w:space="0" w:color="auto"/>
              <w:left w:val="single" w:sz="4" w:space="0" w:color="auto"/>
              <w:bottom w:val="single" w:sz="4" w:space="0" w:color="auto"/>
              <w:right w:val="single" w:sz="4" w:space="0" w:color="auto"/>
            </w:tcBorders>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工程名称</w:t>
            </w:r>
          </w:p>
        </w:tc>
        <w:tc>
          <w:tcPr>
            <w:tcW w:w="3908" w:type="pct"/>
            <w:gridSpan w:val="9"/>
            <w:tcBorders>
              <w:top w:val="single" w:sz="4" w:space="0" w:color="auto"/>
              <w:left w:val="single" w:sz="4" w:space="0" w:color="auto"/>
              <w:bottom w:val="single" w:sz="4" w:space="0" w:color="auto"/>
              <w:right w:val="single" w:sz="4" w:space="0" w:color="auto"/>
            </w:tcBorders>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1091" w:type="pct"/>
            <w:gridSpan w:val="2"/>
            <w:tcBorders>
              <w:top w:val="single" w:sz="4" w:space="0" w:color="auto"/>
              <w:left w:val="single" w:sz="4" w:space="0" w:color="auto"/>
              <w:bottom w:val="single" w:sz="4" w:space="0" w:color="auto"/>
              <w:right w:val="single" w:sz="4" w:space="0" w:color="auto"/>
            </w:tcBorders>
            <w:vAlign w:val="center"/>
          </w:tcPr>
          <w:p>
            <w:pPr>
              <w:spacing w:line="240" w:lineRule="auto"/>
              <w:ind w:firstLineChars="0" w:firstLine="0"/>
              <w:contextualSpacing/>
              <w:jc w:val="center"/>
              <w:textAlignment w:val="auto"/>
              <w:rPr>
                <w:rFonts w:eastAsia="宋体" w:cs="Times New Roman"/>
                <w:bCs/>
                <w:color w:val="auto"/>
                <w:sz w:val="21"/>
                <w:szCs w:val="21"/>
                <w:lang w:val="en-US" w:eastAsia="zh-CN"/>
                <w:highlight w:val="none"/>
              </w:rPr>
            </w:pPr>
            <w:r>
              <w:rPr>
                <w:rFonts w:cs="Times New Roman" w:hint="eastAsia"/>
                <w:bCs/>
                <w:color w:val="auto"/>
                <w:sz w:val="21"/>
                <w:szCs w:val="21"/>
                <w:lang w:val="en-US" w:eastAsia="zh-CN"/>
                <w:highlight w:val="none"/>
              </w:rPr>
              <w:t>工程地点</w:t>
            </w:r>
          </w:p>
        </w:tc>
        <w:tc>
          <w:tcPr>
            <w:tcW w:w="1582" w:type="pct"/>
            <w:gridSpan w:val="3"/>
            <w:tcBorders>
              <w:top w:val="single" w:sz="4" w:space="0" w:color="auto"/>
              <w:left w:val="single" w:sz="4" w:space="0" w:color="auto"/>
              <w:bottom w:val="single" w:sz="4" w:space="0" w:color="auto"/>
              <w:right w:val="single" w:sz="4" w:space="0" w:color="auto"/>
            </w:tcBorders>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1022" w:type="pct"/>
            <w:gridSpan w:val="2"/>
            <w:tcBorders>
              <w:top w:val="single" w:sz="4" w:space="0" w:color="auto"/>
              <w:left w:val="single" w:sz="4" w:space="0" w:color="auto"/>
              <w:bottom w:val="single" w:sz="4" w:space="0" w:color="auto"/>
              <w:right w:val="single" w:sz="4" w:space="0" w:color="auto"/>
            </w:tcBorders>
            <w:vAlign w:val="center"/>
          </w:tcPr>
          <w:p>
            <w:pPr>
              <w:spacing w:line="240" w:lineRule="auto"/>
              <w:ind w:firstLineChars="0" w:firstLine="0"/>
              <w:contextualSpacing/>
              <w:jc w:val="center"/>
              <w:textAlignment w:val="auto"/>
              <w:rPr>
                <w:rFonts w:eastAsia="宋体" w:cs="Times New Roman"/>
                <w:bCs/>
                <w:color w:val="auto"/>
                <w:sz w:val="21"/>
                <w:szCs w:val="21"/>
                <w:lang w:val="en-US" w:eastAsia="zh-CN"/>
                <w:highlight w:val="none"/>
              </w:rPr>
            </w:pPr>
            <w:r>
              <w:rPr>
                <w:rFonts w:cs="Times New Roman" w:hint="eastAsia"/>
                <w:bCs/>
                <w:color w:val="auto"/>
                <w:sz w:val="21"/>
                <w:szCs w:val="21"/>
                <w:lang w:val="en-US" w:eastAsia="zh-CN"/>
                <w:highlight w:val="none"/>
              </w:rPr>
              <w:t>灌浆日期</w:t>
            </w:r>
          </w:p>
        </w:tc>
        <w:tc>
          <w:tcPr>
            <w:tcW w:w="1303" w:type="pct"/>
            <w:gridSpan w:val="4"/>
            <w:tcBorders>
              <w:top w:val="single" w:sz="4" w:space="0" w:color="auto"/>
              <w:left w:val="single" w:sz="4" w:space="0" w:color="auto"/>
              <w:bottom w:val="single" w:sz="4" w:space="0" w:color="auto"/>
              <w:right w:val="single" w:sz="4" w:space="0" w:color="auto"/>
            </w:tcBorders>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1091"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执行标准</w:t>
            </w:r>
          </w:p>
        </w:tc>
        <w:tc>
          <w:tcPr>
            <w:tcW w:w="3908" w:type="pct"/>
            <w:gridSpan w:val="9"/>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1091"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仪器设备</w:t>
            </w:r>
          </w:p>
        </w:tc>
        <w:tc>
          <w:tcPr>
            <w:tcW w:w="1582" w:type="pct"/>
            <w:gridSpan w:val="3"/>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1022" w:type="pct"/>
            <w:gridSpan w:val="2"/>
            <w:vAlign w:val="center"/>
          </w:tcPr>
          <w:p>
            <w:pPr>
              <w:spacing w:line="240" w:lineRule="auto"/>
              <w:ind w:firstLineChars="0" w:firstLine="0"/>
              <w:contextualSpacing/>
              <w:jc w:val="center"/>
              <w:textAlignment w:val="auto"/>
              <w:rPr>
                <w:rFonts w:eastAsia="宋体" w:cs="Times New Roman"/>
                <w:bCs/>
                <w:color w:val="auto"/>
                <w:sz w:val="21"/>
                <w:szCs w:val="21"/>
                <w:lang w:val="en-US" w:eastAsia="zh-CN"/>
                <w:highlight w:val="none"/>
              </w:rPr>
            </w:pPr>
            <w:r>
              <w:rPr>
                <w:rFonts w:cs="Times New Roman" w:hint="eastAsia"/>
                <w:bCs/>
                <w:color w:val="auto"/>
                <w:sz w:val="21"/>
                <w:szCs w:val="21"/>
                <w:lang w:val="en-US" w:eastAsia="zh-CN"/>
                <w:highlight w:val="none"/>
              </w:rPr>
              <w:t>仪器设备编号/型号</w:t>
            </w:r>
          </w:p>
        </w:tc>
        <w:tc>
          <w:tcPr>
            <w:tcW w:w="1303" w:type="pct"/>
            <w:gridSpan w:val="4"/>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377" w:type="pct"/>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序号</w:t>
            </w:r>
          </w:p>
        </w:tc>
        <w:tc>
          <w:tcPr>
            <w:tcW w:w="714" w:type="pct"/>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构件类型/编号</w:t>
            </w:r>
          </w:p>
        </w:tc>
        <w:tc>
          <w:tcPr>
            <w:tcW w:w="601" w:type="pct"/>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构件位置</w:t>
            </w:r>
          </w:p>
        </w:tc>
        <w:tc>
          <w:tcPr>
            <w:tcW w:w="636" w:type="pct"/>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套筒编号</w:t>
            </w:r>
          </w:p>
        </w:tc>
        <w:tc>
          <w:tcPr>
            <w:tcW w:w="741"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灌浆前</w:t>
            </w:r>
          </w:p>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传感器读数</w:t>
            </w:r>
          </w:p>
        </w:tc>
        <w:tc>
          <w:tcPr>
            <w:tcW w:w="744"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灌浆后</w:t>
            </w:r>
          </w:p>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传感器读数</w:t>
            </w:r>
          </w:p>
        </w:tc>
        <w:tc>
          <w:tcPr>
            <w:tcW w:w="400" w:type="pct"/>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评定</w:t>
            </w:r>
          </w:p>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等级</w:t>
            </w:r>
          </w:p>
        </w:tc>
        <w:tc>
          <w:tcPr>
            <w:tcW w:w="424" w:type="pct"/>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检测</w:t>
            </w:r>
          </w:p>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结果</w:t>
            </w:r>
          </w:p>
        </w:tc>
        <w:tc>
          <w:tcPr>
            <w:tcW w:w="358" w:type="pct"/>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备注</w:t>
            </w:r>
          </w:p>
        </w:tc>
      </w:tr>
      <w:tr>
        <w:trPr>
          <w:trHeight w:val="454"/>
        </w:trPr>
        <w:tc>
          <w:tcPr>
            <w:tcW w:w="37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14"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3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1"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4"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00"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24"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358"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37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14"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3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1"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4"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00"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24"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358"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37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14"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3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1"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4"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00"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24"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358"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37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14"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3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1"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4"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00"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24"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358"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37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14"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3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1"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4"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00"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24"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358"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37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14"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3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1"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4"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00"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24"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358"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37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14"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3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1"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4"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00"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24"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358"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37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14"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3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1"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4"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00"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24"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358"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37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14"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3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1"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4"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00"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24"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358"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37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14"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3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1"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4"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00"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24"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358"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37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14"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3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1"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4"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00"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24"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358"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37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14"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3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1"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4"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00"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24"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358"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37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14"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3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1"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4"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00"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24"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358"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37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14"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3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1"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4"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00"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24"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358"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37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14"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3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1"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4"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00"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24"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358"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37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14"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3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1"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4"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00"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24"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358"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bl>
    <w:p>
      <w:pPr>
        <w:ind w:right="-1" w:firstLineChars="0" w:firstLine="0"/>
        <w:rPr>
          <w:rFonts w:cs="Times New Roman"/>
          <w:color w:val="auto"/>
          <w:sz w:val="21"/>
          <w:szCs w:val="21"/>
          <w:highlight w:val="none"/>
        </w:rPr>
      </w:pPr>
      <w:bookmarkStart w:id="508" w:name="_Toc2790"/>
      <w:r>
        <w:rPr>
          <w:rFonts w:cs="Times New Roman"/>
          <w:color w:val="auto"/>
          <w:sz w:val="21"/>
          <w:szCs w:val="21"/>
          <w:highlight w:val="none"/>
        </w:rPr>
        <w:t>检测人员：                审核人员：              检测日期：</w:t>
      </w:r>
    </w:p>
    <w:p>
      <w:pPr>
        <w:ind w:firstLineChars="0" w:firstLine="0"/>
        <w:rPr>
          <w:rFonts w:cs="Times New Roman"/>
          <w:b/>
          <w:bCs/>
          <w:color w:val="auto"/>
          <w:kern w:val="44"/>
          <w:sz w:val="32"/>
          <w:szCs w:val="44"/>
          <w:highlight w:val="none"/>
        </w:rPr>
      </w:pPr>
      <w:r>
        <w:rPr>
          <w:rFonts w:cs="Times New Roman"/>
          <w:b/>
          <w:bCs/>
          <w:color w:val="auto"/>
          <w:kern w:val="44"/>
          <w:sz w:val="32"/>
          <w:szCs w:val="44"/>
          <w:highlight w:val="none"/>
        </w:rPr>
        <w:br w:type="page"/>
      </w:r>
    </w:p>
    <w:p>
      <w:pPr>
        <w:keepNext/>
        <w:keepLines/>
        <w:pageBreakBefore/>
        <w:spacing w:beforeLines="100" w:before="312"/>
        <w:ind w:firstLineChars="0" w:firstLine="0"/>
        <w:contextualSpacing/>
        <w:jc w:val="center"/>
        <w:outlineLvl w:val="0"/>
        <w:rPr>
          <w:rFonts w:cs="Times New Roman"/>
          <w:b/>
          <w:bCs/>
          <w:color w:val="auto"/>
          <w:kern w:val="44"/>
          <w:sz w:val="30"/>
          <w:szCs w:val="30"/>
          <w:highlight w:val="none"/>
        </w:rPr>
      </w:pPr>
      <w:bookmarkStart w:id="509" w:name="_Toc29495"/>
      <w:bookmarkStart w:id="510" w:name="_Toc27116"/>
      <w:bookmarkStart w:id="511" w:name="_Toc19141"/>
      <w:bookmarkStart w:id="512" w:name="_Toc1186"/>
      <w:r>
        <w:rPr>
          <w:rFonts w:cs="Times New Roman"/>
          <w:b/>
          <w:bCs/>
          <w:color w:val="auto"/>
          <w:kern w:val="44"/>
          <w:sz w:val="30"/>
          <w:szCs w:val="30"/>
          <w:highlight w:val="none"/>
        </w:rPr>
        <w:t>附录C　套筒灌浆饱满度芯片法</w:t>
      </w:r>
      <w:r>
        <w:rPr>
          <w:rFonts w:cs="Times New Roman" w:hint="eastAsia"/>
          <w:b/>
          <w:bCs/>
          <w:color w:val="auto"/>
          <w:kern w:val="44"/>
          <w:sz w:val="30"/>
          <w:szCs w:val="30"/>
          <w:highlight w:val="none"/>
        </w:rPr>
        <w:t>检测</w:t>
      </w:r>
      <w:r>
        <w:rPr>
          <w:rFonts w:cs="Times New Roman"/>
          <w:b/>
          <w:bCs/>
          <w:color w:val="auto"/>
          <w:kern w:val="44"/>
          <w:sz w:val="30"/>
          <w:szCs w:val="30"/>
          <w:highlight w:val="none"/>
        </w:rPr>
        <w:t>记录表</w:t>
      </w:r>
      <w:bookmarkEnd w:id="509"/>
      <w:bookmarkEnd w:id="510"/>
      <w:bookmarkEnd w:id="511"/>
      <w:bookmarkEnd w:id="512"/>
    </w:p>
    <w:p>
      <w:pPr>
        <w:ind w:left="-116" w:firstLineChars="0" w:firstLine="0"/>
        <w:jc w:val="center"/>
        <w:rPr>
          <w:rFonts w:cs="Times New Roman"/>
          <w:b/>
          <w:bCs/>
          <w:color w:val="auto"/>
          <w:sz w:val="21"/>
          <w:szCs w:val="21"/>
          <w:highlight w:val="none"/>
        </w:rPr>
      </w:pPr>
      <w:r>
        <w:rPr>
          <w:rFonts w:cs="Times New Roman"/>
          <w:b/>
          <w:bCs/>
          <w:color w:val="auto"/>
          <w:sz w:val="21"/>
          <w:szCs w:val="21"/>
          <w:highlight w:val="none"/>
        </w:rPr>
        <w:t>表C　套筒灌浆饱满度</w:t>
      </w:r>
      <w:r>
        <w:rPr>
          <w:rFonts w:cs="Times New Roman" w:hint="eastAsia"/>
          <w:b/>
          <w:bCs/>
          <w:color w:val="auto"/>
          <w:sz w:val="21"/>
          <w:szCs w:val="21"/>
          <w:lang w:val="en-US" w:eastAsia="zh-CN"/>
          <w:highlight w:val="none"/>
        </w:rPr>
        <w:t>芯片</w:t>
      </w:r>
      <w:r>
        <w:rPr>
          <w:rFonts w:cs="Times New Roman"/>
          <w:b/>
          <w:bCs/>
          <w:color w:val="auto"/>
          <w:sz w:val="21"/>
          <w:szCs w:val="21"/>
          <w:highlight w:val="none"/>
        </w:rPr>
        <w:t>法</w:t>
      </w:r>
      <w:r>
        <w:rPr>
          <w:rFonts w:cs="Times New Roman" w:hint="eastAsia"/>
          <w:b/>
          <w:bCs/>
          <w:color w:val="auto"/>
          <w:sz w:val="21"/>
          <w:szCs w:val="21"/>
          <w:highlight w:val="none"/>
        </w:rPr>
        <w:t>检测</w:t>
      </w:r>
      <w:r>
        <w:rPr>
          <w:rFonts w:cs="Times New Roman"/>
          <w:b/>
          <w:bCs/>
          <w:color w:val="auto"/>
          <w:sz w:val="21"/>
          <w:szCs w:val="21"/>
          <w:highlight w:val="none"/>
        </w:rPr>
        <w:t>记录表</w:t>
      </w:r>
    </w:p>
    <w:p>
      <w:pPr>
        <w:spacing w:line="240" w:lineRule="auto"/>
        <w:ind w:left="0" w:firstLineChars="0" w:firstLine="0"/>
        <w:jc w:val="left"/>
        <w:rPr>
          <w:rFonts w:cs="Times New Roman"/>
          <w:b/>
          <w:bCs/>
          <w:color w:val="auto"/>
          <w:sz w:val="21"/>
          <w:szCs w:val="21"/>
          <w:highlight w:val="none"/>
        </w:rPr>
      </w:pPr>
      <w:r>
        <w:rPr>
          <w:rFonts w:cs="Times New Roman"/>
          <w:color w:val="auto"/>
          <w:sz w:val="21"/>
          <w:szCs w:val="21"/>
          <w:highlight w:val="none"/>
        </w:rPr>
        <w:t xml:space="preserve">委托编号：                                                   </w:t>
      </w:r>
      <w:r>
        <w:rPr>
          <w:rFonts w:cs="Times New Roman" w:hint="eastAsia"/>
          <w:color w:val="auto"/>
          <w:sz w:val="21"/>
          <w:szCs w:val="21"/>
          <w:lang w:val="en-US" w:eastAsia="zh-CN"/>
          <w:highlight w:val="none"/>
        </w:rPr>
        <w:t xml:space="preserve">        </w:t>
      </w:r>
      <w:r>
        <w:rPr>
          <w:rFonts w:cs="Times New Roman"/>
          <w:color w:val="auto"/>
          <w:sz w:val="21"/>
          <w:szCs w:val="21"/>
          <w:highlight w:val="none"/>
        </w:rPr>
        <w:t xml:space="preserve"> 共   页   第   页</w:t>
      </w:r>
    </w:p>
    <w:tbl>
      <w:tblPr>
        <w:jc w:val="left"/>
        <w:tblInd w:w="-431" w:type="dxa"/>
        <w:tblW w:w="96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600" w:firstRow="0" w:lastRow="0" w:firstColumn="0" w:lastColumn="0" w:noHBand="1" w:noVBand="1"/>
      </w:tblPr>
      <w:tblGrid>
        <w:gridCol w:w="710"/>
        <w:gridCol w:w="1134"/>
        <w:gridCol w:w="1027"/>
        <w:gridCol w:w="2091"/>
        <w:gridCol w:w="2233"/>
        <w:gridCol w:w="1253"/>
        <w:gridCol w:w="1218"/>
      </w:tblGrid>
      <w:tr>
        <w:tc>
          <w:tcPr>
            <w:tcW w:w="1844" w:type="dxa"/>
            <w:gridSpan w:val="2"/>
            <w:vAlign w:val="center"/>
          </w:tcPr>
          <w:p>
            <w:pPr>
              <w:spacing w:before="100" w:beforeAutospacing="1"/>
              <w:ind w:firstLineChars="0" w:firstLine="0"/>
              <w:jc w:val="center"/>
              <w:rPr>
                <w:rFonts w:cs="Times New Roman"/>
                <w:color w:val="auto"/>
                <w:sz w:val="21"/>
                <w:szCs w:val="20"/>
                <w:highlight w:val="none"/>
              </w:rPr>
            </w:pPr>
            <w:r>
              <w:rPr>
                <w:rFonts w:cs="Times New Roman"/>
                <w:color w:val="auto"/>
                <w:sz w:val="21"/>
                <w:szCs w:val="20"/>
                <w:highlight w:val="none"/>
              </w:rPr>
              <w:t>工程名称</w:t>
            </w:r>
          </w:p>
        </w:tc>
        <w:tc>
          <w:tcPr>
            <w:tcW w:w="7822" w:type="dxa"/>
            <w:gridSpan w:val="5"/>
            <w:vAlign w:val="center"/>
          </w:tcPr>
          <w:p>
            <w:pPr>
              <w:spacing w:before="100" w:beforeAutospacing="1"/>
              <w:ind w:firstLineChars="0" w:firstLine="0"/>
              <w:jc w:val="center"/>
              <w:rPr>
                <w:rFonts w:cs="Times New Roman"/>
                <w:color w:val="auto"/>
                <w:sz w:val="21"/>
                <w:szCs w:val="20"/>
                <w:highlight w:val="none"/>
              </w:rPr>
            </w:pPr>
          </w:p>
        </w:tc>
      </w:tr>
      <w:tr>
        <w:tc>
          <w:tcPr>
            <w:tcW w:w="1844" w:type="dxa"/>
            <w:gridSpan w:val="2"/>
            <w:vAlign w:val="center"/>
          </w:tcPr>
          <w:p>
            <w:pPr>
              <w:spacing w:before="100" w:beforeAutospacing="1"/>
              <w:ind w:firstLineChars="0" w:firstLine="0"/>
              <w:jc w:val="center"/>
              <w:rPr>
                <w:rFonts w:eastAsia="宋体" w:cs="Times New Roman"/>
                <w:color w:val="auto"/>
                <w:sz w:val="21"/>
                <w:szCs w:val="20"/>
                <w:lang w:val="en-US" w:eastAsia="zh-CN"/>
                <w:highlight w:val="none"/>
              </w:rPr>
            </w:pPr>
            <w:r>
              <w:rPr>
                <w:rFonts w:cs="Times New Roman" w:hint="eastAsia"/>
                <w:color w:val="auto"/>
                <w:sz w:val="21"/>
                <w:szCs w:val="20"/>
                <w:lang w:val="en-US" w:eastAsia="zh-CN"/>
                <w:highlight w:val="none"/>
              </w:rPr>
              <w:t>工程地点</w:t>
            </w:r>
          </w:p>
        </w:tc>
        <w:tc>
          <w:tcPr>
            <w:tcW w:w="3118" w:type="dxa"/>
            <w:gridSpan w:val="2"/>
            <w:vAlign w:val="center"/>
          </w:tcPr>
          <w:p>
            <w:pPr>
              <w:spacing w:before="100" w:beforeAutospacing="1"/>
              <w:ind w:firstLineChars="0" w:firstLine="0"/>
              <w:jc w:val="center"/>
              <w:rPr>
                <w:rFonts w:cs="Times New Roman"/>
                <w:color w:val="auto"/>
                <w:sz w:val="21"/>
                <w:szCs w:val="20"/>
                <w:highlight w:val="none"/>
              </w:rPr>
            </w:pPr>
          </w:p>
        </w:tc>
        <w:tc>
          <w:tcPr>
            <w:tcW w:w="2233" w:type="dxa"/>
            <w:vAlign w:val="center"/>
          </w:tcPr>
          <w:p>
            <w:pPr>
              <w:spacing w:before="100" w:beforeAutospacing="1"/>
              <w:ind w:firstLineChars="0" w:firstLine="0"/>
              <w:jc w:val="center"/>
              <w:rPr>
                <w:rFonts w:eastAsia="宋体" w:cs="Times New Roman"/>
                <w:color w:val="auto"/>
                <w:sz w:val="21"/>
                <w:szCs w:val="20"/>
                <w:lang w:val="en-US" w:eastAsia="zh-CN"/>
                <w:highlight w:val="none"/>
              </w:rPr>
            </w:pPr>
            <w:r>
              <w:rPr>
                <w:rFonts w:cs="Times New Roman" w:hint="eastAsia"/>
                <w:color w:val="auto"/>
                <w:sz w:val="21"/>
                <w:szCs w:val="20"/>
                <w:lang w:val="en-US" w:eastAsia="zh-CN"/>
                <w:highlight w:val="none"/>
              </w:rPr>
              <w:t>灌浆日期</w:t>
            </w:r>
          </w:p>
        </w:tc>
        <w:tc>
          <w:tcPr>
            <w:tcW w:w="2471" w:type="dxa"/>
            <w:gridSpan w:val="2"/>
            <w:vAlign w:val="center"/>
          </w:tcPr>
          <w:p>
            <w:pPr>
              <w:spacing w:before="100" w:beforeAutospacing="1"/>
              <w:ind w:firstLineChars="0" w:firstLine="0"/>
              <w:jc w:val="center"/>
              <w:rPr>
                <w:rFonts w:cs="Times New Roman"/>
                <w:color w:val="auto"/>
                <w:sz w:val="21"/>
                <w:szCs w:val="20"/>
                <w:highlight w:val="none"/>
              </w:rPr>
            </w:pPr>
          </w:p>
        </w:tc>
      </w:tr>
      <w:tr>
        <w:tc>
          <w:tcPr>
            <w:tcW w:w="1844" w:type="dxa"/>
            <w:gridSpan w:val="2"/>
            <w:vAlign w:val="center"/>
          </w:tcPr>
          <w:p>
            <w:pPr>
              <w:spacing w:before="100" w:beforeAutospacing="1"/>
              <w:ind w:firstLineChars="0" w:firstLine="0"/>
              <w:jc w:val="center"/>
              <w:rPr>
                <w:rFonts w:cs="Times New Roman"/>
                <w:color w:val="auto"/>
                <w:sz w:val="21"/>
                <w:szCs w:val="20"/>
                <w:highlight w:val="none"/>
              </w:rPr>
            </w:pPr>
            <w:r>
              <w:rPr>
                <w:rFonts w:cs="Times New Roman"/>
                <w:color w:val="auto"/>
                <w:sz w:val="21"/>
                <w:szCs w:val="20"/>
                <w:highlight w:val="none"/>
              </w:rPr>
              <w:t>执行标准</w:t>
            </w:r>
          </w:p>
        </w:tc>
        <w:tc>
          <w:tcPr>
            <w:tcW w:w="7822" w:type="dxa"/>
            <w:gridSpan w:val="5"/>
            <w:vAlign w:val="center"/>
          </w:tcPr>
          <w:p>
            <w:pPr>
              <w:spacing w:before="100" w:beforeAutospacing="1"/>
              <w:ind w:firstLineChars="0" w:firstLine="0"/>
              <w:jc w:val="center"/>
              <w:rPr>
                <w:rFonts w:cs="Times New Roman"/>
                <w:color w:val="auto"/>
                <w:sz w:val="21"/>
                <w:szCs w:val="20"/>
                <w:highlight w:val="none"/>
              </w:rPr>
            </w:pPr>
          </w:p>
        </w:tc>
      </w:tr>
      <w:tr>
        <w:tc>
          <w:tcPr>
            <w:tcW w:w="1844" w:type="dxa"/>
            <w:gridSpan w:val="2"/>
            <w:vAlign w:val="center"/>
          </w:tcPr>
          <w:p>
            <w:pPr>
              <w:spacing w:before="100" w:beforeAutospacing="1"/>
              <w:ind w:firstLineChars="0" w:firstLine="0"/>
              <w:jc w:val="center"/>
              <w:rPr>
                <w:rFonts w:cs="Times New Roman"/>
                <w:color w:val="auto"/>
                <w:sz w:val="21"/>
                <w:szCs w:val="20"/>
                <w:highlight w:val="none"/>
              </w:rPr>
            </w:pPr>
            <w:r>
              <w:rPr>
                <w:rFonts w:cs="Times New Roman" w:hint="eastAsia"/>
                <w:color w:val="auto"/>
                <w:sz w:val="21"/>
                <w:szCs w:val="20"/>
                <w:lang w:val="en-US" w:eastAsia="zh-CN"/>
                <w:highlight w:val="none"/>
              </w:rPr>
              <w:t>仪器设备</w:t>
            </w:r>
          </w:p>
        </w:tc>
        <w:tc>
          <w:tcPr>
            <w:tcW w:w="3118" w:type="dxa"/>
            <w:gridSpan w:val="2"/>
            <w:vAlign w:val="center"/>
          </w:tcPr>
          <w:p>
            <w:pPr>
              <w:spacing w:before="100" w:beforeAutospacing="1"/>
              <w:ind w:firstLineChars="0" w:firstLine="0"/>
              <w:jc w:val="center"/>
              <w:rPr>
                <w:rFonts w:cs="Times New Roman"/>
                <w:color w:val="auto"/>
                <w:sz w:val="21"/>
                <w:szCs w:val="20"/>
                <w:highlight w:val="none"/>
              </w:rPr>
            </w:pPr>
          </w:p>
        </w:tc>
        <w:tc>
          <w:tcPr>
            <w:tcW w:w="2233" w:type="dxa"/>
            <w:vAlign w:val="center"/>
          </w:tcPr>
          <w:p>
            <w:pPr>
              <w:spacing w:before="100" w:beforeAutospacing="1"/>
              <w:ind w:firstLineChars="0" w:firstLine="0"/>
              <w:jc w:val="center"/>
              <w:rPr>
                <w:rFonts w:cs="Times New Roman"/>
                <w:color w:val="auto"/>
                <w:sz w:val="21"/>
                <w:szCs w:val="20"/>
                <w:highlight w:val="none"/>
              </w:rPr>
            </w:pPr>
            <w:r>
              <w:rPr>
                <w:rFonts w:cs="Times New Roman" w:hint="eastAsia"/>
                <w:color w:val="auto"/>
                <w:sz w:val="21"/>
                <w:szCs w:val="20"/>
                <w:lang w:val="en-US" w:eastAsia="zh-CN"/>
                <w:highlight w:val="none"/>
              </w:rPr>
              <w:t>仪器设备编号/型号</w:t>
            </w:r>
          </w:p>
        </w:tc>
        <w:tc>
          <w:tcPr>
            <w:tcW w:w="2471" w:type="dxa"/>
            <w:gridSpan w:val="2"/>
            <w:vAlign w:val="center"/>
          </w:tcPr>
          <w:p>
            <w:pPr>
              <w:spacing w:before="100" w:beforeAutospacing="1"/>
              <w:ind w:firstLineChars="0" w:firstLine="0"/>
              <w:jc w:val="center"/>
              <w:rPr>
                <w:rFonts w:cs="Times New Roman"/>
                <w:color w:val="auto"/>
                <w:sz w:val="21"/>
                <w:szCs w:val="20"/>
                <w:highlight w:val="none"/>
              </w:rPr>
            </w:pPr>
          </w:p>
        </w:tc>
      </w:tr>
      <w:tr>
        <w:trPr>
          <w:trHeight w:val="477"/>
        </w:trPr>
        <w:tc>
          <w:tcPr>
            <w:tcW w:w="710" w:type="dxa"/>
            <w:vAlign w:val="center"/>
          </w:tcPr>
          <w:p>
            <w:pPr>
              <w:spacing w:before="100" w:beforeAutospacing="1"/>
              <w:ind w:firstLineChars="0" w:firstLine="0"/>
              <w:jc w:val="center"/>
              <w:rPr>
                <w:rFonts w:cs="Times New Roman"/>
                <w:color w:val="auto"/>
                <w:sz w:val="21"/>
                <w:szCs w:val="20"/>
                <w:highlight w:val="none"/>
              </w:rPr>
            </w:pPr>
            <w:r>
              <w:rPr>
                <w:rFonts w:cs="Times New Roman"/>
                <w:color w:val="auto"/>
                <w:sz w:val="21"/>
                <w:szCs w:val="20"/>
                <w:highlight w:val="none"/>
              </w:rPr>
              <w:t>序号</w:t>
            </w:r>
          </w:p>
        </w:tc>
        <w:tc>
          <w:tcPr>
            <w:tcW w:w="2161" w:type="dxa"/>
            <w:gridSpan w:val="2"/>
            <w:vAlign w:val="center"/>
          </w:tcPr>
          <w:p>
            <w:pPr>
              <w:spacing w:before="100" w:beforeAutospacing="1"/>
              <w:ind w:firstLineChars="0" w:firstLine="0"/>
              <w:jc w:val="center"/>
              <w:rPr>
                <w:rFonts w:cs="Times New Roman"/>
                <w:color w:val="auto"/>
                <w:sz w:val="21"/>
                <w:szCs w:val="20"/>
                <w:highlight w:val="none"/>
              </w:rPr>
            </w:pPr>
            <w:r>
              <w:rPr>
                <w:rFonts w:cs="Times New Roman"/>
                <w:color w:val="auto"/>
                <w:sz w:val="21"/>
                <w:szCs w:val="20"/>
                <w:highlight w:val="none"/>
              </w:rPr>
              <w:t>构件编号</w:t>
            </w:r>
          </w:p>
        </w:tc>
        <w:tc>
          <w:tcPr>
            <w:tcW w:w="2091" w:type="dxa"/>
            <w:vAlign w:val="center"/>
          </w:tcPr>
          <w:p>
            <w:pPr>
              <w:spacing w:before="100" w:beforeAutospacing="1"/>
              <w:ind w:firstLineChars="0" w:firstLine="0"/>
              <w:jc w:val="center"/>
              <w:rPr>
                <w:rFonts w:cs="Times New Roman"/>
                <w:color w:val="auto"/>
                <w:sz w:val="21"/>
                <w:szCs w:val="20"/>
                <w:highlight w:val="none"/>
              </w:rPr>
            </w:pPr>
            <w:r>
              <w:rPr>
                <w:rFonts w:cs="Times New Roman"/>
                <w:color w:val="auto"/>
                <w:sz w:val="21"/>
                <w:szCs w:val="20"/>
                <w:highlight w:val="none"/>
              </w:rPr>
              <w:t>套筒编号</w:t>
            </w:r>
          </w:p>
        </w:tc>
        <w:tc>
          <w:tcPr>
            <w:tcW w:w="2233" w:type="dxa"/>
            <w:vAlign w:val="center"/>
          </w:tcPr>
          <w:p>
            <w:pPr>
              <w:spacing w:before="100" w:beforeAutospacing="1"/>
              <w:ind w:firstLineChars="0" w:firstLine="0"/>
              <w:jc w:val="center"/>
              <w:rPr>
                <w:rFonts w:cs="Times New Roman"/>
                <w:color w:val="auto"/>
                <w:sz w:val="21"/>
                <w:szCs w:val="20"/>
                <w:highlight w:val="none"/>
              </w:rPr>
            </w:pPr>
            <w:r>
              <w:rPr>
                <w:rFonts w:cs="Times New Roman"/>
                <w:color w:val="auto"/>
                <w:sz w:val="21"/>
                <w:szCs w:val="20"/>
                <w:highlight w:val="none"/>
              </w:rPr>
              <w:t>信号强度(dBm)</w:t>
            </w:r>
          </w:p>
        </w:tc>
        <w:tc>
          <w:tcPr>
            <w:tcW w:w="1253" w:type="dxa"/>
            <w:vAlign w:val="center"/>
          </w:tcPr>
          <w:p>
            <w:pPr>
              <w:spacing w:before="100" w:beforeAutospacing="1"/>
              <w:ind w:firstLineChars="0" w:firstLine="0"/>
              <w:jc w:val="center"/>
              <w:rPr>
                <w:rFonts w:cs="Times New Roman"/>
                <w:color w:val="auto"/>
                <w:sz w:val="21"/>
                <w:szCs w:val="20"/>
                <w:highlight w:val="none"/>
              </w:rPr>
            </w:pPr>
            <w:r>
              <w:rPr>
                <w:rFonts w:cs="Times New Roman" w:hint="eastAsia"/>
                <w:color w:val="auto"/>
                <w:sz w:val="21"/>
                <w:szCs w:val="20"/>
                <w:highlight w:val="none"/>
              </w:rPr>
              <w:t>检测结果</w:t>
            </w:r>
          </w:p>
        </w:tc>
        <w:tc>
          <w:tcPr>
            <w:tcW w:w="1218" w:type="dxa"/>
            <w:vAlign w:val="center"/>
          </w:tcPr>
          <w:p>
            <w:pPr>
              <w:spacing w:before="100" w:beforeAutospacing="1"/>
              <w:ind w:firstLineChars="0" w:firstLine="0"/>
              <w:jc w:val="center"/>
              <w:rPr>
                <w:rFonts w:cs="Times New Roman"/>
                <w:color w:val="auto"/>
                <w:sz w:val="21"/>
                <w:szCs w:val="20"/>
                <w:highlight w:val="none"/>
              </w:rPr>
            </w:pPr>
            <w:r>
              <w:rPr>
                <w:rFonts w:cs="Times New Roman"/>
                <w:color w:val="auto"/>
                <w:sz w:val="21"/>
                <w:szCs w:val="20"/>
                <w:highlight w:val="none"/>
              </w:rPr>
              <w:t>备注</w:t>
            </w: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2161"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091" w:type="dxa"/>
            <w:vAlign w:val="center"/>
          </w:tcPr>
          <w:p>
            <w:pPr>
              <w:spacing w:before="100" w:beforeAutospacing="1"/>
              <w:ind w:firstLineChars="0" w:firstLine="0"/>
              <w:jc w:val="center"/>
              <w:rPr>
                <w:rFonts w:eastAsia="楷体" w:cs="Times New Roman"/>
                <w:color w:val="auto"/>
                <w:sz w:val="21"/>
                <w:szCs w:val="20"/>
                <w:highlight w:val="none"/>
              </w:rPr>
            </w:pPr>
          </w:p>
        </w:tc>
        <w:tc>
          <w:tcPr>
            <w:tcW w:w="2233" w:type="dxa"/>
            <w:vAlign w:val="center"/>
          </w:tcPr>
          <w:p>
            <w:pPr>
              <w:spacing w:before="100" w:beforeAutospacing="1"/>
              <w:ind w:firstLineChars="0" w:firstLine="0"/>
              <w:jc w:val="center"/>
              <w:rPr>
                <w:rFonts w:eastAsia="楷体" w:cs="Times New Roman"/>
                <w:color w:val="auto"/>
                <w:sz w:val="21"/>
                <w:szCs w:val="20"/>
                <w:highlight w:val="none"/>
              </w:rPr>
            </w:pPr>
          </w:p>
        </w:tc>
        <w:tc>
          <w:tcPr>
            <w:tcW w:w="1253" w:type="dxa"/>
            <w:vAlign w:val="center"/>
          </w:tcPr>
          <w:p>
            <w:pPr>
              <w:spacing w:before="100" w:beforeAutospacing="1"/>
              <w:ind w:firstLineChars="0" w:firstLine="0"/>
              <w:jc w:val="center"/>
              <w:rPr>
                <w:rFonts w:eastAsia="楷体" w:cs="Times New Roman"/>
                <w:color w:val="auto"/>
                <w:sz w:val="21"/>
                <w:szCs w:val="20"/>
                <w:highlight w:val="none"/>
              </w:rPr>
            </w:pPr>
          </w:p>
        </w:tc>
        <w:tc>
          <w:tcPr>
            <w:tcW w:w="1218" w:type="dxa"/>
            <w:vAlign w:val="center"/>
          </w:tcPr>
          <w:p>
            <w:pPr>
              <w:spacing w:before="100" w:beforeAutospacing="1"/>
              <w:ind w:firstLineChars="0" w:firstLine="0"/>
              <w:jc w:val="center"/>
              <w:rPr>
                <w:rFonts w:eastAsia="楷体" w:cs="Times New Roman"/>
                <w:color w:val="auto"/>
                <w:sz w:val="21"/>
                <w:szCs w:val="20"/>
                <w:highlight w:val="none"/>
              </w:rPr>
            </w:pP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2161"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091" w:type="dxa"/>
            <w:vAlign w:val="center"/>
          </w:tcPr>
          <w:p>
            <w:pPr>
              <w:spacing w:before="100" w:beforeAutospacing="1"/>
              <w:ind w:firstLineChars="0" w:firstLine="0"/>
              <w:jc w:val="center"/>
              <w:rPr>
                <w:rFonts w:eastAsia="楷体" w:cs="Times New Roman"/>
                <w:color w:val="auto"/>
                <w:sz w:val="21"/>
                <w:szCs w:val="20"/>
                <w:highlight w:val="none"/>
              </w:rPr>
            </w:pPr>
          </w:p>
        </w:tc>
        <w:tc>
          <w:tcPr>
            <w:tcW w:w="2233" w:type="dxa"/>
            <w:vAlign w:val="center"/>
          </w:tcPr>
          <w:p>
            <w:pPr>
              <w:spacing w:before="100" w:beforeAutospacing="1"/>
              <w:ind w:firstLineChars="0" w:firstLine="0"/>
              <w:jc w:val="center"/>
              <w:rPr>
                <w:rFonts w:eastAsia="楷体" w:cs="Times New Roman"/>
                <w:color w:val="auto"/>
                <w:sz w:val="21"/>
                <w:szCs w:val="20"/>
                <w:highlight w:val="none"/>
              </w:rPr>
            </w:pPr>
          </w:p>
        </w:tc>
        <w:tc>
          <w:tcPr>
            <w:tcW w:w="1253" w:type="dxa"/>
            <w:vAlign w:val="center"/>
          </w:tcPr>
          <w:p>
            <w:pPr>
              <w:spacing w:before="100" w:beforeAutospacing="1"/>
              <w:ind w:firstLineChars="0" w:firstLine="0"/>
              <w:jc w:val="center"/>
              <w:rPr>
                <w:rFonts w:eastAsia="楷体" w:cs="Times New Roman"/>
                <w:color w:val="auto"/>
                <w:sz w:val="21"/>
                <w:szCs w:val="20"/>
                <w:highlight w:val="none"/>
              </w:rPr>
            </w:pPr>
          </w:p>
        </w:tc>
        <w:tc>
          <w:tcPr>
            <w:tcW w:w="1218" w:type="dxa"/>
            <w:vAlign w:val="center"/>
          </w:tcPr>
          <w:p>
            <w:pPr>
              <w:spacing w:before="100" w:beforeAutospacing="1"/>
              <w:ind w:firstLineChars="0" w:firstLine="0"/>
              <w:jc w:val="center"/>
              <w:rPr>
                <w:rFonts w:eastAsia="楷体" w:cs="Times New Roman"/>
                <w:color w:val="auto"/>
                <w:sz w:val="21"/>
                <w:szCs w:val="20"/>
                <w:highlight w:val="none"/>
              </w:rPr>
            </w:pP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2161"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091" w:type="dxa"/>
            <w:vAlign w:val="center"/>
          </w:tcPr>
          <w:p>
            <w:pPr>
              <w:spacing w:before="100" w:beforeAutospacing="1"/>
              <w:ind w:firstLineChars="0" w:firstLine="0"/>
              <w:jc w:val="center"/>
              <w:rPr>
                <w:rFonts w:eastAsia="楷体" w:cs="Times New Roman"/>
                <w:color w:val="auto"/>
                <w:sz w:val="21"/>
                <w:szCs w:val="20"/>
                <w:highlight w:val="none"/>
              </w:rPr>
            </w:pPr>
          </w:p>
        </w:tc>
        <w:tc>
          <w:tcPr>
            <w:tcW w:w="2233" w:type="dxa"/>
            <w:vAlign w:val="center"/>
          </w:tcPr>
          <w:p>
            <w:pPr>
              <w:spacing w:before="100" w:beforeAutospacing="1"/>
              <w:ind w:firstLineChars="0" w:firstLine="0"/>
              <w:jc w:val="center"/>
              <w:rPr>
                <w:rFonts w:eastAsia="楷体" w:cs="Times New Roman"/>
                <w:color w:val="auto"/>
                <w:sz w:val="21"/>
                <w:szCs w:val="20"/>
                <w:highlight w:val="none"/>
              </w:rPr>
            </w:pPr>
          </w:p>
        </w:tc>
        <w:tc>
          <w:tcPr>
            <w:tcW w:w="1253" w:type="dxa"/>
            <w:vAlign w:val="center"/>
          </w:tcPr>
          <w:p>
            <w:pPr>
              <w:spacing w:before="100" w:beforeAutospacing="1"/>
              <w:ind w:firstLineChars="0" w:firstLine="0"/>
              <w:jc w:val="center"/>
              <w:rPr>
                <w:rFonts w:eastAsia="楷体" w:cs="Times New Roman"/>
                <w:color w:val="auto"/>
                <w:sz w:val="21"/>
                <w:szCs w:val="20"/>
                <w:highlight w:val="none"/>
              </w:rPr>
            </w:pPr>
          </w:p>
        </w:tc>
        <w:tc>
          <w:tcPr>
            <w:tcW w:w="1218" w:type="dxa"/>
            <w:vAlign w:val="center"/>
          </w:tcPr>
          <w:p>
            <w:pPr>
              <w:spacing w:before="100" w:beforeAutospacing="1"/>
              <w:ind w:firstLineChars="0" w:firstLine="0"/>
              <w:jc w:val="center"/>
              <w:rPr>
                <w:rFonts w:eastAsia="楷体" w:cs="Times New Roman"/>
                <w:color w:val="auto"/>
                <w:sz w:val="21"/>
                <w:szCs w:val="20"/>
                <w:highlight w:val="none"/>
              </w:rPr>
            </w:pP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2161"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091" w:type="dxa"/>
            <w:vAlign w:val="center"/>
          </w:tcPr>
          <w:p>
            <w:pPr>
              <w:spacing w:before="100" w:beforeAutospacing="1"/>
              <w:ind w:firstLineChars="0" w:firstLine="0"/>
              <w:jc w:val="center"/>
              <w:rPr>
                <w:rFonts w:eastAsia="楷体" w:cs="Times New Roman"/>
                <w:color w:val="auto"/>
                <w:sz w:val="21"/>
                <w:szCs w:val="20"/>
                <w:highlight w:val="none"/>
              </w:rPr>
            </w:pPr>
          </w:p>
        </w:tc>
        <w:tc>
          <w:tcPr>
            <w:tcW w:w="2233" w:type="dxa"/>
            <w:vAlign w:val="center"/>
          </w:tcPr>
          <w:p>
            <w:pPr>
              <w:spacing w:before="100" w:beforeAutospacing="1"/>
              <w:ind w:firstLineChars="0" w:firstLine="0"/>
              <w:jc w:val="center"/>
              <w:rPr>
                <w:rFonts w:eastAsia="楷体" w:cs="Times New Roman"/>
                <w:color w:val="auto"/>
                <w:sz w:val="21"/>
                <w:szCs w:val="20"/>
                <w:highlight w:val="none"/>
              </w:rPr>
            </w:pPr>
          </w:p>
        </w:tc>
        <w:tc>
          <w:tcPr>
            <w:tcW w:w="1253" w:type="dxa"/>
            <w:vAlign w:val="center"/>
          </w:tcPr>
          <w:p>
            <w:pPr>
              <w:spacing w:before="100" w:beforeAutospacing="1"/>
              <w:ind w:firstLineChars="0" w:firstLine="0"/>
              <w:jc w:val="center"/>
              <w:rPr>
                <w:rFonts w:eastAsia="楷体" w:cs="Times New Roman"/>
                <w:color w:val="auto"/>
                <w:sz w:val="21"/>
                <w:szCs w:val="20"/>
                <w:highlight w:val="none"/>
              </w:rPr>
            </w:pPr>
          </w:p>
        </w:tc>
        <w:tc>
          <w:tcPr>
            <w:tcW w:w="1218" w:type="dxa"/>
            <w:vAlign w:val="center"/>
          </w:tcPr>
          <w:p>
            <w:pPr>
              <w:spacing w:before="100" w:beforeAutospacing="1"/>
              <w:ind w:firstLineChars="0" w:firstLine="0"/>
              <w:jc w:val="center"/>
              <w:rPr>
                <w:rFonts w:eastAsia="楷体" w:cs="Times New Roman"/>
                <w:color w:val="auto"/>
                <w:sz w:val="21"/>
                <w:szCs w:val="20"/>
                <w:highlight w:val="none"/>
              </w:rPr>
            </w:pP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2161"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091" w:type="dxa"/>
            <w:vAlign w:val="center"/>
          </w:tcPr>
          <w:p>
            <w:pPr>
              <w:spacing w:before="100" w:beforeAutospacing="1"/>
              <w:ind w:firstLineChars="0" w:firstLine="0"/>
              <w:jc w:val="center"/>
              <w:rPr>
                <w:rFonts w:eastAsia="楷体" w:cs="Times New Roman"/>
                <w:color w:val="auto"/>
                <w:sz w:val="21"/>
                <w:szCs w:val="20"/>
                <w:highlight w:val="none"/>
              </w:rPr>
            </w:pPr>
          </w:p>
        </w:tc>
        <w:tc>
          <w:tcPr>
            <w:tcW w:w="2233" w:type="dxa"/>
            <w:vAlign w:val="center"/>
          </w:tcPr>
          <w:p>
            <w:pPr>
              <w:spacing w:before="100" w:beforeAutospacing="1"/>
              <w:ind w:firstLineChars="0" w:firstLine="0"/>
              <w:jc w:val="center"/>
              <w:rPr>
                <w:rFonts w:eastAsia="楷体" w:cs="Times New Roman"/>
                <w:color w:val="auto"/>
                <w:sz w:val="21"/>
                <w:szCs w:val="20"/>
                <w:highlight w:val="none"/>
              </w:rPr>
            </w:pPr>
          </w:p>
        </w:tc>
        <w:tc>
          <w:tcPr>
            <w:tcW w:w="1253" w:type="dxa"/>
            <w:vAlign w:val="center"/>
          </w:tcPr>
          <w:p>
            <w:pPr>
              <w:spacing w:before="100" w:beforeAutospacing="1"/>
              <w:ind w:firstLineChars="0" w:firstLine="0"/>
              <w:jc w:val="center"/>
              <w:rPr>
                <w:rFonts w:eastAsia="楷体" w:cs="Times New Roman"/>
                <w:color w:val="auto"/>
                <w:sz w:val="21"/>
                <w:szCs w:val="20"/>
                <w:highlight w:val="none"/>
              </w:rPr>
            </w:pPr>
          </w:p>
        </w:tc>
        <w:tc>
          <w:tcPr>
            <w:tcW w:w="1218" w:type="dxa"/>
            <w:vAlign w:val="center"/>
          </w:tcPr>
          <w:p>
            <w:pPr>
              <w:spacing w:before="100" w:beforeAutospacing="1"/>
              <w:ind w:firstLineChars="0" w:firstLine="0"/>
              <w:jc w:val="center"/>
              <w:rPr>
                <w:rFonts w:eastAsia="楷体" w:cs="Times New Roman"/>
                <w:color w:val="auto"/>
                <w:sz w:val="21"/>
                <w:szCs w:val="20"/>
                <w:highlight w:val="none"/>
              </w:rPr>
            </w:pP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2161"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091" w:type="dxa"/>
            <w:vAlign w:val="center"/>
          </w:tcPr>
          <w:p>
            <w:pPr>
              <w:spacing w:before="100" w:beforeAutospacing="1"/>
              <w:ind w:firstLineChars="0" w:firstLine="0"/>
              <w:jc w:val="center"/>
              <w:rPr>
                <w:rFonts w:eastAsia="楷体" w:cs="Times New Roman"/>
                <w:color w:val="auto"/>
                <w:sz w:val="21"/>
                <w:szCs w:val="20"/>
                <w:highlight w:val="none"/>
              </w:rPr>
            </w:pPr>
          </w:p>
        </w:tc>
        <w:tc>
          <w:tcPr>
            <w:tcW w:w="2233" w:type="dxa"/>
            <w:vAlign w:val="center"/>
          </w:tcPr>
          <w:p>
            <w:pPr>
              <w:spacing w:before="100" w:beforeAutospacing="1"/>
              <w:ind w:firstLineChars="0" w:firstLine="0"/>
              <w:jc w:val="center"/>
              <w:rPr>
                <w:rFonts w:eastAsia="楷体" w:cs="Times New Roman"/>
                <w:color w:val="auto"/>
                <w:sz w:val="21"/>
                <w:szCs w:val="20"/>
                <w:highlight w:val="none"/>
              </w:rPr>
            </w:pPr>
          </w:p>
        </w:tc>
        <w:tc>
          <w:tcPr>
            <w:tcW w:w="1253" w:type="dxa"/>
            <w:vAlign w:val="center"/>
          </w:tcPr>
          <w:p>
            <w:pPr>
              <w:spacing w:before="100" w:beforeAutospacing="1"/>
              <w:ind w:firstLineChars="0" w:firstLine="0"/>
              <w:jc w:val="center"/>
              <w:rPr>
                <w:rFonts w:eastAsia="楷体" w:cs="Times New Roman"/>
                <w:color w:val="auto"/>
                <w:sz w:val="21"/>
                <w:szCs w:val="20"/>
                <w:highlight w:val="none"/>
              </w:rPr>
            </w:pPr>
          </w:p>
        </w:tc>
        <w:tc>
          <w:tcPr>
            <w:tcW w:w="1218" w:type="dxa"/>
            <w:vAlign w:val="center"/>
          </w:tcPr>
          <w:p>
            <w:pPr>
              <w:spacing w:before="100" w:beforeAutospacing="1"/>
              <w:ind w:firstLineChars="0" w:firstLine="0"/>
              <w:jc w:val="center"/>
              <w:rPr>
                <w:rFonts w:eastAsia="楷体" w:cs="Times New Roman"/>
                <w:color w:val="auto"/>
                <w:sz w:val="21"/>
                <w:szCs w:val="20"/>
                <w:highlight w:val="none"/>
              </w:rPr>
            </w:pP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2161"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091" w:type="dxa"/>
            <w:vAlign w:val="center"/>
          </w:tcPr>
          <w:p>
            <w:pPr>
              <w:spacing w:before="100" w:beforeAutospacing="1"/>
              <w:ind w:firstLineChars="0" w:firstLine="0"/>
              <w:jc w:val="center"/>
              <w:rPr>
                <w:rFonts w:eastAsia="楷体" w:cs="Times New Roman"/>
                <w:color w:val="auto"/>
                <w:sz w:val="21"/>
                <w:szCs w:val="20"/>
                <w:highlight w:val="none"/>
              </w:rPr>
            </w:pPr>
          </w:p>
        </w:tc>
        <w:tc>
          <w:tcPr>
            <w:tcW w:w="2233" w:type="dxa"/>
            <w:vAlign w:val="center"/>
          </w:tcPr>
          <w:p>
            <w:pPr>
              <w:spacing w:before="100" w:beforeAutospacing="1"/>
              <w:ind w:firstLineChars="0" w:firstLine="0"/>
              <w:jc w:val="center"/>
              <w:rPr>
                <w:rFonts w:eastAsia="楷体" w:cs="Times New Roman"/>
                <w:color w:val="auto"/>
                <w:sz w:val="21"/>
                <w:szCs w:val="20"/>
                <w:highlight w:val="none"/>
              </w:rPr>
            </w:pPr>
          </w:p>
        </w:tc>
        <w:tc>
          <w:tcPr>
            <w:tcW w:w="1253" w:type="dxa"/>
            <w:vAlign w:val="center"/>
          </w:tcPr>
          <w:p>
            <w:pPr>
              <w:spacing w:before="100" w:beforeAutospacing="1"/>
              <w:ind w:firstLineChars="0" w:firstLine="0"/>
              <w:jc w:val="center"/>
              <w:rPr>
                <w:rFonts w:eastAsia="楷体" w:cs="Times New Roman"/>
                <w:color w:val="auto"/>
                <w:sz w:val="21"/>
                <w:szCs w:val="20"/>
                <w:highlight w:val="none"/>
              </w:rPr>
            </w:pPr>
          </w:p>
        </w:tc>
        <w:tc>
          <w:tcPr>
            <w:tcW w:w="1218" w:type="dxa"/>
            <w:vAlign w:val="center"/>
          </w:tcPr>
          <w:p>
            <w:pPr>
              <w:spacing w:before="100" w:beforeAutospacing="1"/>
              <w:ind w:firstLineChars="0" w:firstLine="0"/>
              <w:jc w:val="center"/>
              <w:rPr>
                <w:rFonts w:eastAsia="楷体" w:cs="Times New Roman"/>
                <w:color w:val="auto"/>
                <w:sz w:val="21"/>
                <w:szCs w:val="20"/>
                <w:highlight w:val="none"/>
              </w:rPr>
            </w:pP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2161"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091" w:type="dxa"/>
            <w:vAlign w:val="center"/>
          </w:tcPr>
          <w:p>
            <w:pPr>
              <w:spacing w:before="100" w:beforeAutospacing="1"/>
              <w:ind w:firstLineChars="0" w:firstLine="0"/>
              <w:jc w:val="center"/>
              <w:rPr>
                <w:rFonts w:eastAsia="楷体" w:cs="Times New Roman"/>
                <w:color w:val="auto"/>
                <w:sz w:val="21"/>
                <w:szCs w:val="20"/>
                <w:highlight w:val="none"/>
              </w:rPr>
            </w:pPr>
          </w:p>
        </w:tc>
        <w:tc>
          <w:tcPr>
            <w:tcW w:w="2233" w:type="dxa"/>
            <w:vAlign w:val="center"/>
          </w:tcPr>
          <w:p>
            <w:pPr>
              <w:spacing w:before="100" w:beforeAutospacing="1"/>
              <w:ind w:firstLineChars="0" w:firstLine="0"/>
              <w:jc w:val="center"/>
              <w:rPr>
                <w:rFonts w:eastAsia="楷体" w:cs="Times New Roman"/>
                <w:color w:val="auto"/>
                <w:sz w:val="21"/>
                <w:szCs w:val="20"/>
                <w:highlight w:val="none"/>
              </w:rPr>
            </w:pPr>
          </w:p>
        </w:tc>
        <w:tc>
          <w:tcPr>
            <w:tcW w:w="1253" w:type="dxa"/>
            <w:vAlign w:val="center"/>
          </w:tcPr>
          <w:p>
            <w:pPr>
              <w:spacing w:before="100" w:beforeAutospacing="1"/>
              <w:ind w:firstLineChars="0" w:firstLine="0"/>
              <w:jc w:val="center"/>
              <w:rPr>
                <w:rFonts w:eastAsia="楷体" w:cs="Times New Roman"/>
                <w:color w:val="auto"/>
                <w:sz w:val="21"/>
                <w:szCs w:val="20"/>
                <w:highlight w:val="none"/>
              </w:rPr>
            </w:pPr>
          </w:p>
        </w:tc>
        <w:tc>
          <w:tcPr>
            <w:tcW w:w="1218" w:type="dxa"/>
            <w:vAlign w:val="center"/>
          </w:tcPr>
          <w:p>
            <w:pPr>
              <w:spacing w:before="100" w:beforeAutospacing="1"/>
              <w:ind w:firstLineChars="0" w:firstLine="0"/>
              <w:jc w:val="center"/>
              <w:rPr>
                <w:rFonts w:eastAsia="楷体" w:cs="Times New Roman"/>
                <w:color w:val="auto"/>
                <w:sz w:val="21"/>
                <w:szCs w:val="20"/>
                <w:highlight w:val="none"/>
              </w:rPr>
            </w:pP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2161"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091" w:type="dxa"/>
            <w:vAlign w:val="center"/>
          </w:tcPr>
          <w:p>
            <w:pPr>
              <w:spacing w:before="100" w:beforeAutospacing="1"/>
              <w:ind w:firstLineChars="0" w:firstLine="0"/>
              <w:jc w:val="center"/>
              <w:rPr>
                <w:rFonts w:eastAsia="楷体" w:cs="Times New Roman"/>
                <w:color w:val="auto"/>
                <w:sz w:val="21"/>
                <w:szCs w:val="20"/>
                <w:highlight w:val="none"/>
              </w:rPr>
            </w:pPr>
          </w:p>
        </w:tc>
        <w:tc>
          <w:tcPr>
            <w:tcW w:w="2233" w:type="dxa"/>
            <w:vAlign w:val="center"/>
          </w:tcPr>
          <w:p>
            <w:pPr>
              <w:spacing w:before="100" w:beforeAutospacing="1"/>
              <w:ind w:firstLineChars="0" w:firstLine="0"/>
              <w:jc w:val="center"/>
              <w:rPr>
                <w:rFonts w:eastAsia="楷体" w:cs="Times New Roman"/>
                <w:color w:val="auto"/>
                <w:sz w:val="21"/>
                <w:szCs w:val="20"/>
                <w:highlight w:val="none"/>
              </w:rPr>
            </w:pPr>
          </w:p>
        </w:tc>
        <w:tc>
          <w:tcPr>
            <w:tcW w:w="1253" w:type="dxa"/>
            <w:vAlign w:val="center"/>
          </w:tcPr>
          <w:p>
            <w:pPr>
              <w:spacing w:before="100" w:beforeAutospacing="1"/>
              <w:ind w:firstLineChars="0" w:firstLine="0"/>
              <w:jc w:val="center"/>
              <w:rPr>
                <w:rFonts w:eastAsia="楷体" w:cs="Times New Roman"/>
                <w:color w:val="auto"/>
                <w:sz w:val="21"/>
                <w:szCs w:val="20"/>
                <w:highlight w:val="none"/>
              </w:rPr>
            </w:pPr>
          </w:p>
        </w:tc>
        <w:tc>
          <w:tcPr>
            <w:tcW w:w="1218" w:type="dxa"/>
            <w:vAlign w:val="center"/>
          </w:tcPr>
          <w:p>
            <w:pPr>
              <w:spacing w:before="100" w:beforeAutospacing="1"/>
              <w:ind w:firstLineChars="0" w:firstLine="0"/>
              <w:jc w:val="center"/>
              <w:rPr>
                <w:rFonts w:eastAsia="楷体" w:cs="Times New Roman"/>
                <w:color w:val="auto"/>
                <w:sz w:val="21"/>
                <w:szCs w:val="20"/>
                <w:highlight w:val="none"/>
              </w:rPr>
            </w:pP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2161"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091" w:type="dxa"/>
            <w:vAlign w:val="center"/>
          </w:tcPr>
          <w:p>
            <w:pPr>
              <w:spacing w:before="100" w:beforeAutospacing="1"/>
              <w:ind w:firstLineChars="0" w:firstLine="0"/>
              <w:jc w:val="center"/>
              <w:rPr>
                <w:rFonts w:eastAsia="楷体" w:cs="Times New Roman"/>
                <w:color w:val="auto"/>
                <w:sz w:val="21"/>
                <w:szCs w:val="20"/>
                <w:highlight w:val="none"/>
              </w:rPr>
            </w:pPr>
          </w:p>
        </w:tc>
        <w:tc>
          <w:tcPr>
            <w:tcW w:w="2233" w:type="dxa"/>
            <w:vAlign w:val="center"/>
          </w:tcPr>
          <w:p>
            <w:pPr>
              <w:spacing w:before="100" w:beforeAutospacing="1"/>
              <w:ind w:firstLineChars="0" w:firstLine="0"/>
              <w:jc w:val="center"/>
              <w:rPr>
                <w:rFonts w:eastAsia="楷体" w:cs="Times New Roman"/>
                <w:color w:val="auto"/>
                <w:sz w:val="21"/>
                <w:szCs w:val="20"/>
                <w:highlight w:val="none"/>
              </w:rPr>
            </w:pPr>
          </w:p>
        </w:tc>
        <w:tc>
          <w:tcPr>
            <w:tcW w:w="1253" w:type="dxa"/>
            <w:vAlign w:val="center"/>
          </w:tcPr>
          <w:p>
            <w:pPr>
              <w:spacing w:before="100" w:beforeAutospacing="1"/>
              <w:ind w:firstLineChars="0" w:firstLine="0"/>
              <w:jc w:val="center"/>
              <w:rPr>
                <w:rFonts w:eastAsia="楷体" w:cs="Times New Roman"/>
                <w:color w:val="auto"/>
                <w:sz w:val="21"/>
                <w:szCs w:val="20"/>
                <w:highlight w:val="none"/>
              </w:rPr>
            </w:pPr>
          </w:p>
        </w:tc>
        <w:tc>
          <w:tcPr>
            <w:tcW w:w="1218" w:type="dxa"/>
            <w:vAlign w:val="center"/>
          </w:tcPr>
          <w:p>
            <w:pPr>
              <w:spacing w:before="100" w:beforeAutospacing="1"/>
              <w:ind w:firstLineChars="0" w:firstLine="0"/>
              <w:jc w:val="center"/>
              <w:rPr>
                <w:rFonts w:eastAsia="楷体" w:cs="Times New Roman"/>
                <w:color w:val="auto"/>
                <w:sz w:val="21"/>
                <w:szCs w:val="20"/>
                <w:highlight w:val="none"/>
              </w:rPr>
            </w:pP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2161"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091" w:type="dxa"/>
            <w:vAlign w:val="center"/>
          </w:tcPr>
          <w:p>
            <w:pPr>
              <w:spacing w:before="100" w:beforeAutospacing="1"/>
              <w:ind w:firstLineChars="0" w:firstLine="0"/>
              <w:jc w:val="center"/>
              <w:rPr>
                <w:rFonts w:eastAsia="楷体" w:cs="Times New Roman"/>
                <w:color w:val="auto"/>
                <w:sz w:val="21"/>
                <w:szCs w:val="20"/>
                <w:highlight w:val="none"/>
              </w:rPr>
            </w:pPr>
          </w:p>
        </w:tc>
        <w:tc>
          <w:tcPr>
            <w:tcW w:w="2233" w:type="dxa"/>
            <w:vAlign w:val="center"/>
          </w:tcPr>
          <w:p>
            <w:pPr>
              <w:spacing w:before="100" w:beforeAutospacing="1"/>
              <w:ind w:firstLineChars="0" w:firstLine="0"/>
              <w:jc w:val="center"/>
              <w:rPr>
                <w:rFonts w:eastAsia="楷体" w:cs="Times New Roman"/>
                <w:color w:val="auto"/>
                <w:sz w:val="21"/>
                <w:szCs w:val="20"/>
                <w:highlight w:val="none"/>
              </w:rPr>
            </w:pPr>
          </w:p>
        </w:tc>
        <w:tc>
          <w:tcPr>
            <w:tcW w:w="1253" w:type="dxa"/>
            <w:vAlign w:val="center"/>
          </w:tcPr>
          <w:p>
            <w:pPr>
              <w:spacing w:before="100" w:beforeAutospacing="1"/>
              <w:ind w:firstLineChars="0" w:firstLine="0"/>
              <w:jc w:val="center"/>
              <w:rPr>
                <w:rFonts w:eastAsia="楷体" w:cs="Times New Roman"/>
                <w:color w:val="auto"/>
                <w:sz w:val="21"/>
                <w:szCs w:val="20"/>
                <w:highlight w:val="none"/>
              </w:rPr>
            </w:pPr>
          </w:p>
        </w:tc>
        <w:tc>
          <w:tcPr>
            <w:tcW w:w="1218" w:type="dxa"/>
            <w:vAlign w:val="center"/>
          </w:tcPr>
          <w:p>
            <w:pPr>
              <w:spacing w:before="100" w:beforeAutospacing="1"/>
              <w:ind w:firstLineChars="0" w:firstLine="0"/>
              <w:jc w:val="center"/>
              <w:rPr>
                <w:rFonts w:eastAsia="楷体" w:cs="Times New Roman"/>
                <w:color w:val="auto"/>
                <w:sz w:val="21"/>
                <w:szCs w:val="20"/>
                <w:highlight w:val="none"/>
              </w:rPr>
            </w:pP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2161"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091" w:type="dxa"/>
            <w:vAlign w:val="center"/>
          </w:tcPr>
          <w:p>
            <w:pPr>
              <w:spacing w:before="100" w:beforeAutospacing="1"/>
              <w:ind w:firstLineChars="0" w:firstLine="0"/>
              <w:jc w:val="center"/>
              <w:rPr>
                <w:rFonts w:eastAsia="楷体" w:cs="Times New Roman"/>
                <w:color w:val="auto"/>
                <w:sz w:val="21"/>
                <w:szCs w:val="20"/>
                <w:highlight w:val="none"/>
              </w:rPr>
            </w:pPr>
          </w:p>
        </w:tc>
        <w:tc>
          <w:tcPr>
            <w:tcW w:w="2233" w:type="dxa"/>
            <w:vAlign w:val="center"/>
          </w:tcPr>
          <w:p>
            <w:pPr>
              <w:spacing w:before="100" w:beforeAutospacing="1"/>
              <w:ind w:firstLineChars="0" w:firstLine="0"/>
              <w:jc w:val="center"/>
              <w:rPr>
                <w:rFonts w:eastAsia="楷体" w:cs="Times New Roman"/>
                <w:color w:val="auto"/>
                <w:sz w:val="21"/>
                <w:szCs w:val="20"/>
                <w:highlight w:val="none"/>
              </w:rPr>
            </w:pPr>
          </w:p>
        </w:tc>
        <w:tc>
          <w:tcPr>
            <w:tcW w:w="1253" w:type="dxa"/>
            <w:vAlign w:val="center"/>
          </w:tcPr>
          <w:p>
            <w:pPr>
              <w:spacing w:before="100" w:beforeAutospacing="1"/>
              <w:ind w:firstLineChars="0" w:firstLine="0"/>
              <w:jc w:val="center"/>
              <w:rPr>
                <w:rFonts w:eastAsia="楷体" w:cs="Times New Roman"/>
                <w:color w:val="auto"/>
                <w:sz w:val="21"/>
                <w:szCs w:val="20"/>
                <w:highlight w:val="none"/>
              </w:rPr>
            </w:pPr>
          </w:p>
        </w:tc>
        <w:tc>
          <w:tcPr>
            <w:tcW w:w="1218" w:type="dxa"/>
            <w:vAlign w:val="center"/>
          </w:tcPr>
          <w:p>
            <w:pPr>
              <w:spacing w:before="100" w:beforeAutospacing="1"/>
              <w:ind w:firstLineChars="0" w:firstLine="0"/>
              <w:jc w:val="center"/>
              <w:rPr>
                <w:rFonts w:eastAsia="楷体" w:cs="Times New Roman"/>
                <w:color w:val="auto"/>
                <w:sz w:val="21"/>
                <w:szCs w:val="20"/>
                <w:highlight w:val="none"/>
              </w:rPr>
            </w:pP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2161"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091" w:type="dxa"/>
            <w:vAlign w:val="center"/>
          </w:tcPr>
          <w:p>
            <w:pPr>
              <w:spacing w:before="100" w:beforeAutospacing="1"/>
              <w:ind w:firstLineChars="0" w:firstLine="0"/>
              <w:jc w:val="center"/>
              <w:rPr>
                <w:rFonts w:eastAsia="楷体" w:cs="Times New Roman"/>
                <w:color w:val="auto"/>
                <w:sz w:val="21"/>
                <w:szCs w:val="20"/>
                <w:highlight w:val="none"/>
              </w:rPr>
            </w:pPr>
          </w:p>
        </w:tc>
        <w:tc>
          <w:tcPr>
            <w:tcW w:w="2233" w:type="dxa"/>
            <w:vAlign w:val="center"/>
          </w:tcPr>
          <w:p>
            <w:pPr>
              <w:spacing w:before="100" w:beforeAutospacing="1"/>
              <w:ind w:firstLineChars="0" w:firstLine="0"/>
              <w:jc w:val="center"/>
              <w:rPr>
                <w:rFonts w:eastAsia="楷体" w:cs="Times New Roman"/>
                <w:color w:val="auto"/>
                <w:sz w:val="21"/>
                <w:szCs w:val="20"/>
                <w:highlight w:val="none"/>
              </w:rPr>
            </w:pPr>
          </w:p>
        </w:tc>
        <w:tc>
          <w:tcPr>
            <w:tcW w:w="1253" w:type="dxa"/>
            <w:vAlign w:val="center"/>
          </w:tcPr>
          <w:p>
            <w:pPr>
              <w:spacing w:before="100" w:beforeAutospacing="1"/>
              <w:ind w:firstLineChars="0" w:firstLine="0"/>
              <w:jc w:val="center"/>
              <w:rPr>
                <w:rFonts w:eastAsia="楷体" w:cs="Times New Roman"/>
                <w:color w:val="auto"/>
                <w:sz w:val="21"/>
                <w:szCs w:val="20"/>
                <w:highlight w:val="none"/>
              </w:rPr>
            </w:pPr>
          </w:p>
        </w:tc>
        <w:tc>
          <w:tcPr>
            <w:tcW w:w="1218" w:type="dxa"/>
            <w:vAlign w:val="center"/>
          </w:tcPr>
          <w:p>
            <w:pPr>
              <w:spacing w:before="100" w:beforeAutospacing="1"/>
              <w:ind w:firstLineChars="0" w:firstLine="0"/>
              <w:jc w:val="center"/>
              <w:rPr>
                <w:rFonts w:eastAsia="楷体" w:cs="Times New Roman"/>
                <w:color w:val="auto"/>
                <w:sz w:val="21"/>
                <w:szCs w:val="20"/>
                <w:highlight w:val="none"/>
              </w:rPr>
            </w:pP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2161"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091" w:type="dxa"/>
            <w:vAlign w:val="center"/>
          </w:tcPr>
          <w:p>
            <w:pPr>
              <w:spacing w:before="100" w:beforeAutospacing="1"/>
              <w:ind w:firstLineChars="0" w:firstLine="0"/>
              <w:jc w:val="center"/>
              <w:rPr>
                <w:rFonts w:eastAsia="楷体" w:cs="Times New Roman"/>
                <w:color w:val="auto"/>
                <w:sz w:val="21"/>
                <w:szCs w:val="20"/>
                <w:highlight w:val="none"/>
              </w:rPr>
            </w:pPr>
          </w:p>
        </w:tc>
        <w:tc>
          <w:tcPr>
            <w:tcW w:w="2233" w:type="dxa"/>
            <w:vAlign w:val="center"/>
          </w:tcPr>
          <w:p>
            <w:pPr>
              <w:spacing w:before="100" w:beforeAutospacing="1"/>
              <w:ind w:firstLineChars="0" w:firstLine="0"/>
              <w:jc w:val="center"/>
              <w:rPr>
                <w:rFonts w:eastAsia="楷体" w:cs="Times New Roman"/>
                <w:color w:val="auto"/>
                <w:sz w:val="21"/>
                <w:szCs w:val="20"/>
                <w:highlight w:val="none"/>
              </w:rPr>
            </w:pPr>
          </w:p>
        </w:tc>
        <w:tc>
          <w:tcPr>
            <w:tcW w:w="1253" w:type="dxa"/>
            <w:vAlign w:val="center"/>
          </w:tcPr>
          <w:p>
            <w:pPr>
              <w:spacing w:before="100" w:beforeAutospacing="1"/>
              <w:ind w:firstLineChars="0" w:firstLine="0"/>
              <w:jc w:val="center"/>
              <w:rPr>
                <w:rFonts w:eastAsia="楷体" w:cs="Times New Roman"/>
                <w:color w:val="auto"/>
                <w:sz w:val="21"/>
                <w:szCs w:val="20"/>
                <w:highlight w:val="none"/>
              </w:rPr>
            </w:pPr>
          </w:p>
        </w:tc>
        <w:tc>
          <w:tcPr>
            <w:tcW w:w="1218" w:type="dxa"/>
            <w:vAlign w:val="center"/>
          </w:tcPr>
          <w:p>
            <w:pPr>
              <w:spacing w:before="100" w:beforeAutospacing="1"/>
              <w:ind w:firstLineChars="0" w:firstLine="0"/>
              <w:jc w:val="center"/>
              <w:rPr>
                <w:rFonts w:eastAsia="楷体" w:cs="Times New Roman"/>
                <w:color w:val="auto"/>
                <w:sz w:val="21"/>
                <w:szCs w:val="20"/>
                <w:highlight w:val="none"/>
              </w:rPr>
            </w:pP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2161"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091" w:type="dxa"/>
            <w:vAlign w:val="center"/>
          </w:tcPr>
          <w:p>
            <w:pPr>
              <w:spacing w:before="100" w:beforeAutospacing="1"/>
              <w:ind w:firstLineChars="0" w:firstLine="0"/>
              <w:jc w:val="center"/>
              <w:rPr>
                <w:rFonts w:eastAsia="楷体" w:cs="Times New Roman"/>
                <w:color w:val="auto"/>
                <w:sz w:val="21"/>
                <w:szCs w:val="20"/>
                <w:highlight w:val="none"/>
              </w:rPr>
            </w:pPr>
          </w:p>
        </w:tc>
        <w:tc>
          <w:tcPr>
            <w:tcW w:w="2233" w:type="dxa"/>
            <w:vAlign w:val="center"/>
          </w:tcPr>
          <w:p>
            <w:pPr>
              <w:spacing w:before="100" w:beforeAutospacing="1"/>
              <w:ind w:firstLineChars="0" w:firstLine="0"/>
              <w:jc w:val="center"/>
              <w:rPr>
                <w:rFonts w:eastAsia="楷体" w:cs="Times New Roman"/>
                <w:color w:val="auto"/>
                <w:sz w:val="21"/>
                <w:szCs w:val="20"/>
                <w:highlight w:val="none"/>
              </w:rPr>
            </w:pPr>
          </w:p>
        </w:tc>
        <w:tc>
          <w:tcPr>
            <w:tcW w:w="1253" w:type="dxa"/>
            <w:vAlign w:val="center"/>
          </w:tcPr>
          <w:p>
            <w:pPr>
              <w:spacing w:before="100" w:beforeAutospacing="1"/>
              <w:ind w:firstLineChars="0" w:firstLine="0"/>
              <w:jc w:val="center"/>
              <w:rPr>
                <w:rFonts w:eastAsia="楷体" w:cs="Times New Roman"/>
                <w:color w:val="auto"/>
                <w:sz w:val="21"/>
                <w:szCs w:val="20"/>
                <w:highlight w:val="none"/>
              </w:rPr>
            </w:pPr>
          </w:p>
        </w:tc>
        <w:tc>
          <w:tcPr>
            <w:tcW w:w="1218" w:type="dxa"/>
            <w:vAlign w:val="center"/>
          </w:tcPr>
          <w:p>
            <w:pPr>
              <w:spacing w:before="100" w:beforeAutospacing="1"/>
              <w:ind w:firstLineChars="0" w:firstLine="0"/>
              <w:jc w:val="center"/>
              <w:rPr>
                <w:rFonts w:eastAsia="楷体" w:cs="Times New Roman"/>
                <w:color w:val="auto"/>
                <w:sz w:val="21"/>
                <w:szCs w:val="20"/>
                <w:highlight w:val="none"/>
              </w:rPr>
            </w:pP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2161"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091" w:type="dxa"/>
            <w:vAlign w:val="center"/>
          </w:tcPr>
          <w:p>
            <w:pPr>
              <w:spacing w:before="100" w:beforeAutospacing="1"/>
              <w:ind w:firstLineChars="0" w:firstLine="0"/>
              <w:jc w:val="center"/>
              <w:rPr>
                <w:rFonts w:eastAsia="楷体" w:cs="Times New Roman"/>
                <w:color w:val="auto"/>
                <w:sz w:val="21"/>
                <w:szCs w:val="20"/>
                <w:highlight w:val="none"/>
              </w:rPr>
            </w:pPr>
          </w:p>
        </w:tc>
        <w:tc>
          <w:tcPr>
            <w:tcW w:w="2233" w:type="dxa"/>
            <w:vAlign w:val="center"/>
          </w:tcPr>
          <w:p>
            <w:pPr>
              <w:spacing w:before="100" w:beforeAutospacing="1"/>
              <w:ind w:firstLineChars="0" w:firstLine="0"/>
              <w:jc w:val="center"/>
              <w:rPr>
                <w:rFonts w:eastAsia="楷体" w:cs="Times New Roman"/>
                <w:color w:val="auto"/>
                <w:sz w:val="21"/>
                <w:szCs w:val="20"/>
                <w:highlight w:val="none"/>
              </w:rPr>
            </w:pPr>
          </w:p>
        </w:tc>
        <w:tc>
          <w:tcPr>
            <w:tcW w:w="1253" w:type="dxa"/>
            <w:vAlign w:val="center"/>
          </w:tcPr>
          <w:p>
            <w:pPr>
              <w:spacing w:before="100" w:beforeAutospacing="1"/>
              <w:ind w:firstLineChars="0" w:firstLine="0"/>
              <w:jc w:val="center"/>
              <w:rPr>
                <w:rFonts w:eastAsia="楷体" w:cs="Times New Roman"/>
                <w:color w:val="auto"/>
                <w:sz w:val="21"/>
                <w:szCs w:val="20"/>
                <w:highlight w:val="none"/>
              </w:rPr>
            </w:pPr>
          </w:p>
        </w:tc>
        <w:tc>
          <w:tcPr>
            <w:tcW w:w="1218" w:type="dxa"/>
            <w:vAlign w:val="center"/>
          </w:tcPr>
          <w:p>
            <w:pPr>
              <w:spacing w:before="100" w:beforeAutospacing="1"/>
              <w:ind w:firstLineChars="0" w:firstLine="0"/>
              <w:jc w:val="center"/>
              <w:rPr>
                <w:rFonts w:eastAsia="楷体" w:cs="Times New Roman"/>
                <w:color w:val="auto"/>
                <w:sz w:val="21"/>
                <w:szCs w:val="20"/>
                <w:highlight w:val="none"/>
              </w:rPr>
            </w:pP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2161"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091" w:type="dxa"/>
            <w:vAlign w:val="center"/>
          </w:tcPr>
          <w:p>
            <w:pPr>
              <w:spacing w:before="100" w:beforeAutospacing="1"/>
              <w:ind w:firstLineChars="0" w:firstLine="0"/>
              <w:jc w:val="center"/>
              <w:rPr>
                <w:rFonts w:eastAsia="楷体" w:cs="Times New Roman"/>
                <w:color w:val="auto"/>
                <w:sz w:val="21"/>
                <w:szCs w:val="20"/>
                <w:highlight w:val="none"/>
              </w:rPr>
            </w:pPr>
          </w:p>
        </w:tc>
        <w:tc>
          <w:tcPr>
            <w:tcW w:w="2233" w:type="dxa"/>
            <w:vAlign w:val="center"/>
          </w:tcPr>
          <w:p>
            <w:pPr>
              <w:spacing w:before="100" w:beforeAutospacing="1"/>
              <w:ind w:firstLineChars="0" w:firstLine="0"/>
              <w:jc w:val="center"/>
              <w:rPr>
                <w:rFonts w:eastAsia="楷体" w:cs="Times New Roman"/>
                <w:color w:val="auto"/>
                <w:sz w:val="21"/>
                <w:szCs w:val="20"/>
                <w:highlight w:val="none"/>
              </w:rPr>
            </w:pPr>
          </w:p>
        </w:tc>
        <w:tc>
          <w:tcPr>
            <w:tcW w:w="1253" w:type="dxa"/>
            <w:vAlign w:val="center"/>
          </w:tcPr>
          <w:p>
            <w:pPr>
              <w:spacing w:before="100" w:beforeAutospacing="1"/>
              <w:ind w:firstLineChars="0" w:firstLine="0"/>
              <w:jc w:val="center"/>
              <w:rPr>
                <w:rFonts w:eastAsia="楷体" w:cs="Times New Roman"/>
                <w:color w:val="auto"/>
                <w:sz w:val="21"/>
                <w:szCs w:val="20"/>
                <w:highlight w:val="none"/>
              </w:rPr>
            </w:pPr>
          </w:p>
        </w:tc>
        <w:tc>
          <w:tcPr>
            <w:tcW w:w="1218" w:type="dxa"/>
            <w:vAlign w:val="center"/>
          </w:tcPr>
          <w:p>
            <w:pPr>
              <w:spacing w:before="100" w:beforeAutospacing="1"/>
              <w:ind w:firstLineChars="0" w:firstLine="0"/>
              <w:jc w:val="center"/>
              <w:rPr>
                <w:rFonts w:eastAsia="楷体" w:cs="Times New Roman"/>
                <w:color w:val="auto"/>
                <w:sz w:val="21"/>
                <w:szCs w:val="20"/>
                <w:highlight w:val="none"/>
              </w:rPr>
            </w:pPr>
          </w:p>
        </w:tc>
      </w:tr>
    </w:tbl>
    <w:p>
      <w:pPr>
        <w:spacing w:beforeLines="50" w:before="156"/>
        <w:ind w:firstLineChars="0" w:firstLine="0"/>
        <w:rPr>
          <w:rFonts w:cs="Times New Roman"/>
          <w:b/>
          <w:bCs/>
          <w:color w:val="auto"/>
          <w:kern w:val="44"/>
          <w:sz w:val="21"/>
          <w:szCs w:val="21"/>
          <w:highlight w:val="none"/>
        </w:rPr>
      </w:pPr>
      <w:r>
        <w:rPr>
          <w:rFonts w:cs="Times New Roman"/>
          <w:color w:val="auto"/>
          <w:sz w:val="21"/>
          <w:szCs w:val="21"/>
          <w:highlight w:val="none"/>
        </w:rPr>
        <w:t>检测人员：               审核人员：                 检测日期：</w:t>
      </w:r>
    </w:p>
    <w:p>
      <w:pPr>
        <w:keepNext/>
        <w:keepLines/>
        <w:pageBreakBefore/>
        <w:spacing w:beforeLines="100" w:before="312"/>
        <w:ind w:firstLineChars="0" w:firstLine="0"/>
        <w:contextualSpacing/>
        <w:jc w:val="center"/>
        <w:outlineLvl w:val="0"/>
        <w:rPr>
          <w:rFonts w:cs="Times New Roman"/>
          <w:b/>
          <w:bCs/>
          <w:color w:val="auto"/>
          <w:kern w:val="44"/>
          <w:sz w:val="30"/>
          <w:szCs w:val="30"/>
          <w:highlight w:val="none"/>
        </w:rPr>
      </w:pPr>
      <w:bookmarkStart w:id="513" w:name="_Toc2322"/>
      <w:bookmarkStart w:id="514" w:name="_Toc1096"/>
      <w:bookmarkStart w:id="515" w:name="_Toc6445"/>
      <w:bookmarkStart w:id="516" w:name="_Toc25346"/>
      <w:r>
        <w:rPr>
          <w:rFonts w:cs="Times New Roman"/>
          <w:b/>
          <w:bCs/>
          <w:color w:val="auto"/>
          <w:kern w:val="44"/>
          <w:sz w:val="30"/>
          <w:szCs w:val="30"/>
          <w:highlight w:val="none"/>
        </w:rPr>
        <w:t>附录D　套筒灌浆饱满度电阻率法</w:t>
      </w:r>
      <w:r>
        <w:rPr>
          <w:rFonts w:cs="Times New Roman" w:hint="eastAsia"/>
          <w:b/>
          <w:bCs/>
          <w:color w:val="auto"/>
          <w:kern w:val="44"/>
          <w:sz w:val="30"/>
          <w:szCs w:val="30"/>
          <w:highlight w:val="none"/>
        </w:rPr>
        <w:t>检测</w:t>
      </w:r>
      <w:r>
        <w:rPr>
          <w:rFonts w:cs="Times New Roman"/>
          <w:b/>
          <w:bCs/>
          <w:color w:val="auto"/>
          <w:kern w:val="44"/>
          <w:sz w:val="30"/>
          <w:szCs w:val="30"/>
          <w:highlight w:val="none"/>
        </w:rPr>
        <w:t>记录表</w:t>
      </w:r>
      <w:bookmarkEnd w:id="508"/>
      <w:bookmarkEnd w:id="513"/>
      <w:bookmarkEnd w:id="514"/>
      <w:bookmarkEnd w:id="515"/>
      <w:bookmarkEnd w:id="516"/>
    </w:p>
    <w:p>
      <w:pPr>
        <w:ind w:firstLineChars="0" w:firstLine="0"/>
        <w:jc w:val="center"/>
        <w:rPr>
          <w:rFonts w:cs="Times New Roman"/>
          <w:color w:val="auto"/>
          <w:szCs w:val="24"/>
          <w:highlight w:val="none"/>
        </w:rPr>
      </w:pPr>
      <w:r>
        <w:rPr>
          <w:rFonts w:cs="Times New Roman"/>
          <w:b/>
          <w:bCs/>
          <w:color w:val="auto"/>
          <w:kern w:val="44"/>
          <w:szCs w:val="24"/>
          <w:highlight w:val="none"/>
        </w:rPr>
        <w:t>表D　套筒灌浆饱满度电阻率法</w:t>
      </w:r>
      <w:r>
        <w:rPr>
          <w:rFonts w:cs="Times New Roman" w:hint="eastAsia"/>
          <w:b/>
          <w:bCs/>
          <w:color w:val="auto"/>
          <w:sz w:val="21"/>
          <w:szCs w:val="21"/>
          <w:highlight w:val="none"/>
        </w:rPr>
        <w:t>检测</w:t>
      </w:r>
      <w:r>
        <w:rPr>
          <w:rFonts w:cs="Times New Roman"/>
          <w:b/>
          <w:bCs/>
          <w:color w:val="auto"/>
          <w:kern w:val="44"/>
          <w:szCs w:val="24"/>
          <w:highlight w:val="none"/>
        </w:rPr>
        <w:t>记录表</w:t>
      </w:r>
    </w:p>
    <w:p>
      <w:pPr>
        <w:spacing w:line="240" w:lineRule="auto"/>
        <w:ind w:firstLineChars="0" w:firstLine="0"/>
        <w:rPr>
          <w:rFonts w:cs="Times New Roman"/>
          <w:color w:val="auto"/>
          <w:sz w:val="21"/>
          <w:szCs w:val="21"/>
          <w:highlight w:val="none"/>
        </w:rPr>
      </w:pPr>
      <w:r>
        <w:rPr>
          <w:rFonts w:cs="Times New Roman"/>
          <w:color w:val="auto"/>
          <w:sz w:val="21"/>
          <w:szCs w:val="21"/>
          <w:highlight w:val="none"/>
        </w:rPr>
        <w:t>委托编号：                                                     共   页   第   页</w:t>
      </w:r>
    </w:p>
    <w:tbl>
      <w:tblPr>
        <w:jc w:val="center"/>
        <w:tblW w:w="51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600" w:firstRow="0" w:lastRow="0" w:firstColumn="0" w:lastColumn="0" w:noHBand="1" w:noVBand="1"/>
      </w:tblPr>
      <w:tblGrid>
        <w:gridCol w:w="788"/>
        <w:gridCol w:w="1313"/>
        <w:gridCol w:w="1283"/>
        <w:gridCol w:w="1105"/>
        <w:gridCol w:w="267"/>
        <w:gridCol w:w="1393"/>
        <w:gridCol w:w="729"/>
        <w:gridCol w:w="493"/>
        <w:gridCol w:w="1126"/>
        <w:gridCol w:w="773"/>
      </w:tblGrid>
      <w:tr>
        <w:trPr>
          <w:trHeight w:val="454"/>
        </w:trPr>
        <w:tc>
          <w:tcPr>
            <w:tcW w:w="1133" w:type="pct"/>
            <w:gridSpan w:val="2"/>
            <w:tcBorders>
              <w:top w:val="single" w:sz="4" w:space="0" w:color="auto"/>
              <w:left w:val="single" w:sz="4" w:space="0" w:color="auto"/>
              <w:bottom w:val="single" w:sz="4" w:space="0" w:color="auto"/>
              <w:right w:val="single" w:sz="4" w:space="0" w:color="auto"/>
            </w:tcBorders>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工程名称</w:t>
            </w:r>
          </w:p>
        </w:tc>
        <w:tc>
          <w:tcPr>
            <w:tcW w:w="3866" w:type="pct"/>
            <w:gridSpan w:val="8"/>
            <w:tcBorders>
              <w:top w:val="single" w:sz="4" w:space="0" w:color="auto"/>
              <w:left w:val="single" w:sz="4" w:space="0" w:color="auto"/>
              <w:bottom w:val="single" w:sz="4" w:space="0" w:color="auto"/>
              <w:right w:val="single" w:sz="4" w:space="0" w:color="auto"/>
            </w:tcBorders>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1133" w:type="pct"/>
            <w:gridSpan w:val="2"/>
            <w:tcBorders>
              <w:top w:val="single" w:sz="4" w:space="0" w:color="auto"/>
              <w:left w:val="single" w:sz="4" w:space="0" w:color="auto"/>
              <w:bottom w:val="single" w:sz="4" w:space="0" w:color="auto"/>
              <w:right w:val="single" w:sz="4" w:space="0" w:color="auto"/>
            </w:tcBorders>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执行标准</w:t>
            </w:r>
          </w:p>
        </w:tc>
        <w:tc>
          <w:tcPr>
            <w:tcW w:w="3866" w:type="pct"/>
            <w:gridSpan w:val="8"/>
            <w:tcBorders>
              <w:top w:val="single" w:sz="4" w:space="0" w:color="auto"/>
              <w:left w:val="single" w:sz="4" w:space="0" w:color="auto"/>
              <w:bottom w:val="single" w:sz="4" w:space="0" w:color="auto"/>
              <w:right w:val="single" w:sz="4" w:space="0" w:color="auto"/>
            </w:tcBorders>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1133" w:type="pct"/>
            <w:gridSpan w:val="2"/>
            <w:tcBorders>
              <w:top w:val="single" w:sz="4" w:space="0" w:color="auto"/>
              <w:left w:val="single" w:sz="4" w:space="0" w:color="auto"/>
              <w:bottom w:val="single" w:sz="4" w:space="0" w:color="auto"/>
              <w:right w:val="single" w:sz="4" w:space="0" w:color="auto"/>
            </w:tcBorders>
            <w:vAlign w:val="center"/>
          </w:tcPr>
          <w:p>
            <w:pPr>
              <w:spacing w:line="240" w:lineRule="auto"/>
              <w:ind w:firstLineChars="0" w:firstLine="0"/>
              <w:contextualSpacing/>
              <w:jc w:val="center"/>
              <w:textAlignment w:val="auto"/>
              <w:rPr>
                <w:rFonts w:eastAsia="宋体" w:cs="Times New Roman" w:hint="eastAsia"/>
                <w:bCs/>
                <w:color w:val="auto"/>
                <w:sz w:val="21"/>
                <w:szCs w:val="21"/>
                <w:lang w:val="en-US" w:eastAsia="zh-CN"/>
                <w:highlight w:val="none"/>
              </w:rPr>
            </w:pPr>
            <w:r>
              <w:rPr>
                <w:rFonts w:cs="Times New Roman" w:hint="eastAsia"/>
                <w:bCs/>
                <w:color w:val="auto"/>
                <w:sz w:val="21"/>
                <w:szCs w:val="21"/>
                <w:lang w:val="en-US" w:eastAsia="zh-CN"/>
                <w:highlight w:val="none"/>
              </w:rPr>
              <w:t>工程地点</w:t>
            </w:r>
          </w:p>
        </w:tc>
        <w:tc>
          <w:tcPr>
            <w:tcW w:w="1288" w:type="pct"/>
            <w:gridSpan w:val="2"/>
            <w:tcBorders>
              <w:top w:val="single" w:sz="4" w:space="0" w:color="auto"/>
              <w:left w:val="single" w:sz="4" w:space="0" w:color="auto"/>
              <w:bottom w:val="single" w:sz="4" w:space="0" w:color="auto"/>
              <w:right w:val="single" w:sz="4" w:space="0" w:color="auto"/>
            </w:tcBorders>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1288" w:type="pct"/>
            <w:gridSpan w:val="3"/>
            <w:tcBorders>
              <w:top w:val="single" w:sz="4" w:space="0" w:color="auto"/>
              <w:left w:val="single" w:sz="4" w:space="0" w:color="auto"/>
              <w:bottom w:val="single" w:sz="4" w:space="0" w:color="auto"/>
              <w:right w:val="single" w:sz="4" w:space="0" w:color="auto"/>
            </w:tcBorders>
            <w:vAlign w:val="center"/>
          </w:tcPr>
          <w:p>
            <w:pPr>
              <w:spacing w:line="240" w:lineRule="auto"/>
              <w:ind w:firstLineChars="0" w:firstLine="0"/>
              <w:contextualSpacing/>
              <w:jc w:val="center"/>
              <w:textAlignment w:val="auto"/>
              <w:rPr>
                <w:rFonts w:eastAsia="宋体" w:cs="Times New Roman"/>
                <w:bCs/>
                <w:color w:val="auto"/>
                <w:sz w:val="21"/>
                <w:szCs w:val="21"/>
                <w:lang w:val="en-US" w:eastAsia="zh-CN"/>
                <w:highlight w:val="none"/>
              </w:rPr>
            </w:pPr>
            <w:r>
              <w:rPr>
                <w:rFonts w:cs="Times New Roman" w:hint="eastAsia"/>
                <w:bCs/>
                <w:color w:val="auto"/>
                <w:sz w:val="21"/>
                <w:szCs w:val="21"/>
                <w:lang w:val="en-US" w:eastAsia="zh-CN"/>
                <w:highlight w:val="none"/>
              </w:rPr>
              <w:t>灌浆日期</w:t>
            </w:r>
          </w:p>
        </w:tc>
        <w:tc>
          <w:tcPr>
            <w:tcW w:w="1289" w:type="pct"/>
            <w:gridSpan w:val="3"/>
            <w:tcBorders>
              <w:top w:val="single" w:sz="4" w:space="0" w:color="auto"/>
              <w:left w:val="single" w:sz="4" w:space="0" w:color="auto"/>
              <w:bottom w:val="single" w:sz="4" w:space="0" w:color="auto"/>
              <w:right w:val="single" w:sz="4" w:space="0" w:color="auto"/>
            </w:tcBorders>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1133"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仪器设备</w:t>
            </w:r>
          </w:p>
        </w:tc>
        <w:tc>
          <w:tcPr>
            <w:tcW w:w="1288"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1288" w:type="pct"/>
            <w:gridSpan w:val="3"/>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仪器设备</w:t>
            </w:r>
            <w:r>
              <w:rPr>
                <w:rFonts w:cs="Times New Roman" w:hint="eastAsia"/>
                <w:bCs/>
                <w:color w:val="auto"/>
                <w:sz w:val="21"/>
                <w:szCs w:val="21"/>
                <w:lang w:val="en-US" w:eastAsia="zh-CN"/>
                <w:highlight w:val="none"/>
              </w:rPr>
              <w:t>编号</w:t>
            </w:r>
            <w:r>
              <w:rPr>
                <w:rFonts w:cs="Times New Roman"/>
                <w:bCs/>
                <w:color w:val="auto"/>
                <w:sz w:val="21"/>
                <w:szCs w:val="21"/>
                <w:highlight w:val="none"/>
              </w:rPr>
              <w:t>/型号</w:t>
            </w:r>
          </w:p>
        </w:tc>
        <w:tc>
          <w:tcPr>
            <w:tcW w:w="1289" w:type="pct"/>
            <w:gridSpan w:val="3"/>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425" w:type="pct"/>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序号</w:t>
            </w:r>
          </w:p>
        </w:tc>
        <w:tc>
          <w:tcPr>
            <w:tcW w:w="707" w:type="pct"/>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构件类型/编号</w:t>
            </w:r>
          </w:p>
        </w:tc>
        <w:tc>
          <w:tcPr>
            <w:tcW w:w="692" w:type="pct"/>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构件位置</w:t>
            </w:r>
          </w:p>
        </w:tc>
        <w:tc>
          <w:tcPr>
            <w:tcW w:w="740"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套筒编号</w:t>
            </w:r>
          </w:p>
        </w:tc>
        <w:tc>
          <w:tcPr>
            <w:tcW w:w="751" w:type="pct"/>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检测电阻值</w:t>
            </w:r>
          </w:p>
        </w:tc>
        <w:tc>
          <w:tcPr>
            <w:tcW w:w="659"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评定等级</w:t>
            </w:r>
          </w:p>
        </w:tc>
        <w:tc>
          <w:tcPr>
            <w:tcW w:w="607" w:type="pct"/>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检测结果</w:t>
            </w:r>
          </w:p>
        </w:tc>
        <w:tc>
          <w:tcPr>
            <w:tcW w:w="416" w:type="pct"/>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备注</w:t>
            </w:r>
          </w:p>
        </w:tc>
      </w:tr>
      <w:tr>
        <w:trPr>
          <w:trHeight w:val="454"/>
        </w:trPr>
        <w:tc>
          <w:tcPr>
            <w:tcW w:w="425"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9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0"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5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59"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1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425"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9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0"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5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59"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1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425"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9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0"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5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59"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1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425"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9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0"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5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59"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1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425"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9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0"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5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59"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1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425"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9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0"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5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59"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1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425"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9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0"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5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59"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1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425"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9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0"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5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59"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1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425"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9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0"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5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59"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1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425"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9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0"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5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59"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1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425"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9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0"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5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59"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1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425"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9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0"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5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59"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1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425"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9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0"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5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59"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1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425"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9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0"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5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59"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1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425"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9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0"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5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59"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1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bl>
    <w:p>
      <w:pPr>
        <w:spacing w:beforeLines="50" w:before="156"/>
        <w:ind w:firstLineChars="0" w:firstLine="0"/>
        <w:rPr>
          <w:rFonts w:cs="Times New Roman"/>
          <w:b/>
          <w:bCs/>
          <w:color w:val="auto"/>
          <w:kern w:val="44"/>
          <w:sz w:val="21"/>
          <w:szCs w:val="21"/>
          <w:highlight w:val="none"/>
        </w:rPr>
      </w:pPr>
      <w:r>
        <w:rPr>
          <w:rFonts w:cs="Times New Roman"/>
          <w:color w:val="auto"/>
          <w:sz w:val="21"/>
          <w:szCs w:val="21"/>
          <w:highlight w:val="none"/>
        </w:rPr>
        <w:t>检测人员：               审核人员：                 检测日期：</w:t>
      </w:r>
    </w:p>
    <w:p>
      <w:pPr>
        <w:spacing w:line="240" w:lineRule="auto"/>
        <w:ind w:firstLineChars="0" w:firstLine="0"/>
        <w:rPr>
          <w:rFonts w:cs="Times New Roman"/>
          <w:color w:val="auto"/>
          <w:sz w:val="21"/>
          <w:szCs w:val="21"/>
          <w:highlight w:val="none"/>
        </w:rPr>
      </w:pPr>
    </w:p>
    <w:p>
      <w:pPr>
        <w:keepNext/>
        <w:keepLines/>
        <w:pageBreakBefore/>
        <w:spacing w:beforeLines="100" w:before="312"/>
        <w:ind w:firstLineChars="0" w:firstLine="0"/>
        <w:contextualSpacing/>
        <w:jc w:val="center"/>
        <w:outlineLvl w:val="0"/>
        <w:rPr>
          <w:rFonts w:cs="Times New Roman"/>
          <w:b/>
          <w:bCs/>
          <w:color w:val="auto"/>
          <w:kern w:val="44"/>
          <w:sz w:val="30"/>
          <w:szCs w:val="30"/>
          <w:highlight w:val="none"/>
        </w:rPr>
      </w:pPr>
      <w:bookmarkStart w:id="517" w:name="_Toc20073"/>
      <w:bookmarkStart w:id="518" w:name="_Toc14407"/>
      <w:bookmarkStart w:id="519" w:name="_Toc9120"/>
      <w:bookmarkStart w:id="520" w:name="_Toc10665"/>
      <w:bookmarkStart w:id="521" w:name="_Toc25818"/>
      <w:bookmarkStart w:id="522" w:name="_Toc10348"/>
      <w:r>
        <w:rPr>
          <w:rFonts w:cs="Times New Roman"/>
          <w:b/>
          <w:bCs/>
          <w:color w:val="auto"/>
          <w:kern w:val="44"/>
          <w:sz w:val="30"/>
          <w:szCs w:val="30"/>
          <w:highlight w:val="none"/>
        </w:rPr>
        <w:t>附录E　套筒灌浆饱满度电容法检测记录表</w:t>
      </w:r>
      <w:bookmarkEnd w:id="517"/>
      <w:bookmarkEnd w:id="518"/>
      <w:bookmarkEnd w:id="519"/>
      <w:bookmarkEnd w:id="520"/>
      <w:bookmarkEnd w:id="521"/>
    </w:p>
    <w:p>
      <w:pPr>
        <w:ind w:firstLineChars="0" w:firstLine="0"/>
        <w:jc w:val="center"/>
        <w:rPr>
          <w:rFonts w:cs="Times New Roman"/>
          <w:color w:val="auto"/>
          <w:sz w:val="21"/>
          <w:szCs w:val="21"/>
          <w:highlight w:val="none"/>
        </w:rPr>
      </w:pPr>
      <w:r>
        <w:rPr>
          <w:rFonts w:cs="Times New Roman"/>
          <w:b/>
          <w:bCs/>
          <w:color w:val="auto"/>
          <w:kern w:val="44"/>
          <w:sz w:val="21"/>
          <w:szCs w:val="21"/>
          <w:highlight w:val="none"/>
        </w:rPr>
        <w:t>表E</w:t>
      </w:r>
      <w:r>
        <w:rPr>
          <w:rFonts w:cs="Times New Roman" w:hint="eastAsia"/>
          <w:b/>
          <w:bCs/>
          <w:color w:val="auto"/>
          <w:kern w:val="44"/>
          <w:sz w:val="21"/>
          <w:szCs w:val="21"/>
          <w:highlight w:val="none"/>
        </w:rPr>
        <w:t>　</w:t>
      </w:r>
      <w:r>
        <w:rPr>
          <w:rFonts w:cs="Times New Roman"/>
          <w:b/>
          <w:bCs/>
          <w:color w:val="auto"/>
          <w:kern w:val="44"/>
          <w:sz w:val="21"/>
          <w:szCs w:val="21"/>
          <w:highlight w:val="none"/>
        </w:rPr>
        <w:t>套筒灌浆饱满度电容法</w:t>
      </w:r>
      <w:r>
        <w:rPr>
          <w:rFonts w:cs="Times New Roman" w:hint="eastAsia"/>
          <w:b/>
          <w:bCs/>
          <w:color w:val="auto"/>
          <w:sz w:val="21"/>
          <w:szCs w:val="21"/>
          <w:highlight w:val="none"/>
        </w:rPr>
        <w:t>检测</w:t>
      </w:r>
      <w:r>
        <w:rPr>
          <w:rFonts w:cs="Times New Roman"/>
          <w:b/>
          <w:bCs/>
          <w:color w:val="auto"/>
          <w:kern w:val="44"/>
          <w:sz w:val="21"/>
          <w:szCs w:val="21"/>
          <w:highlight w:val="none"/>
        </w:rPr>
        <w:t>记录表</w:t>
      </w:r>
    </w:p>
    <w:p>
      <w:pPr>
        <w:spacing w:line="240" w:lineRule="auto"/>
        <w:ind w:firstLineChars="0" w:firstLine="0"/>
        <w:rPr>
          <w:rFonts w:cs="Times New Roman"/>
          <w:color w:val="auto"/>
          <w:sz w:val="21"/>
          <w:szCs w:val="21"/>
          <w:highlight w:val="none"/>
        </w:rPr>
      </w:pPr>
      <w:r>
        <w:rPr>
          <w:rFonts w:cs="Times New Roman"/>
          <w:color w:val="auto"/>
          <w:sz w:val="21"/>
          <w:szCs w:val="21"/>
          <w:highlight w:val="none"/>
        </w:rPr>
        <w:t>委托编号：                                                     共   页   第   页</w:t>
      </w:r>
    </w:p>
    <w:tbl>
      <w:tblPr>
        <w:jc w:val="center"/>
        <w:tblW w:w="51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600" w:firstRow="0" w:lastRow="0" w:firstColumn="0" w:lastColumn="0" w:noHBand="1" w:noVBand="1"/>
      </w:tblPr>
      <w:tblGrid>
        <w:gridCol w:w="788"/>
        <w:gridCol w:w="1313"/>
        <w:gridCol w:w="1283"/>
        <w:gridCol w:w="1105"/>
        <w:gridCol w:w="267"/>
        <w:gridCol w:w="1393"/>
        <w:gridCol w:w="729"/>
        <w:gridCol w:w="493"/>
        <w:gridCol w:w="1126"/>
        <w:gridCol w:w="773"/>
      </w:tblGrid>
      <w:tr>
        <w:trPr>
          <w:trHeight w:val="454"/>
        </w:trPr>
        <w:tc>
          <w:tcPr>
            <w:tcW w:w="1133" w:type="pct"/>
            <w:gridSpan w:val="2"/>
            <w:tcBorders>
              <w:top w:val="single" w:sz="4" w:space="0" w:color="auto"/>
              <w:left w:val="single" w:sz="4" w:space="0" w:color="auto"/>
              <w:bottom w:val="single" w:sz="4" w:space="0" w:color="auto"/>
              <w:right w:val="single" w:sz="4" w:space="0" w:color="auto"/>
            </w:tcBorders>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工程名称</w:t>
            </w:r>
          </w:p>
        </w:tc>
        <w:tc>
          <w:tcPr>
            <w:tcW w:w="3866" w:type="pct"/>
            <w:gridSpan w:val="8"/>
            <w:tcBorders>
              <w:top w:val="single" w:sz="4" w:space="0" w:color="auto"/>
              <w:left w:val="single" w:sz="4" w:space="0" w:color="auto"/>
              <w:bottom w:val="single" w:sz="4" w:space="0" w:color="auto"/>
              <w:right w:val="single" w:sz="4" w:space="0" w:color="auto"/>
            </w:tcBorders>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1133" w:type="pct"/>
            <w:gridSpan w:val="2"/>
            <w:tcBorders>
              <w:top w:val="single" w:sz="4" w:space="0" w:color="auto"/>
              <w:left w:val="single" w:sz="4" w:space="0" w:color="auto"/>
              <w:bottom w:val="single" w:sz="4" w:space="0" w:color="auto"/>
              <w:right w:val="single" w:sz="4" w:space="0" w:color="auto"/>
            </w:tcBorders>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执行标准</w:t>
            </w:r>
          </w:p>
        </w:tc>
        <w:tc>
          <w:tcPr>
            <w:tcW w:w="3866" w:type="pct"/>
            <w:gridSpan w:val="8"/>
            <w:tcBorders>
              <w:top w:val="single" w:sz="4" w:space="0" w:color="auto"/>
              <w:left w:val="single" w:sz="4" w:space="0" w:color="auto"/>
              <w:bottom w:val="single" w:sz="4" w:space="0" w:color="auto"/>
              <w:right w:val="single" w:sz="4" w:space="0" w:color="auto"/>
            </w:tcBorders>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1133" w:type="pct"/>
            <w:gridSpan w:val="2"/>
            <w:tcBorders>
              <w:top w:val="single" w:sz="4" w:space="0" w:color="auto"/>
              <w:left w:val="single" w:sz="4" w:space="0" w:color="auto"/>
              <w:bottom w:val="single" w:sz="4" w:space="0" w:color="auto"/>
              <w:right w:val="single" w:sz="4" w:space="0" w:color="auto"/>
            </w:tcBorders>
            <w:vAlign w:val="center"/>
          </w:tcPr>
          <w:p>
            <w:pPr>
              <w:spacing w:line="240" w:lineRule="auto"/>
              <w:ind w:firstLineChars="0" w:firstLine="0"/>
              <w:contextualSpacing/>
              <w:jc w:val="center"/>
              <w:textAlignment w:val="auto"/>
              <w:rPr>
                <w:rFonts w:eastAsia="宋体" w:cs="Times New Roman" w:hint="eastAsia"/>
                <w:bCs/>
                <w:color w:val="auto"/>
                <w:sz w:val="21"/>
                <w:szCs w:val="21"/>
                <w:lang w:val="en-US" w:eastAsia="zh-CN"/>
                <w:highlight w:val="none"/>
              </w:rPr>
            </w:pPr>
            <w:r>
              <w:rPr>
                <w:rFonts w:cs="Times New Roman" w:hint="eastAsia"/>
                <w:bCs/>
                <w:color w:val="auto"/>
                <w:sz w:val="21"/>
                <w:szCs w:val="21"/>
                <w:lang w:val="en-US" w:eastAsia="zh-CN"/>
                <w:highlight w:val="none"/>
              </w:rPr>
              <w:t>工程地点</w:t>
            </w:r>
          </w:p>
        </w:tc>
        <w:tc>
          <w:tcPr>
            <w:tcW w:w="1288" w:type="pct"/>
            <w:gridSpan w:val="2"/>
            <w:tcBorders>
              <w:top w:val="single" w:sz="4" w:space="0" w:color="auto"/>
              <w:left w:val="single" w:sz="4" w:space="0" w:color="auto"/>
              <w:bottom w:val="single" w:sz="4" w:space="0" w:color="auto"/>
              <w:right w:val="single" w:sz="4" w:space="0" w:color="auto"/>
            </w:tcBorders>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1288" w:type="pct"/>
            <w:gridSpan w:val="3"/>
            <w:tcBorders>
              <w:top w:val="single" w:sz="4" w:space="0" w:color="auto"/>
              <w:left w:val="single" w:sz="4" w:space="0" w:color="auto"/>
              <w:bottom w:val="single" w:sz="4" w:space="0" w:color="auto"/>
              <w:right w:val="single" w:sz="4" w:space="0" w:color="auto"/>
            </w:tcBorders>
            <w:vAlign w:val="center"/>
          </w:tcPr>
          <w:p>
            <w:pPr>
              <w:spacing w:line="240" w:lineRule="auto"/>
              <w:ind w:firstLineChars="0" w:firstLine="0"/>
              <w:contextualSpacing/>
              <w:jc w:val="center"/>
              <w:textAlignment w:val="auto"/>
              <w:rPr>
                <w:rFonts w:eastAsia="宋体" w:cs="Times New Roman"/>
                <w:bCs/>
                <w:color w:val="auto"/>
                <w:sz w:val="21"/>
                <w:szCs w:val="21"/>
                <w:lang w:val="en-US" w:eastAsia="zh-CN"/>
                <w:highlight w:val="none"/>
              </w:rPr>
            </w:pPr>
            <w:r>
              <w:rPr>
                <w:rFonts w:cs="Times New Roman" w:hint="eastAsia"/>
                <w:bCs/>
                <w:color w:val="auto"/>
                <w:sz w:val="21"/>
                <w:szCs w:val="21"/>
                <w:lang w:val="en-US" w:eastAsia="zh-CN"/>
                <w:highlight w:val="none"/>
              </w:rPr>
              <w:t>灌浆日期</w:t>
            </w:r>
          </w:p>
        </w:tc>
        <w:tc>
          <w:tcPr>
            <w:tcW w:w="1289" w:type="pct"/>
            <w:gridSpan w:val="3"/>
            <w:tcBorders>
              <w:top w:val="single" w:sz="4" w:space="0" w:color="auto"/>
              <w:left w:val="single" w:sz="4" w:space="0" w:color="auto"/>
              <w:bottom w:val="single" w:sz="4" w:space="0" w:color="auto"/>
              <w:right w:val="single" w:sz="4" w:space="0" w:color="auto"/>
            </w:tcBorders>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1133"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仪器设备</w:t>
            </w:r>
          </w:p>
        </w:tc>
        <w:tc>
          <w:tcPr>
            <w:tcW w:w="1288"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1288" w:type="pct"/>
            <w:gridSpan w:val="3"/>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仪器设备</w:t>
            </w:r>
            <w:r>
              <w:rPr>
                <w:rFonts w:cs="Times New Roman" w:hint="eastAsia"/>
                <w:bCs/>
                <w:color w:val="auto"/>
                <w:sz w:val="21"/>
                <w:szCs w:val="21"/>
                <w:lang w:val="en-US" w:eastAsia="zh-CN"/>
                <w:highlight w:val="none"/>
              </w:rPr>
              <w:t>编号</w:t>
            </w:r>
            <w:r>
              <w:rPr>
                <w:rFonts w:cs="Times New Roman"/>
                <w:bCs/>
                <w:color w:val="auto"/>
                <w:sz w:val="21"/>
                <w:szCs w:val="21"/>
                <w:highlight w:val="none"/>
              </w:rPr>
              <w:t>/型号</w:t>
            </w:r>
          </w:p>
        </w:tc>
        <w:tc>
          <w:tcPr>
            <w:tcW w:w="1289" w:type="pct"/>
            <w:gridSpan w:val="3"/>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425" w:type="pct"/>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序号</w:t>
            </w:r>
          </w:p>
        </w:tc>
        <w:tc>
          <w:tcPr>
            <w:tcW w:w="707" w:type="pct"/>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构件类型/编号</w:t>
            </w:r>
          </w:p>
        </w:tc>
        <w:tc>
          <w:tcPr>
            <w:tcW w:w="692" w:type="pct"/>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构件位置</w:t>
            </w:r>
          </w:p>
        </w:tc>
        <w:tc>
          <w:tcPr>
            <w:tcW w:w="740"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套筒编号</w:t>
            </w:r>
          </w:p>
        </w:tc>
        <w:tc>
          <w:tcPr>
            <w:tcW w:w="751" w:type="pct"/>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检测电</w:t>
            </w:r>
            <w:r>
              <w:rPr>
                <w:rFonts w:cs="Times New Roman" w:hint="eastAsia"/>
                <w:bCs/>
                <w:color w:val="auto"/>
                <w:sz w:val="21"/>
                <w:szCs w:val="21"/>
                <w:lang w:val="en-US" w:eastAsia="zh-CN"/>
                <w:highlight w:val="none"/>
              </w:rPr>
              <w:t>容</w:t>
            </w:r>
            <w:r>
              <w:rPr>
                <w:rFonts w:cs="Times New Roman"/>
                <w:bCs/>
                <w:color w:val="auto"/>
                <w:sz w:val="21"/>
                <w:szCs w:val="21"/>
                <w:highlight w:val="none"/>
              </w:rPr>
              <w:t>值</w:t>
            </w:r>
          </w:p>
        </w:tc>
        <w:tc>
          <w:tcPr>
            <w:tcW w:w="659"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评定等级</w:t>
            </w:r>
          </w:p>
        </w:tc>
        <w:tc>
          <w:tcPr>
            <w:tcW w:w="607" w:type="pct"/>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检测结果</w:t>
            </w:r>
          </w:p>
        </w:tc>
        <w:tc>
          <w:tcPr>
            <w:tcW w:w="416" w:type="pct"/>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备注</w:t>
            </w:r>
          </w:p>
        </w:tc>
      </w:tr>
      <w:tr>
        <w:trPr>
          <w:trHeight w:val="454"/>
        </w:trPr>
        <w:tc>
          <w:tcPr>
            <w:tcW w:w="425"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9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0"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5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59"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1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425"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9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0"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5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59"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1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425"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9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0"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5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59"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1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425"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9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0"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5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59"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1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425"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9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0"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5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59"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1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425"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9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0"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5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59"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1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425"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9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0"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5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59"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1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425"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9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0"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5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59"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1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425"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9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0"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5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59"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1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425"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9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0"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5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59"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1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425"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9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0"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5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59"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1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425"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9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0"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5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59"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1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425"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9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0"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5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59"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1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425"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9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0"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5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59"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1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425"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9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40"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751"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59"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0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1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bl>
    <w:p>
      <w:pPr>
        <w:spacing w:line="240" w:lineRule="auto"/>
        <w:ind w:firstLineChars="0" w:firstLine="0"/>
        <w:rPr>
          <w:rFonts w:cs="Times New Roman"/>
          <w:color w:val="auto"/>
          <w:sz w:val="21"/>
          <w:szCs w:val="21"/>
          <w:highlight w:val="none"/>
        </w:rPr>
      </w:pPr>
    </w:p>
    <w:p>
      <w:pPr>
        <w:ind w:right="-1" w:firstLineChars="0" w:firstLine="0"/>
        <w:rPr>
          <w:rFonts w:cs="Times New Roman"/>
          <w:color w:val="auto"/>
          <w:sz w:val="21"/>
          <w:szCs w:val="21"/>
          <w:highlight w:val="none"/>
        </w:rPr>
      </w:pPr>
      <w:r>
        <w:rPr>
          <w:rFonts w:cs="Times New Roman"/>
          <w:color w:val="auto"/>
          <w:sz w:val="21"/>
          <w:szCs w:val="21"/>
          <w:highlight w:val="none"/>
        </w:rPr>
        <w:t>检测人员：                审核人员：              检测日期：</w:t>
      </w:r>
    </w:p>
    <w:p>
      <w:pPr>
        <w:spacing w:line="240" w:lineRule="auto"/>
        <w:ind w:firstLineChars="0" w:firstLine="0"/>
        <w:rPr>
          <w:rFonts w:cs="Times New Roman"/>
          <w:color w:val="auto"/>
          <w:sz w:val="21"/>
          <w:szCs w:val="21"/>
          <w:highlight w:val="none"/>
        </w:rPr>
      </w:pPr>
    </w:p>
    <w:p>
      <w:pPr>
        <w:keepNext/>
        <w:keepLines/>
        <w:pageBreakBefore/>
        <w:spacing w:beforeLines="100" w:before="312"/>
        <w:ind w:firstLineChars="0" w:firstLine="0"/>
        <w:contextualSpacing/>
        <w:jc w:val="center"/>
        <w:outlineLvl w:val="0"/>
        <w:rPr>
          <w:rFonts w:cs="Times New Roman"/>
          <w:b/>
          <w:bCs/>
          <w:color w:val="auto"/>
          <w:kern w:val="44"/>
          <w:sz w:val="30"/>
          <w:szCs w:val="30"/>
          <w:highlight w:val="none"/>
        </w:rPr>
      </w:pPr>
      <w:bookmarkStart w:id="523" w:name="_Toc17635"/>
      <w:bookmarkStart w:id="524" w:name="_Toc7480"/>
      <w:bookmarkStart w:id="525" w:name="_Toc20021"/>
      <w:bookmarkStart w:id="526" w:name="_Toc11353"/>
      <w:r>
        <w:rPr>
          <w:rFonts w:cs="Times New Roman"/>
          <w:b/>
          <w:bCs/>
          <w:color w:val="auto"/>
          <w:kern w:val="44"/>
          <w:sz w:val="30"/>
          <w:szCs w:val="30"/>
          <w:highlight w:val="none"/>
        </w:rPr>
        <w:t>附录F　套筒灌浆饱满度压电法</w:t>
      </w:r>
      <w:r>
        <w:rPr>
          <w:rFonts w:cs="Times New Roman" w:hint="eastAsia"/>
          <w:b/>
          <w:bCs/>
          <w:color w:val="auto"/>
          <w:kern w:val="44"/>
          <w:sz w:val="30"/>
          <w:szCs w:val="30"/>
          <w:highlight w:val="none"/>
        </w:rPr>
        <w:t>检测</w:t>
      </w:r>
      <w:r>
        <w:rPr>
          <w:rFonts w:cs="Times New Roman"/>
          <w:b/>
          <w:bCs/>
          <w:color w:val="auto"/>
          <w:kern w:val="44"/>
          <w:sz w:val="30"/>
          <w:szCs w:val="30"/>
          <w:highlight w:val="none"/>
        </w:rPr>
        <w:t>记录表</w:t>
      </w:r>
      <w:bookmarkEnd w:id="522"/>
      <w:bookmarkEnd w:id="523"/>
      <w:bookmarkEnd w:id="524"/>
      <w:bookmarkEnd w:id="525"/>
      <w:bookmarkEnd w:id="526"/>
    </w:p>
    <w:p>
      <w:pPr>
        <w:ind w:firstLineChars="0" w:firstLine="0"/>
        <w:jc w:val="center"/>
        <w:rPr>
          <w:rFonts w:cs="Times New Roman"/>
          <w:color w:val="auto"/>
          <w:sz w:val="21"/>
          <w:szCs w:val="21"/>
          <w:highlight w:val="none"/>
        </w:rPr>
      </w:pPr>
      <w:r>
        <w:rPr>
          <w:rFonts w:cs="Times New Roman"/>
          <w:b/>
          <w:bCs/>
          <w:color w:val="auto"/>
          <w:kern w:val="44"/>
          <w:sz w:val="21"/>
          <w:szCs w:val="21"/>
          <w:highlight w:val="none"/>
        </w:rPr>
        <w:t>表F</w:t>
      </w:r>
      <w:r>
        <w:rPr>
          <w:rFonts w:cs="Times New Roman" w:hint="eastAsia"/>
          <w:b/>
          <w:bCs/>
          <w:color w:val="auto"/>
          <w:kern w:val="44"/>
          <w:sz w:val="21"/>
          <w:szCs w:val="21"/>
          <w:highlight w:val="none"/>
        </w:rPr>
        <w:t>　</w:t>
      </w:r>
      <w:r>
        <w:rPr>
          <w:rFonts w:cs="Times New Roman"/>
          <w:b/>
          <w:bCs/>
          <w:color w:val="auto"/>
          <w:kern w:val="44"/>
          <w:sz w:val="21"/>
          <w:szCs w:val="21"/>
          <w:highlight w:val="none"/>
        </w:rPr>
        <w:t>套筒灌浆饱满度压电法</w:t>
      </w:r>
      <w:r>
        <w:rPr>
          <w:rFonts w:cs="Times New Roman" w:hint="eastAsia"/>
          <w:b/>
          <w:bCs/>
          <w:color w:val="auto"/>
          <w:sz w:val="21"/>
          <w:szCs w:val="21"/>
          <w:highlight w:val="none"/>
        </w:rPr>
        <w:t>检测</w:t>
      </w:r>
      <w:r>
        <w:rPr>
          <w:rFonts w:cs="Times New Roman"/>
          <w:b/>
          <w:bCs/>
          <w:color w:val="auto"/>
          <w:kern w:val="44"/>
          <w:sz w:val="21"/>
          <w:szCs w:val="21"/>
          <w:highlight w:val="none"/>
        </w:rPr>
        <w:t>记录表</w:t>
      </w:r>
    </w:p>
    <w:p>
      <w:pPr>
        <w:spacing w:line="240" w:lineRule="auto"/>
        <w:ind w:firstLineChars="0" w:firstLine="0"/>
        <w:rPr>
          <w:rFonts w:cs="Times New Roman"/>
          <w:b/>
          <w:bCs/>
          <w:color w:val="auto"/>
          <w:sz w:val="21"/>
          <w:szCs w:val="21"/>
          <w:highlight w:val="none"/>
        </w:rPr>
      </w:pPr>
      <w:r>
        <w:rPr>
          <w:rFonts w:cs="Times New Roman"/>
          <w:b/>
          <w:bCs/>
          <w:color w:val="auto"/>
          <w:sz w:val="21"/>
          <w:szCs w:val="21"/>
          <w:highlight w:val="none"/>
        </w:rPr>
        <w:t>委托编号：                                                   共   页   第   页</w:t>
      </w:r>
    </w:p>
    <w:tbl>
      <w:tblPr>
        <w:jc w:val="cente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600" w:firstRow="0" w:lastRow="0" w:firstColumn="0" w:lastColumn="0" w:noHBand="1" w:noVBand="1"/>
      </w:tblPr>
      <w:tblGrid>
        <w:gridCol w:w="630"/>
        <w:gridCol w:w="1172"/>
        <w:gridCol w:w="1154"/>
        <w:gridCol w:w="1199"/>
        <w:gridCol w:w="62"/>
        <w:gridCol w:w="864"/>
        <w:gridCol w:w="1011"/>
        <w:gridCol w:w="541"/>
        <w:gridCol w:w="194"/>
        <w:gridCol w:w="800"/>
        <w:gridCol w:w="724"/>
        <w:gridCol w:w="703"/>
      </w:tblGrid>
      <w:tr>
        <w:trPr>
          <w:trHeight w:val="454"/>
        </w:trPr>
        <w:tc>
          <w:tcPr>
            <w:tcW w:w="995" w:type="pct"/>
            <w:gridSpan w:val="2"/>
            <w:tcBorders>
              <w:top w:val="single" w:sz="4" w:space="0" w:color="auto"/>
              <w:left w:val="single" w:sz="4" w:space="0" w:color="auto"/>
              <w:bottom w:val="single" w:sz="4" w:space="0" w:color="auto"/>
              <w:right w:val="single" w:sz="4" w:space="0" w:color="auto"/>
            </w:tcBorders>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工程名称</w:t>
            </w:r>
          </w:p>
        </w:tc>
        <w:tc>
          <w:tcPr>
            <w:tcW w:w="4004" w:type="pct"/>
            <w:gridSpan w:val="10"/>
            <w:tcBorders>
              <w:top w:val="single" w:sz="4" w:space="0" w:color="auto"/>
              <w:left w:val="single" w:sz="4" w:space="0" w:color="auto"/>
              <w:bottom w:val="single" w:sz="4" w:space="0" w:color="auto"/>
              <w:right w:val="single" w:sz="4" w:space="0" w:color="auto"/>
            </w:tcBorders>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995"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执行标准</w:t>
            </w:r>
          </w:p>
        </w:tc>
        <w:tc>
          <w:tcPr>
            <w:tcW w:w="4004" w:type="pct"/>
            <w:gridSpan w:val="10"/>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995" w:type="pct"/>
            <w:gridSpan w:val="2"/>
            <w:vAlign w:val="center"/>
          </w:tcPr>
          <w:p>
            <w:pPr>
              <w:spacing w:line="240" w:lineRule="auto"/>
              <w:ind w:firstLineChars="0" w:firstLine="0"/>
              <w:contextualSpacing/>
              <w:jc w:val="center"/>
              <w:textAlignment w:val="auto"/>
              <w:rPr>
                <w:rFonts w:eastAsia="宋体" w:cs="Times New Roman"/>
                <w:bCs/>
                <w:color w:val="auto"/>
                <w:sz w:val="21"/>
                <w:szCs w:val="21"/>
                <w:lang w:val="en-US" w:eastAsia="zh-CN"/>
                <w:highlight w:val="none"/>
              </w:rPr>
            </w:pPr>
            <w:r>
              <w:rPr>
                <w:rFonts w:cs="Times New Roman" w:hint="eastAsia"/>
                <w:bCs/>
                <w:color w:val="auto"/>
                <w:sz w:val="21"/>
                <w:szCs w:val="21"/>
                <w:lang w:val="en-US" w:eastAsia="zh-CN"/>
                <w:highlight w:val="none"/>
              </w:rPr>
              <w:t>工程地点</w:t>
            </w:r>
          </w:p>
        </w:tc>
        <w:tc>
          <w:tcPr>
            <w:tcW w:w="1333" w:type="pct"/>
            <w:gridSpan w:val="3"/>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1334" w:type="pct"/>
            <w:gridSpan w:val="3"/>
            <w:vAlign w:val="center"/>
          </w:tcPr>
          <w:p>
            <w:pPr>
              <w:spacing w:line="240" w:lineRule="auto"/>
              <w:ind w:firstLineChars="0" w:firstLine="0"/>
              <w:contextualSpacing/>
              <w:jc w:val="center"/>
              <w:textAlignment w:val="auto"/>
              <w:rPr>
                <w:rFonts w:eastAsia="宋体" w:cs="Times New Roman"/>
                <w:bCs/>
                <w:color w:val="auto"/>
                <w:sz w:val="21"/>
                <w:szCs w:val="21"/>
                <w:lang w:val="en-US" w:eastAsia="zh-CN"/>
                <w:highlight w:val="none"/>
              </w:rPr>
            </w:pPr>
            <w:r>
              <w:rPr>
                <w:rFonts w:cs="Times New Roman" w:hint="eastAsia"/>
                <w:bCs/>
                <w:color w:val="auto"/>
                <w:sz w:val="21"/>
                <w:szCs w:val="21"/>
                <w:lang w:val="en-US" w:eastAsia="zh-CN"/>
                <w:highlight w:val="none"/>
              </w:rPr>
              <w:t>灌浆日期</w:t>
            </w:r>
          </w:p>
        </w:tc>
        <w:tc>
          <w:tcPr>
            <w:tcW w:w="1337" w:type="pct"/>
            <w:gridSpan w:val="4"/>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995" w:type="pct"/>
            <w:gridSpan w:val="2"/>
            <w:vAlign w:val="center"/>
          </w:tcPr>
          <w:p>
            <w:pPr>
              <w:spacing w:line="240" w:lineRule="auto"/>
              <w:ind w:firstLineChars="0" w:firstLine="0"/>
              <w:contextualSpacing/>
              <w:jc w:val="center"/>
              <w:textAlignment w:val="auto"/>
              <w:rPr>
                <w:rFonts w:cs="Times New Roman" w:hint="eastAsia"/>
                <w:bCs/>
                <w:color w:val="auto"/>
                <w:sz w:val="21"/>
                <w:szCs w:val="21"/>
                <w:lang w:val="en-US" w:eastAsia="zh-CN"/>
                <w:highlight w:val="none"/>
              </w:rPr>
            </w:pPr>
            <w:r>
              <w:rPr>
                <w:rFonts w:cs="Times New Roman"/>
                <w:bCs/>
                <w:color w:val="auto"/>
                <w:sz w:val="21"/>
                <w:szCs w:val="21"/>
                <w:highlight w:val="none"/>
              </w:rPr>
              <w:t>仪器设备</w:t>
            </w:r>
          </w:p>
        </w:tc>
        <w:tc>
          <w:tcPr>
            <w:tcW w:w="1333" w:type="pct"/>
            <w:gridSpan w:val="3"/>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1334" w:type="pct"/>
            <w:gridSpan w:val="3"/>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仪器设备</w:t>
            </w:r>
            <w:r>
              <w:rPr>
                <w:rFonts w:cs="Times New Roman" w:hint="eastAsia"/>
                <w:bCs/>
                <w:color w:val="auto"/>
                <w:sz w:val="21"/>
                <w:szCs w:val="21"/>
                <w:lang w:val="en-US" w:eastAsia="zh-CN"/>
                <w:highlight w:val="none"/>
              </w:rPr>
              <w:t>编号</w:t>
            </w:r>
            <w:r>
              <w:rPr>
                <w:rFonts w:cs="Times New Roman"/>
                <w:bCs/>
                <w:color w:val="auto"/>
                <w:sz w:val="21"/>
                <w:szCs w:val="21"/>
                <w:highlight w:val="none"/>
              </w:rPr>
              <w:t>/型号</w:t>
            </w:r>
          </w:p>
        </w:tc>
        <w:tc>
          <w:tcPr>
            <w:tcW w:w="1337" w:type="pct"/>
            <w:gridSpan w:val="4"/>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348" w:type="pct"/>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序号</w:t>
            </w:r>
          </w:p>
        </w:tc>
        <w:tc>
          <w:tcPr>
            <w:tcW w:w="646" w:type="pct"/>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构件类型/编号</w:t>
            </w:r>
          </w:p>
        </w:tc>
        <w:tc>
          <w:tcPr>
            <w:tcW w:w="637" w:type="pct"/>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构件位置</w:t>
            </w:r>
          </w:p>
        </w:tc>
        <w:tc>
          <w:tcPr>
            <w:tcW w:w="662" w:type="pct"/>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套筒编号</w:t>
            </w:r>
          </w:p>
        </w:tc>
        <w:tc>
          <w:tcPr>
            <w:tcW w:w="511"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灌浆前</w:t>
            </w:r>
          </w:p>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电压值</w:t>
            </w:r>
          </w:p>
        </w:tc>
        <w:tc>
          <w:tcPr>
            <w:tcW w:w="558" w:type="pct"/>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灌浆后</w:t>
            </w:r>
          </w:p>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电压值</w:t>
            </w:r>
          </w:p>
        </w:tc>
        <w:tc>
          <w:tcPr>
            <w:tcW w:w="406"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电压比值</w:t>
            </w:r>
          </w:p>
        </w:tc>
        <w:tc>
          <w:tcPr>
            <w:tcW w:w="442" w:type="pct"/>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评定等级</w:t>
            </w:r>
          </w:p>
        </w:tc>
        <w:tc>
          <w:tcPr>
            <w:tcW w:w="400" w:type="pct"/>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检测结果</w:t>
            </w:r>
          </w:p>
        </w:tc>
        <w:tc>
          <w:tcPr>
            <w:tcW w:w="387" w:type="pct"/>
            <w:vAlign w:val="center"/>
          </w:tcPr>
          <w:p>
            <w:pPr>
              <w:spacing w:line="240" w:lineRule="auto"/>
              <w:ind w:firstLineChars="0" w:firstLine="0"/>
              <w:contextualSpacing/>
              <w:jc w:val="center"/>
              <w:textAlignment w:val="auto"/>
              <w:rPr>
                <w:rFonts w:cs="Times New Roman"/>
                <w:bCs/>
                <w:color w:val="auto"/>
                <w:sz w:val="21"/>
                <w:szCs w:val="21"/>
                <w:highlight w:val="none"/>
              </w:rPr>
            </w:pPr>
            <w:r>
              <w:rPr>
                <w:rFonts w:cs="Times New Roman"/>
                <w:bCs/>
                <w:color w:val="auto"/>
                <w:sz w:val="21"/>
                <w:szCs w:val="21"/>
                <w:highlight w:val="none"/>
              </w:rPr>
              <w:t>备注</w:t>
            </w:r>
          </w:p>
        </w:tc>
      </w:tr>
      <w:tr>
        <w:trPr>
          <w:trHeight w:val="454"/>
        </w:trPr>
        <w:tc>
          <w:tcPr>
            <w:tcW w:w="348"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4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3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6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511"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558"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06"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4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00"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38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348"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4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3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6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511"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558"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06"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4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00"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38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348"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4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3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6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511"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558"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06"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4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00"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38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348"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4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3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6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511"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558"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06"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4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00"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38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348"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4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3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6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511"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558"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06"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4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00"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38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348"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4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3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6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511"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558"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06"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4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00"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38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348"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4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3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6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511"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558"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06"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4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00"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38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348"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4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3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6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511"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558"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06"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4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00"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38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348"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4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3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6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511"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558"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06"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4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00"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38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348"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4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3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6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511"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558"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06"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4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00"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38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348"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4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3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6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511"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558"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06"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4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00"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38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348"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4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3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6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511"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558"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06"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4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00"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38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r>
        <w:trPr>
          <w:trHeight w:val="454"/>
        </w:trPr>
        <w:tc>
          <w:tcPr>
            <w:tcW w:w="348"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46"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3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66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511"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558"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06" w:type="pct"/>
            <w:gridSpan w:val="2"/>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42"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400"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c>
          <w:tcPr>
            <w:tcW w:w="387" w:type="pct"/>
            <w:vAlign w:val="center"/>
          </w:tcPr>
          <w:p>
            <w:pPr>
              <w:spacing w:line="240" w:lineRule="auto"/>
              <w:ind w:firstLineChars="0" w:firstLine="0"/>
              <w:contextualSpacing/>
              <w:jc w:val="center"/>
              <w:textAlignment w:val="auto"/>
              <w:rPr>
                <w:rFonts w:cs="Times New Roman"/>
                <w:bCs/>
                <w:color w:val="auto"/>
                <w:sz w:val="21"/>
                <w:szCs w:val="21"/>
                <w:highlight w:val="none"/>
              </w:rPr>
            </w:pPr>
          </w:p>
        </w:tc>
      </w:tr>
    </w:tbl>
    <w:p>
      <w:pPr>
        <w:ind w:right="-1" w:firstLineChars="0" w:firstLine="0"/>
        <w:rPr>
          <w:rFonts w:cs="Times New Roman"/>
          <w:color w:val="auto"/>
          <w:sz w:val="21"/>
          <w:szCs w:val="21"/>
          <w:highlight w:val="none"/>
        </w:rPr>
      </w:pPr>
      <w:r>
        <w:rPr>
          <w:rFonts w:cs="Times New Roman"/>
          <w:color w:val="auto"/>
          <w:sz w:val="21"/>
          <w:szCs w:val="21"/>
          <w:highlight w:val="none"/>
        </w:rPr>
        <w:t>检测人员：                审核人员：              检测日期：</w:t>
      </w:r>
    </w:p>
    <w:p>
      <w:pPr>
        <w:spacing w:line="240" w:lineRule="auto"/>
        <w:ind w:firstLineChars="0" w:firstLine="0"/>
        <w:rPr>
          <w:rFonts w:cs="Times New Roman"/>
          <w:b/>
          <w:bCs/>
          <w:color w:val="auto"/>
          <w:sz w:val="21"/>
          <w:szCs w:val="21"/>
          <w:highlight w:val="none"/>
        </w:rPr>
      </w:pPr>
    </w:p>
    <w:p>
      <w:pPr>
        <w:keepNext/>
        <w:keepLines/>
        <w:pageBreakBefore/>
        <w:spacing w:beforeLines="100" w:before="312"/>
        <w:ind w:firstLineChars="0" w:firstLine="0"/>
        <w:contextualSpacing/>
        <w:jc w:val="center"/>
        <w:outlineLvl w:val="0"/>
        <w:rPr>
          <w:rFonts w:cs="Times New Roman"/>
          <w:b/>
          <w:bCs/>
          <w:color w:val="auto"/>
          <w:kern w:val="44"/>
          <w:sz w:val="30"/>
          <w:szCs w:val="30"/>
          <w:highlight w:val="none"/>
        </w:rPr>
      </w:pPr>
      <w:bookmarkStart w:id="527" w:name="_Toc2076"/>
      <w:bookmarkStart w:id="528" w:name="_Toc17286"/>
      <w:bookmarkStart w:id="529" w:name="_Toc11698"/>
      <w:bookmarkStart w:id="530" w:name="_Toc17142"/>
      <w:bookmarkEnd w:id="507"/>
      <w:r>
        <w:rPr>
          <w:rFonts w:cs="Times New Roman"/>
          <w:b/>
          <w:bCs/>
          <w:color w:val="auto"/>
          <w:kern w:val="44"/>
          <w:sz w:val="30"/>
          <w:szCs w:val="30"/>
          <w:highlight w:val="none"/>
        </w:rPr>
        <w:t>附录G</w:t>
      </w:r>
      <w:r>
        <w:rPr>
          <w:rFonts w:cs="Times New Roman" w:hint="eastAsia"/>
          <w:b/>
          <w:bCs/>
          <w:color w:val="auto"/>
          <w:kern w:val="44"/>
          <w:sz w:val="30"/>
          <w:szCs w:val="30"/>
          <w:highlight w:val="none"/>
        </w:rPr>
        <w:t>　</w:t>
      </w:r>
      <w:r>
        <w:rPr>
          <w:rFonts w:cs="Times New Roman"/>
          <w:b/>
          <w:bCs/>
          <w:color w:val="auto"/>
          <w:kern w:val="44"/>
          <w:sz w:val="30"/>
          <w:szCs w:val="30"/>
          <w:highlight w:val="none"/>
        </w:rPr>
        <w:t>套筒灌浆饱满度压力传感器法</w:t>
      </w:r>
      <w:r>
        <w:rPr>
          <w:rFonts w:cs="Times New Roman" w:hint="eastAsia"/>
          <w:b/>
          <w:bCs/>
          <w:color w:val="auto"/>
          <w:kern w:val="44"/>
          <w:sz w:val="30"/>
          <w:szCs w:val="30"/>
          <w:highlight w:val="none"/>
        </w:rPr>
        <w:t>检测</w:t>
      </w:r>
      <w:r>
        <w:rPr>
          <w:rFonts w:cs="Times New Roman"/>
          <w:b/>
          <w:bCs/>
          <w:color w:val="auto"/>
          <w:kern w:val="44"/>
          <w:sz w:val="30"/>
          <w:szCs w:val="30"/>
          <w:highlight w:val="none"/>
        </w:rPr>
        <w:t>记录表</w:t>
      </w:r>
      <w:bookmarkEnd w:id="527"/>
      <w:bookmarkEnd w:id="528"/>
      <w:bookmarkEnd w:id="529"/>
      <w:bookmarkEnd w:id="530"/>
    </w:p>
    <w:p>
      <w:pPr>
        <w:ind w:firstLineChars="0" w:firstLine="0"/>
        <w:jc w:val="center"/>
        <w:rPr>
          <w:rFonts w:cs="Times New Roman"/>
          <w:b/>
          <w:bCs/>
          <w:color w:val="auto"/>
          <w:kern w:val="44"/>
          <w:sz w:val="21"/>
          <w:szCs w:val="21"/>
          <w:highlight w:val="none"/>
        </w:rPr>
      </w:pPr>
      <w:r>
        <w:rPr>
          <w:rFonts w:cs="Times New Roman"/>
          <w:b/>
          <w:bCs/>
          <w:color w:val="auto"/>
          <w:kern w:val="44"/>
          <w:sz w:val="21"/>
          <w:szCs w:val="21"/>
          <w:highlight w:val="none"/>
        </w:rPr>
        <w:t>表G</w:t>
      </w:r>
      <w:r>
        <w:rPr>
          <w:rFonts w:cs="Times New Roman" w:hint="eastAsia"/>
          <w:b/>
          <w:bCs/>
          <w:color w:val="auto"/>
          <w:kern w:val="44"/>
          <w:sz w:val="21"/>
          <w:szCs w:val="21"/>
          <w:highlight w:val="none"/>
        </w:rPr>
        <w:t>　</w:t>
      </w:r>
      <w:r>
        <w:rPr>
          <w:rFonts w:cs="Times New Roman"/>
          <w:b/>
          <w:bCs/>
          <w:color w:val="auto"/>
          <w:kern w:val="44"/>
          <w:sz w:val="21"/>
          <w:szCs w:val="21"/>
          <w:highlight w:val="none"/>
        </w:rPr>
        <w:t>套筒灌浆饱满度压力传感器法</w:t>
      </w:r>
      <w:r>
        <w:rPr>
          <w:rFonts w:cs="Times New Roman" w:hint="eastAsia"/>
          <w:b/>
          <w:bCs/>
          <w:color w:val="auto"/>
          <w:sz w:val="21"/>
          <w:szCs w:val="21"/>
          <w:highlight w:val="none"/>
        </w:rPr>
        <w:t>检测</w:t>
      </w:r>
      <w:r>
        <w:rPr>
          <w:rFonts w:cs="Times New Roman"/>
          <w:b/>
          <w:bCs/>
          <w:color w:val="auto"/>
          <w:kern w:val="44"/>
          <w:sz w:val="21"/>
          <w:szCs w:val="21"/>
          <w:highlight w:val="none"/>
        </w:rPr>
        <w:t>记录表</w:t>
      </w:r>
    </w:p>
    <w:p>
      <w:pPr>
        <w:spacing w:line="240" w:lineRule="auto"/>
        <w:ind w:firstLineChars="0" w:firstLine="0"/>
        <w:jc w:val="left"/>
        <w:rPr>
          <w:rFonts w:cs="Times New Roman"/>
          <w:b/>
          <w:bCs/>
          <w:color w:val="auto"/>
          <w:kern w:val="44"/>
          <w:sz w:val="21"/>
          <w:szCs w:val="21"/>
          <w:highlight w:val="none"/>
        </w:rPr>
      </w:pPr>
      <w:r>
        <w:rPr>
          <w:rFonts w:cs="Times New Roman"/>
          <w:b/>
          <w:bCs/>
          <w:color w:val="auto"/>
          <w:sz w:val="21"/>
          <w:szCs w:val="21"/>
          <w:highlight w:val="none"/>
        </w:rPr>
        <w:t>委托编号：                                                   共   页   第   页</w:t>
      </w:r>
    </w:p>
    <w:tbl>
      <w:tblPr>
        <w:jc w:val="left"/>
        <w:tblInd w:w="-431" w:type="dxa"/>
        <w:tblW w:w="9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600" w:firstRow="0" w:lastRow="0" w:firstColumn="0" w:lastColumn="0" w:noHBand="1" w:noVBand="1"/>
      </w:tblPr>
      <w:tblGrid>
        <w:gridCol w:w="710"/>
        <w:gridCol w:w="1134"/>
        <w:gridCol w:w="1027"/>
        <w:gridCol w:w="1708"/>
        <w:gridCol w:w="454"/>
        <w:gridCol w:w="1626"/>
        <w:gridCol w:w="536"/>
        <w:gridCol w:w="2162"/>
      </w:tblGrid>
      <w:tr>
        <w:tc>
          <w:tcPr>
            <w:tcW w:w="1844" w:type="dxa"/>
            <w:gridSpan w:val="2"/>
            <w:vAlign w:val="center"/>
          </w:tcPr>
          <w:p>
            <w:pPr>
              <w:spacing w:before="100" w:beforeAutospacing="1"/>
              <w:ind w:firstLineChars="0" w:firstLine="0"/>
              <w:jc w:val="center"/>
              <w:rPr>
                <w:rFonts w:cs="Times New Roman"/>
                <w:b/>
                <w:bCs/>
                <w:color w:val="auto"/>
                <w:sz w:val="21"/>
                <w:szCs w:val="20"/>
                <w:highlight w:val="none"/>
              </w:rPr>
            </w:pPr>
            <w:r>
              <w:rPr>
                <w:rFonts w:cs="Times New Roman"/>
                <w:b/>
                <w:bCs/>
                <w:color w:val="auto"/>
                <w:sz w:val="21"/>
                <w:szCs w:val="20"/>
                <w:highlight w:val="none"/>
              </w:rPr>
              <w:t>工程名称</w:t>
            </w:r>
          </w:p>
        </w:tc>
        <w:tc>
          <w:tcPr>
            <w:tcW w:w="7513" w:type="dxa"/>
            <w:gridSpan w:val="6"/>
            <w:vAlign w:val="center"/>
          </w:tcPr>
          <w:p>
            <w:pPr>
              <w:spacing w:before="100" w:beforeAutospacing="1"/>
              <w:ind w:firstLineChars="0" w:firstLine="0"/>
              <w:jc w:val="center"/>
              <w:rPr>
                <w:rFonts w:cs="Times New Roman"/>
                <w:color w:val="auto"/>
                <w:sz w:val="21"/>
                <w:szCs w:val="20"/>
                <w:highlight w:val="none"/>
              </w:rPr>
            </w:pPr>
          </w:p>
        </w:tc>
      </w:tr>
      <w:tr>
        <w:tc>
          <w:tcPr>
            <w:tcW w:w="1844" w:type="dxa"/>
            <w:gridSpan w:val="2"/>
            <w:vAlign w:val="center"/>
          </w:tcPr>
          <w:p>
            <w:pPr>
              <w:spacing w:before="100" w:beforeAutospacing="1"/>
              <w:ind w:firstLineChars="0" w:firstLine="0"/>
              <w:jc w:val="center"/>
              <w:rPr>
                <w:rFonts w:cs="Times New Roman"/>
                <w:b/>
                <w:bCs/>
                <w:color w:val="auto"/>
                <w:sz w:val="21"/>
                <w:szCs w:val="20"/>
                <w:highlight w:val="none"/>
              </w:rPr>
            </w:pPr>
            <w:r>
              <w:rPr>
                <w:rFonts w:cs="Times New Roman"/>
                <w:b/>
                <w:bCs/>
                <w:color w:val="auto"/>
                <w:sz w:val="21"/>
                <w:szCs w:val="20"/>
                <w:highlight w:val="none"/>
              </w:rPr>
              <w:t>执行标准</w:t>
            </w:r>
          </w:p>
        </w:tc>
        <w:tc>
          <w:tcPr>
            <w:tcW w:w="7513" w:type="dxa"/>
            <w:gridSpan w:val="6"/>
            <w:vAlign w:val="center"/>
          </w:tcPr>
          <w:p>
            <w:pPr>
              <w:spacing w:before="100" w:beforeAutospacing="1"/>
              <w:ind w:firstLineChars="0" w:firstLine="0"/>
              <w:jc w:val="center"/>
              <w:rPr>
                <w:rFonts w:cs="Times New Roman"/>
                <w:color w:val="auto"/>
                <w:sz w:val="21"/>
                <w:szCs w:val="20"/>
                <w:highlight w:val="none"/>
              </w:rPr>
            </w:pPr>
          </w:p>
        </w:tc>
      </w:tr>
      <w:tr>
        <w:tc>
          <w:tcPr>
            <w:tcW w:w="1844" w:type="dxa"/>
            <w:gridSpan w:val="2"/>
            <w:vAlign w:val="center"/>
          </w:tcPr>
          <w:p>
            <w:pPr>
              <w:spacing w:before="100" w:beforeAutospacing="1"/>
              <w:ind w:firstLineChars="0" w:firstLine="0"/>
              <w:jc w:val="center"/>
              <w:rPr>
                <w:rFonts w:cs="Times New Roman"/>
                <w:b/>
                <w:bCs/>
                <w:color w:val="auto"/>
                <w:sz w:val="21"/>
                <w:szCs w:val="20"/>
                <w:highlight w:val="none"/>
              </w:rPr>
            </w:pPr>
            <w:r>
              <w:rPr>
                <w:rFonts w:cs="Times New Roman" w:hint="eastAsia"/>
                <w:b/>
                <w:bCs/>
                <w:color w:val="auto"/>
                <w:sz w:val="21"/>
                <w:szCs w:val="20"/>
                <w:lang w:val="en-US" w:eastAsia="zh-CN"/>
                <w:highlight w:val="none"/>
              </w:rPr>
              <w:t>工程地点</w:t>
            </w:r>
          </w:p>
        </w:tc>
        <w:tc>
          <w:tcPr>
            <w:tcW w:w="2735" w:type="dxa"/>
            <w:gridSpan w:val="2"/>
            <w:vAlign w:val="center"/>
          </w:tcPr>
          <w:p>
            <w:pPr>
              <w:spacing w:before="100" w:beforeAutospacing="1"/>
              <w:ind w:firstLineChars="0" w:firstLine="0"/>
              <w:jc w:val="center"/>
              <w:rPr>
                <w:rFonts w:cs="Times New Roman"/>
                <w:color w:val="auto"/>
                <w:sz w:val="21"/>
                <w:szCs w:val="20"/>
                <w:highlight w:val="none"/>
              </w:rPr>
            </w:pPr>
          </w:p>
        </w:tc>
        <w:tc>
          <w:tcPr>
            <w:tcW w:w="2080" w:type="dxa"/>
            <w:gridSpan w:val="2"/>
            <w:vAlign w:val="center"/>
          </w:tcPr>
          <w:p>
            <w:pPr>
              <w:spacing w:before="100" w:beforeAutospacing="1"/>
              <w:ind w:firstLineChars="0" w:firstLine="0"/>
              <w:jc w:val="center"/>
              <w:rPr>
                <w:rFonts w:cs="Times New Roman"/>
                <w:b/>
                <w:bCs/>
                <w:color w:val="auto"/>
                <w:sz w:val="21"/>
                <w:szCs w:val="20"/>
                <w:highlight w:val="none"/>
              </w:rPr>
            </w:pPr>
            <w:r>
              <w:rPr>
                <w:rFonts w:cs="Times New Roman" w:hint="eastAsia"/>
                <w:b/>
                <w:bCs/>
                <w:color w:val="auto"/>
                <w:sz w:val="21"/>
                <w:szCs w:val="20"/>
                <w:lang w:val="en-US" w:eastAsia="zh-CN"/>
                <w:highlight w:val="none"/>
              </w:rPr>
              <w:t>灌浆</w:t>
            </w:r>
            <w:r>
              <w:rPr>
                <w:rFonts w:cs="Times New Roman"/>
                <w:b/>
                <w:bCs/>
                <w:color w:val="auto"/>
                <w:sz w:val="21"/>
                <w:szCs w:val="20"/>
                <w:highlight w:val="none"/>
              </w:rPr>
              <w:t>日期</w:t>
            </w:r>
          </w:p>
        </w:tc>
        <w:tc>
          <w:tcPr>
            <w:tcW w:w="2698" w:type="dxa"/>
            <w:gridSpan w:val="2"/>
            <w:vAlign w:val="center"/>
          </w:tcPr>
          <w:p>
            <w:pPr>
              <w:spacing w:before="100" w:beforeAutospacing="1"/>
              <w:ind w:firstLineChars="0" w:firstLine="0"/>
              <w:jc w:val="center"/>
              <w:rPr>
                <w:rFonts w:cs="Times New Roman"/>
                <w:color w:val="auto"/>
                <w:sz w:val="21"/>
                <w:szCs w:val="20"/>
                <w:highlight w:val="none"/>
              </w:rPr>
            </w:pPr>
          </w:p>
        </w:tc>
      </w:tr>
      <w:tr>
        <w:tc>
          <w:tcPr>
            <w:tcW w:w="1844" w:type="dxa"/>
            <w:gridSpan w:val="2"/>
            <w:shd w:val="clear" w:color="auto" w:fill="auto"/>
            <w:vAlign w:val="center"/>
          </w:tcPr>
          <w:p>
            <w:pPr>
              <w:spacing w:before="100" w:beforeAutospacing="1"/>
              <w:ind w:firstLineChars="0" w:firstLine="0"/>
              <w:jc w:val="center"/>
              <w:rPr>
                <w:rFonts w:ascii="Times New Roman" w:eastAsia="宋体" w:cs="Times New Roman" w:hAnsi="Times New Roman" w:hint="eastAsia"/>
                <w:b/>
                <w:bCs/>
                <w:color w:val="auto"/>
                <w:kern w:val="2"/>
                <w:sz w:val="21"/>
                <w:szCs w:val="20"/>
                <w:lang w:val="en-US" w:eastAsia="zh-CN" w:bidi="ar-SA"/>
                <w:highlight w:val="none"/>
              </w:rPr>
            </w:pPr>
            <w:r>
              <w:rPr>
                <w:rFonts w:cs="Times New Roman"/>
                <w:b/>
                <w:bCs/>
                <w:color w:val="auto"/>
                <w:sz w:val="21"/>
                <w:szCs w:val="20"/>
                <w:highlight w:val="none"/>
              </w:rPr>
              <w:t>仪器</w:t>
            </w:r>
            <w:r>
              <w:rPr>
                <w:rFonts w:cs="Times New Roman" w:hint="eastAsia"/>
                <w:b/>
                <w:bCs/>
                <w:color w:val="auto"/>
                <w:sz w:val="21"/>
                <w:szCs w:val="20"/>
                <w:lang w:val="en-US" w:eastAsia="zh-CN"/>
                <w:highlight w:val="none"/>
              </w:rPr>
              <w:t>设备</w:t>
            </w:r>
          </w:p>
        </w:tc>
        <w:tc>
          <w:tcPr>
            <w:tcW w:w="2735" w:type="dxa"/>
            <w:gridSpan w:val="2"/>
            <w:shd w:val="clear" w:color="auto" w:fill="auto"/>
            <w:vAlign w:val="center"/>
          </w:tcPr>
          <w:p>
            <w:pPr>
              <w:spacing w:before="100" w:beforeAutospacing="1"/>
              <w:ind w:firstLineChars="0" w:firstLine="0"/>
              <w:jc w:val="center"/>
              <w:rPr>
                <w:rFonts w:ascii="Times New Roman" w:eastAsia="宋体" w:cs="Times New Roman" w:hAnsi="Times New Roman"/>
                <w:color w:val="auto"/>
                <w:kern w:val="2"/>
                <w:sz w:val="21"/>
                <w:szCs w:val="20"/>
                <w:lang w:val="en-US" w:eastAsia="zh-CN" w:bidi="ar-SA"/>
                <w:highlight w:val="none"/>
              </w:rPr>
            </w:pPr>
          </w:p>
        </w:tc>
        <w:tc>
          <w:tcPr>
            <w:tcW w:w="2080" w:type="dxa"/>
            <w:gridSpan w:val="2"/>
            <w:shd w:val="clear" w:color="auto" w:fill="auto"/>
            <w:vAlign w:val="center"/>
          </w:tcPr>
          <w:p>
            <w:pPr>
              <w:spacing w:before="100" w:beforeAutospacing="1"/>
              <w:ind w:firstLineChars="0" w:firstLine="0"/>
              <w:jc w:val="center"/>
              <w:rPr>
                <w:rFonts w:ascii="Times New Roman" w:eastAsia="宋体" w:cs="Times New Roman" w:hAnsi="Times New Roman"/>
                <w:b/>
                <w:bCs/>
                <w:color w:val="auto"/>
                <w:kern w:val="2"/>
                <w:sz w:val="21"/>
                <w:szCs w:val="20"/>
                <w:lang w:val="en-US" w:eastAsia="zh-CN" w:bidi="ar-SA"/>
                <w:highlight w:val="none"/>
              </w:rPr>
            </w:pPr>
            <w:r>
              <w:rPr>
                <w:rFonts w:cs="Times New Roman"/>
                <w:b/>
                <w:bCs/>
                <w:color w:val="auto"/>
                <w:sz w:val="21"/>
                <w:szCs w:val="20"/>
                <w:highlight w:val="none"/>
              </w:rPr>
              <w:t>仪器</w:t>
            </w:r>
            <w:r>
              <w:rPr>
                <w:rFonts w:cs="Times New Roman" w:hint="eastAsia"/>
                <w:b/>
                <w:bCs/>
                <w:color w:val="auto"/>
                <w:sz w:val="21"/>
                <w:szCs w:val="20"/>
                <w:lang w:val="en-US" w:eastAsia="zh-CN"/>
                <w:highlight w:val="none"/>
              </w:rPr>
              <w:t>设备</w:t>
            </w:r>
            <w:r>
              <w:rPr>
                <w:rFonts w:cs="Times New Roman"/>
                <w:b/>
                <w:bCs/>
                <w:color w:val="auto"/>
                <w:sz w:val="21"/>
                <w:szCs w:val="20"/>
                <w:highlight w:val="none"/>
              </w:rPr>
              <w:t>编号</w:t>
            </w:r>
            <w:r>
              <w:rPr>
                <w:rFonts w:cs="Times New Roman" w:hint="eastAsia"/>
                <w:b/>
                <w:bCs/>
                <w:color w:val="auto"/>
                <w:sz w:val="21"/>
                <w:szCs w:val="20"/>
                <w:lang w:val="en-US" w:eastAsia="zh-CN"/>
                <w:highlight w:val="none"/>
              </w:rPr>
              <w:t>/</w:t>
            </w:r>
            <w:r>
              <w:rPr>
                <w:rFonts w:cs="Times New Roman"/>
                <w:b/>
                <w:bCs/>
                <w:color w:val="auto"/>
                <w:sz w:val="21"/>
                <w:szCs w:val="20"/>
                <w:highlight w:val="none"/>
              </w:rPr>
              <w:t>型号</w:t>
            </w:r>
          </w:p>
        </w:tc>
        <w:tc>
          <w:tcPr>
            <w:tcW w:w="2698" w:type="dxa"/>
            <w:gridSpan w:val="2"/>
            <w:vAlign w:val="center"/>
          </w:tcPr>
          <w:p>
            <w:pPr>
              <w:spacing w:before="100" w:beforeAutospacing="1"/>
              <w:ind w:firstLineChars="0" w:firstLine="0"/>
              <w:jc w:val="center"/>
              <w:rPr>
                <w:rFonts w:cs="Times New Roman"/>
                <w:color w:val="auto"/>
                <w:sz w:val="21"/>
                <w:szCs w:val="20"/>
                <w:highlight w:val="none"/>
              </w:rPr>
            </w:pPr>
          </w:p>
        </w:tc>
      </w:tr>
      <w:tr>
        <w:trPr>
          <w:trHeight w:val="477"/>
        </w:trPr>
        <w:tc>
          <w:tcPr>
            <w:tcW w:w="710" w:type="dxa"/>
            <w:vAlign w:val="center"/>
          </w:tcPr>
          <w:p>
            <w:pPr>
              <w:spacing w:before="100" w:beforeAutospacing="1"/>
              <w:ind w:firstLineChars="0" w:firstLine="0"/>
              <w:jc w:val="center"/>
              <w:rPr>
                <w:rFonts w:cs="Times New Roman"/>
                <w:b/>
                <w:bCs/>
                <w:color w:val="auto"/>
                <w:sz w:val="21"/>
                <w:szCs w:val="20"/>
                <w:highlight w:val="none"/>
              </w:rPr>
            </w:pPr>
            <w:r>
              <w:rPr>
                <w:rFonts w:cs="Times New Roman"/>
                <w:b/>
                <w:bCs/>
                <w:color w:val="auto"/>
                <w:sz w:val="21"/>
                <w:szCs w:val="20"/>
                <w:highlight w:val="none"/>
              </w:rPr>
              <w:t>序号</w:t>
            </w:r>
          </w:p>
        </w:tc>
        <w:tc>
          <w:tcPr>
            <w:tcW w:w="2161" w:type="dxa"/>
            <w:gridSpan w:val="2"/>
            <w:vAlign w:val="center"/>
          </w:tcPr>
          <w:p>
            <w:pPr>
              <w:spacing w:before="100" w:beforeAutospacing="1"/>
              <w:ind w:firstLineChars="0" w:firstLine="0"/>
              <w:jc w:val="center"/>
              <w:rPr>
                <w:rFonts w:cs="Times New Roman"/>
                <w:b/>
                <w:bCs/>
                <w:color w:val="auto"/>
                <w:sz w:val="21"/>
                <w:szCs w:val="20"/>
                <w:highlight w:val="none"/>
              </w:rPr>
            </w:pPr>
            <w:r>
              <w:rPr>
                <w:rFonts w:cs="Times New Roman"/>
                <w:b/>
                <w:bCs/>
                <w:color w:val="auto"/>
                <w:sz w:val="21"/>
                <w:szCs w:val="20"/>
                <w:highlight w:val="none"/>
              </w:rPr>
              <w:t>构件编号</w:t>
            </w:r>
          </w:p>
        </w:tc>
        <w:tc>
          <w:tcPr>
            <w:tcW w:w="2162" w:type="dxa"/>
            <w:gridSpan w:val="2"/>
            <w:vAlign w:val="center"/>
          </w:tcPr>
          <w:p>
            <w:pPr>
              <w:spacing w:before="100" w:beforeAutospacing="1"/>
              <w:ind w:firstLineChars="0" w:firstLine="0"/>
              <w:jc w:val="center"/>
              <w:rPr>
                <w:rFonts w:cs="Times New Roman"/>
                <w:b/>
                <w:bCs/>
                <w:color w:val="auto"/>
                <w:sz w:val="21"/>
                <w:szCs w:val="20"/>
                <w:highlight w:val="none"/>
              </w:rPr>
            </w:pPr>
            <w:r>
              <w:rPr>
                <w:rFonts w:cs="Times New Roman"/>
                <w:b/>
                <w:bCs/>
                <w:color w:val="auto"/>
                <w:sz w:val="21"/>
                <w:szCs w:val="20"/>
                <w:highlight w:val="none"/>
              </w:rPr>
              <w:t>套筒编号</w:t>
            </w:r>
          </w:p>
        </w:tc>
        <w:tc>
          <w:tcPr>
            <w:tcW w:w="2162" w:type="dxa"/>
            <w:gridSpan w:val="2"/>
            <w:vAlign w:val="center"/>
          </w:tcPr>
          <w:p>
            <w:pPr>
              <w:spacing w:before="100" w:beforeAutospacing="1"/>
              <w:ind w:firstLineChars="0" w:firstLine="0"/>
              <w:jc w:val="center"/>
              <w:rPr>
                <w:rFonts w:cs="Times New Roman"/>
                <w:b/>
                <w:bCs/>
                <w:color w:val="auto"/>
                <w:sz w:val="21"/>
                <w:szCs w:val="20"/>
                <w:highlight w:val="none"/>
              </w:rPr>
            </w:pPr>
            <w:r>
              <w:rPr>
                <w:rFonts w:cs="Times New Roman"/>
                <w:b/>
                <w:bCs/>
                <w:color w:val="auto"/>
                <w:sz w:val="21"/>
                <w:szCs w:val="20"/>
                <w:highlight w:val="none"/>
              </w:rPr>
              <w:t>稳定压力值（kPa）</w:t>
            </w:r>
          </w:p>
        </w:tc>
        <w:tc>
          <w:tcPr>
            <w:tcW w:w="2162" w:type="dxa"/>
            <w:vAlign w:val="center"/>
          </w:tcPr>
          <w:p>
            <w:pPr>
              <w:spacing w:before="100" w:beforeAutospacing="1"/>
              <w:ind w:firstLineChars="0" w:firstLine="0"/>
              <w:jc w:val="center"/>
              <w:rPr>
                <w:rFonts w:cs="Times New Roman"/>
                <w:b/>
                <w:bCs/>
                <w:color w:val="auto"/>
                <w:sz w:val="21"/>
                <w:szCs w:val="20"/>
                <w:highlight w:val="none"/>
              </w:rPr>
            </w:pPr>
            <w:r>
              <w:rPr>
                <w:rFonts w:cs="Times New Roman"/>
                <w:b/>
                <w:bCs/>
                <w:color w:val="auto"/>
                <w:sz w:val="21"/>
                <w:szCs w:val="20"/>
                <w:highlight w:val="none"/>
              </w:rPr>
              <w:t>备注</w:t>
            </w: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2161"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162"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162"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162" w:type="dxa"/>
            <w:vAlign w:val="center"/>
          </w:tcPr>
          <w:p>
            <w:pPr>
              <w:spacing w:before="100" w:beforeAutospacing="1"/>
              <w:ind w:firstLineChars="0" w:firstLine="0"/>
              <w:jc w:val="center"/>
              <w:rPr>
                <w:rFonts w:eastAsia="楷体" w:cs="Times New Roman"/>
                <w:color w:val="auto"/>
                <w:sz w:val="21"/>
                <w:szCs w:val="20"/>
                <w:highlight w:val="none"/>
              </w:rPr>
            </w:pP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2161"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162"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162"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162" w:type="dxa"/>
            <w:vAlign w:val="center"/>
          </w:tcPr>
          <w:p>
            <w:pPr>
              <w:spacing w:before="100" w:beforeAutospacing="1"/>
              <w:ind w:firstLineChars="0" w:firstLine="0"/>
              <w:jc w:val="center"/>
              <w:rPr>
                <w:rFonts w:eastAsia="楷体" w:cs="Times New Roman"/>
                <w:color w:val="auto"/>
                <w:sz w:val="21"/>
                <w:szCs w:val="20"/>
                <w:highlight w:val="none"/>
              </w:rPr>
            </w:pP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2161"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162"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162"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162" w:type="dxa"/>
            <w:vAlign w:val="center"/>
          </w:tcPr>
          <w:p>
            <w:pPr>
              <w:spacing w:before="100" w:beforeAutospacing="1"/>
              <w:ind w:firstLineChars="0" w:firstLine="0"/>
              <w:jc w:val="center"/>
              <w:rPr>
                <w:rFonts w:eastAsia="楷体" w:cs="Times New Roman"/>
                <w:color w:val="auto"/>
                <w:sz w:val="21"/>
                <w:szCs w:val="20"/>
                <w:highlight w:val="none"/>
              </w:rPr>
            </w:pP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2161"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162"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162"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162" w:type="dxa"/>
            <w:vAlign w:val="center"/>
          </w:tcPr>
          <w:p>
            <w:pPr>
              <w:spacing w:before="100" w:beforeAutospacing="1"/>
              <w:ind w:firstLineChars="0" w:firstLine="0"/>
              <w:jc w:val="center"/>
              <w:rPr>
                <w:rFonts w:eastAsia="楷体" w:cs="Times New Roman"/>
                <w:color w:val="auto"/>
                <w:sz w:val="21"/>
                <w:szCs w:val="20"/>
                <w:highlight w:val="none"/>
              </w:rPr>
            </w:pP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2161"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162"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162"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162" w:type="dxa"/>
            <w:vAlign w:val="center"/>
          </w:tcPr>
          <w:p>
            <w:pPr>
              <w:spacing w:before="100" w:beforeAutospacing="1"/>
              <w:ind w:firstLineChars="0" w:firstLine="0"/>
              <w:jc w:val="center"/>
              <w:rPr>
                <w:rFonts w:eastAsia="楷体" w:cs="Times New Roman"/>
                <w:color w:val="auto"/>
                <w:sz w:val="21"/>
                <w:szCs w:val="20"/>
                <w:highlight w:val="none"/>
              </w:rPr>
            </w:pP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2161"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162"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162"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162" w:type="dxa"/>
            <w:vAlign w:val="center"/>
          </w:tcPr>
          <w:p>
            <w:pPr>
              <w:spacing w:before="100" w:beforeAutospacing="1"/>
              <w:ind w:firstLineChars="0" w:firstLine="0"/>
              <w:jc w:val="center"/>
              <w:rPr>
                <w:rFonts w:eastAsia="楷体" w:cs="Times New Roman"/>
                <w:color w:val="auto"/>
                <w:sz w:val="21"/>
                <w:szCs w:val="20"/>
                <w:highlight w:val="none"/>
              </w:rPr>
            </w:pP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2161"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162"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162"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162" w:type="dxa"/>
            <w:vAlign w:val="center"/>
          </w:tcPr>
          <w:p>
            <w:pPr>
              <w:spacing w:before="100" w:beforeAutospacing="1"/>
              <w:ind w:firstLineChars="0" w:firstLine="0"/>
              <w:jc w:val="center"/>
              <w:rPr>
                <w:rFonts w:eastAsia="楷体" w:cs="Times New Roman"/>
                <w:color w:val="auto"/>
                <w:sz w:val="21"/>
                <w:szCs w:val="20"/>
                <w:highlight w:val="none"/>
              </w:rPr>
            </w:pP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2161"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162"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162"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162" w:type="dxa"/>
            <w:vAlign w:val="center"/>
          </w:tcPr>
          <w:p>
            <w:pPr>
              <w:spacing w:before="100" w:beforeAutospacing="1"/>
              <w:ind w:firstLineChars="0" w:firstLine="0"/>
              <w:jc w:val="center"/>
              <w:rPr>
                <w:rFonts w:eastAsia="楷体" w:cs="Times New Roman"/>
                <w:color w:val="auto"/>
                <w:sz w:val="21"/>
                <w:szCs w:val="20"/>
                <w:highlight w:val="none"/>
              </w:rPr>
            </w:pP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2161"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162"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162"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162" w:type="dxa"/>
            <w:vAlign w:val="center"/>
          </w:tcPr>
          <w:p>
            <w:pPr>
              <w:spacing w:before="100" w:beforeAutospacing="1"/>
              <w:ind w:firstLineChars="0" w:firstLine="0"/>
              <w:jc w:val="center"/>
              <w:rPr>
                <w:rFonts w:eastAsia="楷体" w:cs="Times New Roman"/>
                <w:color w:val="auto"/>
                <w:sz w:val="21"/>
                <w:szCs w:val="20"/>
                <w:highlight w:val="none"/>
              </w:rPr>
            </w:pP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2161"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162"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162"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162" w:type="dxa"/>
            <w:vAlign w:val="center"/>
          </w:tcPr>
          <w:p>
            <w:pPr>
              <w:spacing w:before="100" w:beforeAutospacing="1"/>
              <w:ind w:firstLineChars="0" w:firstLine="0"/>
              <w:jc w:val="center"/>
              <w:rPr>
                <w:rFonts w:eastAsia="楷体" w:cs="Times New Roman"/>
                <w:color w:val="auto"/>
                <w:sz w:val="21"/>
                <w:szCs w:val="20"/>
                <w:highlight w:val="none"/>
              </w:rPr>
            </w:pP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2161"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162"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162"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162" w:type="dxa"/>
            <w:vAlign w:val="center"/>
          </w:tcPr>
          <w:p>
            <w:pPr>
              <w:spacing w:before="100" w:beforeAutospacing="1"/>
              <w:ind w:firstLineChars="0" w:firstLine="0"/>
              <w:jc w:val="center"/>
              <w:rPr>
                <w:rFonts w:eastAsia="楷体" w:cs="Times New Roman"/>
                <w:color w:val="auto"/>
                <w:sz w:val="21"/>
                <w:szCs w:val="20"/>
                <w:highlight w:val="none"/>
              </w:rPr>
            </w:pP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2161"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162"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162"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162" w:type="dxa"/>
            <w:vAlign w:val="center"/>
          </w:tcPr>
          <w:p>
            <w:pPr>
              <w:spacing w:before="100" w:beforeAutospacing="1"/>
              <w:ind w:firstLineChars="0" w:firstLine="0"/>
              <w:jc w:val="center"/>
              <w:rPr>
                <w:rFonts w:eastAsia="楷体" w:cs="Times New Roman"/>
                <w:color w:val="auto"/>
                <w:sz w:val="21"/>
                <w:szCs w:val="20"/>
                <w:highlight w:val="none"/>
              </w:rPr>
            </w:pP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2161"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162"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162"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162" w:type="dxa"/>
            <w:vAlign w:val="center"/>
          </w:tcPr>
          <w:p>
            <w:pPr>
              <w:spacing w:before="100" w:beforeAutospacing="1"/>
              <w:ind w:firstLineChars="0" w:firstLine="0"/>
              <w:jc w:val="center"/>
              <w:rPr>
                <w:rFonts w:eastAsia="楷体" w:cs="Times New Roman"/>
                <w:color w:val="auto"/>
                <w:sz w:val="21"/>
                <w:szCs w:val="20"/>
                <w:highlight w:val="none"/>
              </w:rPr>
            </w:pP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2161"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162"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162"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162" w:type="dxa"/>
            <w:vAlign w:val="center"/>
          </w:tcPr>
          <w:p>
            <w:pPr>
              <w:spacing w:before="100" w:beforeAutospacing="1"/>
              <w:ind w:firstLineChars="0" w:firstLine="0"/>
              <w:jc w:val="center"/>
              <w:rPr>
                <w:rFonts w:eastAsia="楷体" w:cs="Times New Roman"/>
                <w:color w:val="auto"/>
                <w:sz w:val="21"/>
                <w:szCs w:val="20"/>
                <w:highlight w:val="none"/>
              </w:rPr>
            </w:pP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2161"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162"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162"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2162" w:type="dxa"/>
            <w:vAlign w:val="center"/>
          </w:tcPr>
          <w:p>
            <w:pPr>
              <w:spacing w:before="100" w:beforeAutospacing="1"/>
              <w:ind w:firstLineChars="0" w:firstLine="0"/>
              <w:jc w:val="center"/>
              <w:rPr>
                <w:rFonts w:eastAsia="楷体" w:cs="Times New Roman"/>
                <w:color w:val="auto"/>
                <w:sz w:val="21"/>
                <w:szCs w:val="20"/>
                <w:highlight w:val="none"/>
              </w:rPr>
            </w:pPr>
          </w:p>
        </w:tc>
      </w:tr>
    </w:tbl>
    <w:p>
      <w:pPr>
        <w:spacing w:beforeLines="50" w:before="156"/>
        <w:ind w:firstLineChars="0" w:firstLine="0"/>
        <w:rPr>
          <w:rFonts w:cs="Times New Roman"/>
          <w:b/>
          <w:bCs/>
          <w:color w:val="auto"/>
          <w:kern w:val="44"/>
          <w:sz w:val="21"/>
          <w:szCs w:val="21"/>
          <w:highlight w:val="none"/>
        </w:rPr>
      </w:pPr>
      <w:r>
        <w:rPr>
          <w:rFonts w:cs="Times New Roman"/>
          <w:color w:val="auto"/>
          <w:sz w:val="21"/>
          <w:szCs w:val="21"/>
          <w:highlight w:val="none"/>
        </w:rPr>
        <w:t>检测人员：               审核人员：                 检测日期：</w:t>
      </w:r>
    </w:p>
    <w:p>
      <w:pPr>
        <w:keepNext/>
        <w:keepLines/>
        <w:pageBreakBefore/>
        <w:spacing w:beforeLines="100" w:before="312"/>
        <w:ind w:firstLineChars="0" w:firstLine="0"/>
        <w:contextualSpacing/>
        <w:jc w:val="center"/>
        <w:outlineLvl w:val="0"/>
        <w:rPr>
          <w:rFonts w:cs="Times New Roman"/>
          <w:b/>
          <w:bCs/>
          <w:color w:val="auto"/>
          <w:kern w:val="44"/>
          <w:sz w:val="30"/>
          <w:szCs w:val="30"/>
          <w:highlight w:val="none"/>
        </w:rPr>
      </w:pPr>
      <w:bookmarkStart w:id="531" w:name="_Toc6392"/>
      <w:bookmarkStart w:id="532" w:name="_Toc16582"/>
      <w:bookmarkStart w:id="533" w:name="_Toc17992"/>
      <w:bookmarkStart w:id="534" w:name="_Toc31552"/>
      <w:r>
        <w:rPr>
          <w:rFonts w:cs="Times New Roman"/>
          <w:b/>
          <w:bCs/>
          <w:color w:val="auto"/>
          <w:kern w:val="44"/>
          <w:sz w:val="30"/>
          <w:szCs w:val="30"/>
          <w:highlight w:val="none"/>
        </w:rPr>
        <w:t>附录H</w:t>
      </w:r>
      <w:r>
        <w:rPr>
          <w:rFonts w:cs="Times New Roman" w:hint="eastAsia"/>
          <w:b/>
          <w:bCs/>
          <w:color w:val="auto"/>
          <w:kern w:val="44"/>
          <w:sz w:val="30"/>
          <w:szCs w:val="30"/>
          <w:highlight w:val="none"/>
        </w:rPr>
        <w:t>　</w:t>
      </w:r>
      <w:r>
        <w:rPr>
          <w:rFonts w:cs="Times New Roman"/>
          <w:b/>
          <w:bCs/>
          <w:color w:val="auto"/>
          <w:kern w:val="44"/>
          <w:sz w:val="30"/>
          <w:szCs w:val="30"/>
          <w:highlight w:val="none"/>
        </w:rPr>
        <w:t>套筒灌浆饱满度预埋钢丝拉拔法</w:t>
      </w:r>
      <w:r>
        <w:rPr>
          <w:rFonts w:cs="Times New Roman" w:hint="eastAsia"/>
          <w:b/>
          <w:bCs/>
          <w:color w:val="auto"/>
          <w:kern w:val="44"/>
          <w:sz w:val="30"/>
          <w:szCs w:val="30"/>
          <w:highlight w:val="none"/>
        </w:rPr>
        <w:t>检测</w:t>
      </w:r>
      <w:r>
        <w:rPr>
          <w:rFonts w:cs="Times New Roman"/>
          <w:b/>
          <w:bCs/>
          <w:color w:val="auto"/>
          <w:kern w:val="44"/>
          <w:sz w:val="30"/>
          <w:szCs w:val="30"/>
          <w:highlight w:val="none"/>
        </w:rPr>
        <w:t>记录表</w:t>
      </w:r>
      <w:bookmarkEnd w:id="531"/>
      <w:bookmarkEnd w:id="532"/>
      <w:bookmarkEnd w:id="533"/>
      <w:bookmarkEnd w:id="534"/>
    </w:p>
    <w:p>
      <w:pPr>
        <w:ind w:firstLineChars="0" w:firstLine="0"/>
        <w:jc w:val="center"/>
        <w:rPr>
          <w:rFonts w:cs="Times New Roman"/>
          <w:b/>
          <w:bCs/>
          <w:color w:val="auto"/>
          <w:kern w:val="44"/>
          <w:sz w:val="21"/>
          <w:szCs w:val="21"/>
          <w:highlight w:val="none"/>
        </w:rPr>
      </w:pPr>
      <w:r>
        <w:rPr>
          <w:rFonts w:cs="Times New Roman"/>
          <w:b/>
          <w:bCs/>
          <w:color w:val="auto"/>
          <w:kern w:val="44"/>
          <w:sz w:val="21"/>
          <w:szCs w:val="21"/>
          <w:highlight w:val="none"/>
        </w:rPr>
        <w:t>表H</w:t>
      </w:r>
      <w:r>
        <w:rPr>
          <w:rFonts w:cs="Times New Roman" w:hint="eastAsia"/>
          <w:b/>
          <w:bCs/>
          <w:color w:val="auto"/>
          <w:kern w:val="44"/>
          <w:sz w:val="21"/>
          <w:szCs w:val="21"/>
          <w:highlight w:val="none"/>
        </w:rPr>
        <w:t>　</w:t>
      </w:r>
      <w:r>
        <w:rPr>
          <w:rFonts w:cs="Times New Roman"/>
          <w:b/>
          <w:bCs/>
          <w:color w:val="auto"/>
          <w:kern w:val="44"/>
          <w:sz w:val="21"/>
          <w:szCs w:val="21"/>
          <w:highlight w:val="none"/>
        </w:rPr>
        <w:t>套筒灌浆饱满度预埋钢丝拉拔法</w:t>
      </w:r>
      <w:r>
        <w:rPr>
          <w:rFonts w:cs="Times New Roman" w:hint="eastAsia"/>
          <w:b/>
          <w:bCs/>
          <w:color w:val="auto"/>
          <w:sz w:val="21"/>
          <w:szCs w:val="21"/>
          <w:highlight w:val="none"/>
        </w:rPr>
        <w:t>检测</w:t>
      </w:r>
      <w:r>
        <w:rPr>
          <w:rFonts w:cs="Times New Roman"/>
          <w:b/>
          <w:bCs/>
          <w:color w:val="auto"/>
          <w:kern w:val="44"/>
          <w:sz w:val="21"/>
          <w:szCs w:val="21"/>
          <w:highlight w:val="none"/>
        </w:rPr>
        <w:t>记录表</w:t>
      </w:r>
    </w:p>
    <w:p>
      <w:pPr>
        <w:ind w:firstLineChars="0" w:firstLine="0"/>
        <w:jc w:val="left"/>
        <w:rPr>
          <w:rFonts w:cs="Times New Roman"/>
          <w:b/>
          <w:bCs/>
          <w:color w:val="auto"/>
          <w:kern w:val="44"/>
          <w:sz w:val="21"/>
          <w:szCs w:val="21"/>
          <w:highlight w:val="none"/>
        </w:rPr>
      </w:pPr>
      <w:r>
        <w:rPr>
          <w:rFonts w:cs="Times New Roman"/>
          <w:color w:val="auto"/>
          <w:sz w:val="21"/>
          <w:szCs w:val="21"/>
          <w:highlight w:val="none"/>
        </w:rPr>
        <w:t xml:space="preserve">委托编号：                                         </w:t>
      </w:r>
      <w:r>
        <w:rPr>
          <w:rFonts w:cs="Times New Roman" w:hint="eastAsia"/>
          <w:color w:val="auto"/>
          <w:sz w:val="21"/>
          <w:szCs w:val="21"/>
          <w:lang w:val="en-US" w:eastAsia="zh-CN"/>
          <w:highlight w:val="none"/>
        </w:rPr>
        <w:t xml:space="preserve">       </w:t>
      </w:r>
      <w:r>
        <w:rPr>
          <w:rFonts w:cs="Times New Roman"/>
          <w:color w:val="auto"/>
          <w:sz w:val="21"/>
          <w:szCs w:val="21"/>
          <w:highlight w:val="none"/>
        </w:rPr>
        <w:t xml:space="preserve"> 共   页 / 第   页</w:t>
      </w:r>
    </w:p>
    <w:tbl>
      <w:tblPr>
        <w:jc w:val="left"/>
        <w:tblInd w:w="-431" w:type="dxa"/>
        <w:tblW w:w="9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600" w:firstRow="0" w:lastRow="0" w:firstColumn="0" w:lastColumn="0" w:noHBand="1" w:noVBand="1"/>
      </w:tblPr>
      <w:tblGrid>
        <w:gridCol w:w="710"/>
        <w:gridCol w:w="1134"/>
        <w:gridCol w:w="709"/>
        <w:gridCol w:w="1417"/>
        <w:gridCol w:w="609"/>
        <w:gridCol w:w="2045"/>
        <w:gridCol w:w="1699"/>
        <w:gridCol w:w="1034"/>
      </w:tblGrid>
      <w:tr>
        <w:tc>
          <w:tcPr>
            <w:tcW w:w="1844" w:type="dxa"/>
            <w:gridSpan w:val="2"/>
            <w:vAlign w:val="center"/>
          </w:tcPr>
          <w:p>
            <w:pPr>
              <w:spacing w:before="100" w:beforeAutospacing="1"/>
              <w:ind w:firstLineChars="0" w:firstLine="0"/>
              <w:jc w:val="center"/>
              <w:rPr>
                <w:rFonts w:cs="Times New Roman"/>
                <w:color w:val="auto"/>
                <w:sz w:val="21"/>
                <w:szCs w:val="20"/>
                <w:highlight w:val="none"/>
              </w:rPr>
            </w:pPr>
            <w:r>
              <w:rPr>
                <w:rFonts w:cs="Times New Roman"/>
                <w:color w:val="auto"/>
                <w:sz w:val="21"/>
                <w:szCs w:val="20"/>
                <w:highlight w:val="none"/>
              </w:rPr>
              <w:t>工程名称</w:t>
            </w:r>
          </w:p>
        </w:tc>
        <w:tc>
          <w:tcPr>
            <w:tcW w:w="7513" w:type="dxa"/>
            <w:gridSpan w:val="6"/>
            <w:vAlign w:val="center"/>
          </w:tcPr>
          <w:p>
            <w:pPr>
              <w:spacing w:before="100" w:beforeAutospacing="1"/>
              <w:ind w:firstLineChars="0" w:firstLine="0"/>
              <w:jc w:val="center"/>
              <w:rPr>
                <w:rFonts w:cs="Times New Roman"/>
                <w:color w:val="auto"/>
                <w:sz w:val="21"/>
                <w:szCs w:val="20"/>
                <w:highlight w:val="none"/>
              </w:rPr>
            </w:pPr>
          </w:p>
        </w:tc>
      </w:tr>
      <w:tr>
        <w:tc>
          <w:tcPr>
            <w:tcW w:w="1844" w:type="dxa"/>
            <w:gridSpan w:val="2"/>
            <w:vAlign w:val="center"/>
          </w:tcPr>
          <w:p>
            <w:pPr>
              <w:spacing w:before="100" w:beforeAutospacing="1"/>
              <w:ind w:firstLineChars="0" w:firstLine="0"/>
              <w:jc w:val="center"/>
              <w:rPr>
                <w:rFonts w:cs="Times New Roman"/>
                <w:color w:val="auto"/>
                <w:sz w:val="21"/>
                <w:szCs w:val="20"/>
                <w:highlight w:val="none"/>
              </w:rPr>
            </w:pPr>
            <w:r>
              <w:rPr>
                <w:rFonts w:cs="Times New Roman"/>
                <w:color w:val="auto"/>
                <w:sz w:val="21"/>
                <w:szCs w:val="20"/>
                <w:highlight w:val="none"/>
              </w:rPr>
              <w:t>执行标准</w:t>
            </w:r>
          </w:p>
        </w:tc>
        <w:tc>
          <w:tcPr>
            <w:tcW w:w="7513" w:type="dxa"/>
            <w:gridSpan w:val="6"/>
            <w:vAlign w:val="center"/>
          </w:tcPr>
          <w:p>
            <w:pPr>
              <w:spacing w:before="100" w:beforeAutospacing="1"/>
              <w:ind w:firstLineChars="0" w:firstLine="0"/>
              <w:jc w:val="center"/>
              <w:rPr>
                <w:rFonts w:cs="Times New Roman"/>
                <w:color w:val="auto"/>
                <w:sz w:val="21"/>
                <w:szCs w:val="20"/>
                <w:highlight w:val="none"/>
              </w:rPr>
            </w:pPr>
          </w:p>
        </w:tc>
      </w:tr>
      <w:tr>
        <w:tc>
          <w:tcPr>
            <w:tcW w:w="1844" w:type="dxa"/>
            <w:gridSpan w:val="2"/>
            <w:vAlign w:val="center"/>
          </w:tcPr>
          <w:p>
            <w:pPr>
              <w:spacing w:before="100" w:beforeAutospacing="1"/>
              <w:ind w:firstLineChars="0" w:firstLine="0"/>
              <w:jc w:val="center"/>
              <w:rPr>
                <w:rFonts w:cs="Times New Roman"/>
                <w:color w:val="auto"/>
                <w:sz w:val="21"/>
                <w:szCs w:val="20"/>
                <w:highlight w:val="none"/>
              </w:rPr>
            </w:pPr>
            <w:r>
              <w:rPr>
                <w:rFonts w:cs="Times New Roman" w:hint="eastAsia"/>
                <w:color w:val="auto"/>
                <w:sz w:val="21"/>
                <w:szCs w:val="20"/>
                <w:lang w:val="en-US" w:eastAsia="zh-CN"/>
                <w:highlight w:val="none"/>
              </w:rPr>
              <w:t>工程地点</w:t>
            </w:r>
          </w:p>
        </w:tc>
        <w:tc>
          <w:tcPr>
            <w:tcW w:w="2735" w:type="dxa"/>
            <w:gridSpan w:val="3"/>
            <w:vAlign w:val="center"/>
          </w:tcPr>
          <w:p>
            <w:pPr>
              <w:spacing w:before="100" w:beforeAutospacing="1"/>
              <w:ind w:firstLineChars="0" w:firstLine="0"/>
              <w:jc w:val="center"/>
              <w:rPr>
                <w:rFonts w:cs="Times New Roman"/>
                <w:color w:val="auto"/>
                <w:sz w:val="21"/>
                <w:szCs w:val="20"/>
                <w:highlight w:val="none"/>
              </w:rPr>
            </w:pPr>
          </w:p>
        </w:tc>
        <w:tc>
          <w:tcPr>
            <w:tcW w:w="2045" w:type="dxa"/>
            <w:vAlign w:val="center"/>
          </w:tcPr>
          <w:p>
            <w:pPr>
              <w:spacing w:before="100" w:beforeAutospacing="1"/>
              <w:ind w:firstLineChars="0" w:firstLine="0"/>
              <w:jc w:val="center"/>
              <w:rPr>
                <w:rFonts w:cs="Times New Roman"/>
                <w:color w:val="auto"/>
                <w:sz w:val="21"/>
                <w:szCs w:val="20"/>
                <w:highlight w:val="none"/>
              </w:rPr>
            </w:pPr>
            <w:r>
              <w:rPr>
                <w:rFonts w:cs="Times New Roman" w:hint="eastAsia"/>
                <w:b/>
                <w:bCs/>
                <w:color w:val="auto"/>
                <w:sz w:val="21"/>
                <w:szCs w:val="20"/>
                <w:lang w:val="en-US" w:eastAsia="zh-CN"/>
                <w:highlight w:val="none"/>
              </w:rPr>
              <w:t>灌浆</w:t>
            </w:r>
            <w:r>
              <w:rPr>
                <w:rFonts w:cs="Times New Roman"/>
                <w:b/>
                <w:bCs/>
                <w:color w:val="auto"/>
                <w:sz w:val="21"/>
                <w:szCs w:val="20"/>
                <w:highlight w:val="none"/>
              </w:rPr>
              <w:t>日期</w:t>
            </w:r>
          </w:p>
        </w:tc>
        <w:tc>
          <w:tcPr>
            <w:tcW w:w="2733" w:type="dxa"/>
            <w:gridSpan w:val="2"/>
            <w:vAlign w:val="center"/>
          </w:tcPr>
          <w:p>
            <w:pPr>
              <w:spacing w:before="100" w:beforeAutospacing="1"/>
              <w:ind w:firstLineChars="0" w:firstLine="0"/>
              <w:jc w:val="center"/>
              <w:rPr>
                <w:rFonts w:cs="Times New Roman"/>
                <w:color w:val="auto"/>
                <w:sz w:val="21"/>
                <w:szCs w:val="20"/>
                <w:highlight w:val="none"/>
              </w:rPr>
            </w:pPr>
          </w:p>
        </w:tc>
      </w:tr>
      <w:tr>
        <w:tc>
          <w:tcPr>
            <w:tcW w:w="1844" w:type="dxa"/>
            <w:gridSpan w:val="2"/>
            <w:vAlign w:val="center"/>
          </w:tcPr>
          <w:p>
            <w:pPr>
              <w:spacing w:before="100" w:beforeAutospacing="1"/>
              <w:ind w:firstLineChars="0" w:firstLine="0"/>
              <w:jc w:val="center"/>
              <w:rPr>
                <w:rFonts w:cs="Times New Roman"/>
                <w:color w:val="auto"/>
                <w:sz w:val="21"/>
                <w:szCs w:val="20"/>
                <w:highlight w:val="none"/>
              </w:rPr>
            </w:pPr>
            <w:r>
              <w:rPr>
                <w:rFonts w:cs="Times New Roman"/>
                <w:color w:val="auto"/>
                <w:sz w:val="21"/>
                <w:szCs w:val="20"/>
                <w:highlight w:val="none"/>
              </w:rPr>
              <w:t>仪器</w:t>
            </w:r>
            <w:r>
              <w:rPr>
                <w:rFonts w:cs="Times New Roman" w:hint="eastAsia"/>
                <w:color w:val="auto"/>
                <w:sz w:val="21"/>
                <w:szCs w:val="20"/>
                <w:lang w:val="en-US" w:eastAsia="zh-CN"/>
                <w:highlight w:val="none"/>
              </w:rPr>
              <w:t>设备</w:t>
            </w:r>
          </w:p>
        </w:tc>
        <w:tc>
          <w:tcPr>
            <w:tcW w:w="2735" w:type="dxa"/>
            <w:gridSpan w:val="3"/>
            <w:vAlign w:val="center"/>
          </w:tcPr>
          <w:p>
            <w:pPr>
              <w:spacing w:before="100" w:beforeAutospacing="1"/>
              <w:ind w:firstLineChars="0" w:firstLine="0"/>
              <w:jc w:val="center"/>
              <w:rPr>
                <w:rFonts w:cs="Times New Roman"/>
                <w:color w:val="auto"/>
                <w:sz w:val="21"/>
                <w:szCs w:val="20"/>
                <w:highlight w:val="none"/>
              </w:rPr>
            </w:pPr>
          </w:p>
        </w:tc>
        <w:tc>
          <w:tcPr>
            <w:tcW w:w="2045" w:type="dxa"/>
            <w:vAlign w:val="center"/>
          </w:tcPr>
          <w:p>
            <w:pPr>
              <w:spacing w:before="100" w:beforeAutospacing="1"/>
              <w:ind w:firstLineChars="0" w:firstLine="0"/>
              <w:jc w:val="center"/>
              <w:rPr>
                <w:rFonts w:cs="Times New Roman"/>
                <w:color w:val="auto"/>
                <w:sz w:val="21"/>
                <w:szCs w:val="20"/>
                <w:highlight w:val="none"/>
              </w:rPr>
            </w:pPr>
            <w:r>
              <w:rPr>
                <w:rFonts w:cs="Times New Roman"/>
                <w:color w:val="auto"/>
                <w:sz w:val="21"/>
                <w:szCs w:val="20"/>
                <w:highlight w:val="none"/>
              </w:rPr>
              <w:t>仪器</w:t>
            </w:r>
            <w:r>
              <w:rPr>
                <w:rFonts w:cs="Times New Roman" w:hint="eastAsia"/>
                <w:color w:val="auto"/>
                <w:sz w:val="21"/>
                <w:szCs w:val="20"/>
                <w:lang w:val="en-US" w:eastAsia="zh-CN"/>
                <w:highlight w:val="none"/>
              </w:rPr>
              <w:t>设备</w:t>
            </w:r>
            <w:r>
              <w:rPr>
                <w:rFonts w:cs="Times New Roman"/>
                <w:color w:val="auto"/>
                <w:sz w:val="21"/>
                <w:szCs w:val="20"/>
                <w:highlight w:val="none"/>
              </w:rPr>
              <w:t>编号</w:t>
            </w:r>
            <w:r>
              <w:rPr>
                <w:rFonts w:cs="Times New Roman" w:hint="eastAsia"/>
                <w:color w:val="auto"/>
                <w:sz w:val="21"/>
                <w:szCs w:val="20"/>
                <w:lang w:val="en-US" w:eastAsia="zh-CN"/>
                <w:highlight w:val="none"/>
              </w:rPr>
              <w:t>/</w:t>
            </w:r>
            <w:r>
              <w:rPr>
                <w:rFonts w:cs="Times New Roman"/>
                <w:color w:val="auto"/>
                <w:sz w:val="21"/>
                <w:szCs w:val="20"/>
                <w:highlight w:val="none"/>
              </w:rPr>
              <w:t>型号</w:t>
            </w:r>
          </w:p>
        </w:tc>
        <w:tc>
          <w:tcPr>
            <w:tcW w:w="2733" w:type="dxa"/>
            <w:gridSpan w:val="2"/>
            <w:vAlign w:val="center"/>
          </w:tcPr>
          <w:p>
            <w:pPr>
              <w:spacing w:before="100" w:beforeAutospacing="1"/>
              <w:ind w:firstLineChars="0" w:firstLine="0"/>
              <w:jc w:val="center"/>
              <w:rPr>
                <w:rFonts w:cs="Times New Roman"/>
                <w:color w:val="auto"/>
                <w:sz w:val="21"/>
                <w:szCs w:val="20"/>
                <w:highlight w:val="none"/>
              </w:rPr>
            </w:pPr>
          </w:p>
        </w:tc>
      </w:tr>
      <w:tr>
        <w:trPr>
          <w:trHeight w:val="477"/>
        </w:trPr>
        <w:tc>
          <w:tcPr>
            <w:tcW w:w="710" w:type="dxa"/>
            <w:vAlign w:val="center"/>
          </w:tcPr>
          <w:p>
            <w:pPr>
              <w:spacing w:before="100" w:beforeAutospacing="1"/>
              <w:ind w:firstLineChars="0" w:firstLine="0"/>
              <w:jc w:val="center"/>
              <w:rPr>
                <w:rFonts w:cs="Times New Roman"/>
                <w:color w:val="auto"/>
                <w:sz w:val="21"/>
                <w:szCs w:val="20"/>
                <w:highlight w:val="none"/>
              </w:rPr>
            </w:pPr>
            <w:r>
              <w:rPr>
                <w:rFonts w:cs="Times New Roman"/>
                <w:color w:val="auto"/>
                <w:sz w:val="21"/>
                <w:szCs w:val="20"/>
                <w:highlight w:val="none"/>
              </w:rPr>
              <w:t>序号</w:t>
            </w:r>
          </w:p>
        </w:tc>
        <w:tc>
          <w:tcPr>
            <w:tcW w:w="1843" w:type="dxa"/>
            <w:gridSpan w:val="2"/>
            <w:vAlign w:val="center"/>
          </w:tcPr>
          <w:p>
            <w:pPr>
              <w:spacing w:before="100" w:beforeAutospacing="1"/>
              <w:ind w:firstLineChars="0" w:firstLine="0"/>
              <w:jc w:val="center"/>
              <w:rPr>
                <w:rFonts w:cs="Times New Roman"/>
                <w:color w:val="auto"/>
                <w:sz w:val="21"/>
                <w:szCs w:val="20"/>
                <w:highlight w:val="none"/>
              </w:rPr>
            </w:pPr>
            <w:r>
              <w:rPr>
                <w:rFonts w:cs="Times New Roman"/>
                <w:color w:val="auto"/>
                <w:sz w:val="21"/>
                <w:szCs w:val="20"/>
                <w:highlight w:val="none"/>
              </w:rPr>
              <w:t>构件编号</w:t>
            </w:r>
          </w:p>
        </w:tc>
        <w:tc>
          <w:tcPr>
            <w:tcW w:w="1417" w:type="dxa"/>
            <w:vAlign w:val="center"/>
          </w:tcPr>
          <w:p>
            <w:pPr>
              <w:spacing w:before="100" w:beforeAutospacing="1"/>
              <w:ind w:firstLineChars="0" w:firstLine="0"/>
              <w:jc w:val="center"/>
              <w:rPr>
                <w:rFonts w:cs="Times New Roman"/>
                <w:color w:val="auto"/>
                <w:sz w:val="21"/>
                <w:szCs w:val="20"/>
                <w:highlight w:val="none"/>
              </w:rPr>
            </w:pPr>
            <w:r>
              <w:rPr>
                <w:rFonts w:cs="Times New Roman"/>
                <w:color w:val="auto"/>
                <w:sz w:val="21"/>
                <w:szCs w:val="20"/>
                <w:highlight w:val="none"/>
              </w:rPr>
              <w:t>套筒编号</w:t>
            </w:r>
          </w:p>
        </w:tc>
        <w:tc>
          <w:tcPr>
            <w:tcW w:w="2654" w:type="dxa"/>
            <w:gridSpan w:val="2"/>
          </w:tcPr>
          <w:p>
            <w:pPr>
              <w:spacing w:before="100" w:beforeAutospacing="1"/>
              <w:ind w:leftChars="-46" w:left="-110" w:rightChars="-45" w:right="-108" w:firstLineChars="0" w:firstLine="0"/>
              <w:jc w:val="center"/>
              <w:rPr>
                <w:rFonts w:cs="Times New Roman"/>
                <w:color w:val="auto"/>
                <w:sz w:val="21"/>
                <w:szCs w:val="20"/>
                <w:highlight w:val="none"/>
              </w:rPr>
            </w:pPr>
            <w:r>
              <w:rPr>
                <w:rFonts w:cs="Times New Roman"/>
                <w:color w:val="auto"/>
                <w:sz w:val="21"/>
                <w:szCs w:val="20"/>
                <w:highlight w:val="none"/>
              </w:rPr>
              <w:t>极限拉拔荷载值（kN）</w:t>
            </w:r>
          </w:p>
        </w:tc>
        <w:tc>
          <w:tcPr>
            <w:tcW w:w="1699" w:type="dxa"/>
          </w:tcPr>
          <w:p>
            <w:pPr>
              <w:spacing w:before="100" w:beforeAutospacing="1"/>
              <w:ind w:leftChars="-46" w:left="-110" w:rightChars="-45" w:right="-108" w:firstLineChars="0" w:firstLine="0"/>
              <w:jc w:val="center"/>
              <w:rPr>
                <w:rFonts w:cs="Times New Roman"/>
                <w:color w:val="auto"/>
                <w:sz w:val="21"/>
                <w:szCs w:val="20"/>
                <w:highlight w:val="none"/>
              </w:rPr>
            </w:pPr>
            <w:r>
              <w:rPr>
                <w:rFonts w:cs="Times New Roman"/>
                <w:color w:val="auto"/>
                <w:sz w:val="21"/>
                <w:szCs w:val="20"/>
                <w:highlight w:val="none"/>
              </w:rPr>
              <w:t>内窥镜照片编号</w:t>
            </w:r>
          </w:p>
        </w:tc>
        <w:tc>
          <w:tcPr>
            <w:tcW w:w="1034" w:type="dxa"/>
            <w:vAlign w:val="center"/>
          </w:tcPr>
          <w:p>
            <w:pPr>
              <w:spacing w:before="100" w:beforeAutospacing="1"/>
              <w:ind w:firstLineChars="0" w:firstLine="0"/>
              <w:jc w:val="center"/>
              <w:rPr>
                <w:rFonts w:cs="Times New Roman"/>
                <w:color w:val="auto"/>
                <w:sz w:val="21"/>
                <w:szCs w:val="20"/>
                <w:highlight w:val="none"/>
              </w:rPr>
            </w:pPr>
            <w:r>
              <w:rPr>
                <w:rFonts w:cs="Times New Roman"/>
                <w:color w:val="auto"/>
                <w:sz w:val="21"/>
                <w:szCs w:val="20"/>
                <w:highlight w:val="none"/>
              </w:rPr>
              <w:t>备注</w:t>
            </w: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1843"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1417" w:type="dxa"/>
            <w:vAlign w:val="center"/>
          </w:tcPr>
          <w:p>
            <w:pPr>
              <w:spacing w:before="100" w:beforeAutospacing="1"/>
              <w:ind w:firstLineChars="0" w:firstLine="0"/>
              <w:jc w:val="center"/>
              <w:rPr>
                <w:rFonts w:eastAsia="楷体" w:cs="Times New Roman"/>
                <w:color w:val="auto"/>
                <w:sz w:val="21"/>
                <w:szCs w:val="20"/>
                <w:highlight w:val="none"/>
              </w:rPr>
            </w:pPr>
          </w:p>
        </w:tc>
        <w:tc>
          <w:tcPr>
            <w:tcW w:w="2654"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1699" w:type="dxa"/>
            <w:vAlign w:val="center"/>
          </w:tcPr>
          <w:p>
            <w:pPr>
              <w:spacing w:before="100" w:beforeAutospacing="1"/>
              <w:ind w:firstLineChars="0" w:firstLine="0"/>
              <w:jc w:val="center"/>
              <w:rPr>
                <w:rFonts w:eastAsia="楷体" w:cs="Times New Roman"/>
                <w:color w:val="auto"/>
                <w:sz w:val="21"/>
                <w:szCs w:val="20"/>
                <w:highlight w:val="none"/>
              </w:rPr>
            </w:pPr>
          </w:p>
        </w:tc>
        <w:tc>
          <w:tcPr>
            <w:tcW w:w="1034" w:type="dxa"/>
            <w:vAlign w:val="center"/>
          </w:tcPr>
          <w:p>
            <w:pPr>
              <w:spacing w:before="100" w:beforeAutospacing="1"/>
              <w:ind w:firstLineChars="0" w:firstLine="0"/>
              <w:jc w:val="center"/>
              <w:rPr>
                <w:rFonts w:eastAsia="楷体" w:cs="Times New Roman"/>
                <w:color w:val="auto"/>
                <w:sz w:val="21"/>
                <w:szCs w:val="20"/>
                <w:highlight w:val="none"/>
              </w:rPr>
            </w:pP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1843"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1417" w:type="dxa"/>
            <w:vAlign w:val="center"/>
          </w:tcPr>
          <w:p>
            <w:pPr>
              <w:spacing w:before="100" w:beforeAutospacing="1"/>
              <w:ind w:firstLineChars="0" w:firstLine="0"/>
              <w:jc w:val="center"/>
              <w:rPr>
                <w:rFonts w:eastAsia="楷体" w:cs="Times New Roman"/>
                <w:color w:val="auto"/>
                <w:sz w:val="21"/>
                <w:szCs w:val="20"/>
                <w:highlight w:val="none"/>
              </w:rPr>
            </w:pPr>
          </w:p>
        </w:tc>
        <w:tc>
          <w:tcPr>
            <w:tcW w:w="2654"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1699" w:type="dxa"/>
            <w:vAlign w:val="center"/>
          </w:tcPr>
          <w:p>
            <w:pPr>
              <w:spacing w:before="100" w:beforeAutospacing="1"/>
              <w:ind w:firstLineChars="0" w:firstLine="0"/>
              <w:jc w:val="center"/>
              <w:rPr>
                <w:rFonts w:eastAsia="楷体" w:cs="Times New Roman"/>
                <w:color w:val="auto"/>
                <w:sz w:val="21"/>
                <w:szCs w:val="20"/>
                <w:highlight w:val="none"/>
              </w:rPr>
            </w:pPr>
          </w:p>
        </w:tc>
        <w:tc>
          <w:tcPr>
            <w:tcW w:w="1034" w:type="dxa"/>
            <w:vAlign w:val="center"/>
          </w:tcPr>
          <w:p>
            <w:pPr>
              <w:spacing w:before="100" w:beforeAutospacing="1"/>
              <w:ind w:firstLineChars="0" w:firstLine="0"/>
              <w:jc w:val="center"/>
              <w:rPr>
                <w:rFonts w:eastAsia="楷体" w:cs="Times New Roman"/>
                <w:color w:val="auto"/>
                <w:sz w:val="21"/>
                <w:szCs w:val="20"/>
                <w:highlight w:val="none"/>
              </w:rPr>
            </w:pP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1843"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1417" w:type="dxa"/>
            <w:vAlign w:val="center"/>
          </w:tcPr>
          <w:p>
            <w:pPr>
              <w:spacing w:before="100" w:beforeAutospacing="1"/>
              <w:ind w:firstLineChars="0" w:firstLine="0"/>
              <w:jc w:val="center"/>
              <w:rPr>
                <w:rFonts w:eastAsia="楷体" w:cs="Times New Roman"/>
                <w:color w:val="auto"/>
                <w:sz w:val="21"/>
                <w:szCs w:val="20"/>
                <w:highlight w:val="none"/>
              </w:rPr>
            </w:pPr>
          </w:p>
        </w:tc>
        <w:tc>
          <w:tcPr>
            <w:tcW w:w="2654"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1699" w:type="dxa"/>
            <w:vAlign w:val="center"/>
          </w:tcPr>
          <w:p>
            <w:pPr>
              <w:spacing w:before="100" w:beforeAutospacing="1"/>
              <w:ind w:firstLineChars="0" w:firstLine="0"/>
              <w:jc w:val="center"/>
              <w:rPr>
                <w:rFonts w:eastAsia="楷体" w:cs="Times New Roman"/>
                <w:color w:val="auto"/>
                <w:sz w:val="21"/>
                <w:szCs w:val="20"/>
                <w:highlight w:val="none"/>
              </w:rPr>
            </w:pPr>
          </w:p>
        </w:tc>
        <w:tc>
          <w:tcPr>
            <w:tcW w:w="1034" w:type="dxa"/>
            <w:vAlign w:val="center"/>
          </w:tcPr>
          <w:p>
            <w:pPr>
              <w:spacing w:before="100" w:beforeAutospacing="1"/>
              <w:ind w:firstLineChars="0" w:firstLine="0"/>
              <w:jc w:val="center"/>
              <w:rPr>
                <w:rFonts w:eastAsia="楷体" w:cs="Times New Roman"/>
                <w:color w:val="auto"/>
                <w:sz w:val="21"/>
                <w:szCs w:val="20"/>
                <w:highlight w:val="none"/>
              </w:rPr>
            </w:pP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1843"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1417" w:type="dxa"/>
            <w:vAlign w:val="center"/>
          </w:tcPr>
          <w:p>
            <w:pPr>
              <w:spacing w:before="100" w:beforeAutospacing="1"/>
              <w:ind w:firstLineChars="0" w:firstLine="0"/>
              <w:jc w:val="center"/>
              <w:rPr>
                <w:rFonts w:eastAsia="楷体" w:cs="Times New Roman"/>
                <w:color w:val="auto"/>
                <w:sz w:val="21"/>
                <w:szCs w:val="20"/>
                <w:highlight w:val="none"/>
              </w:rPr>
            </w:pPr>
          </w:p>
        </w:tc>
        <w:tc>
          <w:tcPr>
            <w:tcW w:w="2654"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1699" w:type="dxa"/>
            <w:vAlign w:val="center"/>
          </w:tcPr>
          <w:p>
            <w:pPr>
              <w:spacing w:before="100" w:beforeAutospacing="1"/>
              <w:ind w:firstLineChars="0" w:firstLine="0"/>
              <w:jc w:val="center"/>
              <w:rPr>
                <w:rFonts w:eastAsia="楷体" w:cs="Times New Roman"/>
                <w:color w:val="auto"/>
                <w:sz w:val="21"/>
                <w:szCs w:val="20"/>
                <w:highlight w:val="none"/>
              </w:rPr>
            </w:pPr>
          </w:p>
        </w:tc>
        <w:tc>
          <w:tcPr>
            <w:tcW w:w="1034" w:type="dxa"/>
            <w:vAlign w:val="center"/>
          </w:tcPr>
          <w:p>
            <w:pPr>
              <w:spacing w:before="100" w:beforeAutospacing="1"/>
              <w:ind w:firstLineChars="0" w:firstLine="0"/>
              <w:jc w:val="center"/>
              <w:rPr>
                <w:rFonts w:eastAsia="楷体" w:cs="Times New Roman"/>
                <w:color w:val="auto"/>
                <w:sz w:val="21"/>
                <w:szCs w:val="20"/>
                <w:highlight w:val="none"/>
              </w:rPr>
            </w:pP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1843"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1417" w:type="dxa"/>
            <w:vAlign w:val="center"/>
          </w:tcPr>
          <w:p>
            <w:pPr>
              <w:spacing w:before="100" w:beforeAutospacing="1"/>
              <w:ind w:firstLineChars="0" w:firstLine="0"/>
              <w:jc w:val="center"/>
              <w:rPr>
                <w:rFonts w:eastAsia="楷体" w:cs="Times New Roman"/>
                <w:color w:val="auto"/>
                <w:sz w:val="21"/>
                <w:szCs w:val="20"/>
                <w:highlight w:val="none"/>
              </w:rPr>
            </w:pPr>
          </w:p>
        </w:tc>
        <w:tc>
          <w:tcPr>
            <w:tcW w:w="2654"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1699" w:type="dxa"/>
            <w:vAlign w:val="center"/>
          </w:tcPr>
          <w:p>
            <w:pPr>
              <w:spacing w:before="100" w:beforeAutospacing="1"/>
              <w:ind w:firstLineChars="0" w:firstLine="0"/>
              <w:jc w:val="center"/>
              <w:rPr>
                <w:rFonts w:eastAsia="楷体" w:cs="Times New Roman"/>
                <w:color w:val="auto"/>
                <w:sz w:val="21"/>
                <w:szCs w:val="20"/>
                <w:highlight w:val="none"/>
              </w:rPr>
            </w:pPr>
          </w:p>
        </w:tc>
        <w:tc>
          <w:tcPr>
            <w:tcW w:w="1034" w:type="dxa"/>
            <w:vAlign w:val="center"/>
          </w:tcPr>
          <w:p>
            <w:pPr>
              <w:spacing w:before="100" w:beforeAutospacing="1"/>
              <w:ind w:firstLineChars="0" w:firstLine="0"/>
              <w:jc w:val="center"/>
              <w:rPr>
                <w:rFonts w:eastAsia="楷体" w:cs="Times New Roman"/>
                <w:color w:val="auto"/>
                <w:sz w:val="21"/>
                <w:szCs w:val="20"/>
                <w:highlight w:val="none"/>
              </w:rPr>
            </w:pP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1843"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1417" w:type="dxa"/>
            <w:vAlign w:val="center"/>
          </w:tcPr>
          <w:p>
            <w:pPr>
              <w:spacing w:before="100" w:beforeAutospacing="1"/>
              <w:ind w:firstLineChars="0" w:firstLine="0"/>
              <w:jc w:val="center"/>
              <w:rPr>
                <w:rFonts w:eastAsia="楷体" w:cs="Times New Roman"/>
                <w:color w:val="auto"/>
                <w:sz w:val="21"/>
                <w:szCs w:val="20"/>
                <w:highlight w:val="none"/>
              </w:rPr>
            </w:pPr>
          </w:p>
        </w:tc>
        <w:tc>
          <w:tcPr>
            <w:tcW w:w="2654"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1699" w:type="dxa"/>
            <w:vAlign w:val="center"/>
          </w:tcPr>
          <w:p>
            <w:pPr>
              <w:spacing w:before="100" w:beforeAutospacing="1"/>
              <w:ind w:firstLineChars="0" w:firstLine="0"/>
              <w:jc w:val="center"/>
              <w:rPr>
                <w:rFonts w:eastAsia="楷体" w:cs="Times New Roman"/>
                <w:color w:val="auto"/>
                <w:sz w:val="21"/>
                <w:szCs w:val="20"/>
                <w:highlight w:val="none"/>
              </w:rPr>
            </w:pPr>
          </w:p>
        </w:tc>
        <w:tc>
          <w:tcPr>
            <w:tcW w:w="1034" w:type="dxa"/>
            <w:vAlign w:val="center"/>
          </w:tcPr>
          <w:p>
            <w:pPr>
              <w:spacing w:before="100" w:beforeAutospacing="1"/>
              <w:ind w:firstLineChars="0" w:firstLine="0"/>
              <w:jc w:val="center"/>
              <w:rPr>
                <w:rFonts w:eastAsia="楷体" w:cs="Times New Roman"/>
                <w:color w:val="auto"/>
                <w:sz w:val="21"/>
                <w:szCs w:val="20"/>
                <w:highlight w:val="none"/>
              </w:rPr>
            </w:pP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1843"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1417" w:type="dxa"/>
            <w:vAlign w:val="center"/>
          </w:tcPr>
          <w:p>
            <w:pPr>
              <w:spacing w:before="100" w:beforeAutospacing="1"/>
              <w:ind w:firstLineChars="0" w:firstLine="0"/>
              <w:jc w:val="center"/>
              <w:rPr>
                <w:rFonts w:eastAsia="楷体" w:cs="Times New Roman"/>
                <w:color w:val="auto"/>
                <w:sz w:val="21"/>
                <w:szCs w:val="20"/>
                <w:highlight w:val="none"/>
              </w:rPr>
            </w:pPr>
          </w:p>
        </w:tc>
        <w:tc>
          <w:tcPr>
            <w:tcW w:w="2654"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1699" w:type="dxa"/>
            <w:vAlign w:val="center"/>
          </w:tcPr>
          <w:p>
            <w:pPr>
              <w:spacing w:before="100" w:beforeAutospacing="1"/>
              <w:ind w:firstLineChars="0" w:firstLine="0"/>
              <w:jc w:val="center"/>
              <w:rPr>
                <w:rFonts w:eastAsia="楷体" w:cs="Times New Roman"/>
                <w:color w:val="auto"/>
                <w:sz w:val="21"/>
                <w:szCs w:val="20"/>
                <w:highlight w:val="none"/>
              </w:rPr>
            </w:pPr>
          </w:p>
        </w:tc>
        <w:tc>
          <w:tcPr>
            <w:tcW w:w="1034" w:type="dxa"/>
            <w:vAlign w:val="center"/>
          </w:tcPr>
          <w:p>
            <w:pPr>
              <w:spacing w:before="100" w:beforeAutospacing="1"/>
              <w:ind w:firstLineChars="0" w:firstLine="0"/>
              <w:jc w:val="center"/>
              <w:rPr>
                <w:rFonts w:eastAsia="楷体" w:cs="Times New Roman"/>
                <w:color w:val="auto"/>
                <w:sz w:val="21"/>
                <w:szCs w:val="20"/>
                <w:highlight w:val="none"/>
              </w:rPr>
            </w:pP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1843"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1417" w:type="dxa"/>
            <w:vAlign w:val="center"/>
          </w:tcPr>
          <w:p>
            <w:pPr>
              <w:spacing w:before="100" w:beforeAutospacing="1"/>
              <w:ind w:firstLineChars="0" w:firstLine="0"/>
              <w:jc w:val="center"/>
              <w:rPr>
                <w:rFonts w:eastAsia="楷体" w:cs="Times New Roman"/>
                <w:color w:val="auto"/>
                <w:sz w:val="21"/>
                <w:szCs w:val="20"/>
                <w:highlight w:val="none"/>
              </w:rPr>
            </w:pPr>
          </w:p>
        </w:tc>
        <w:tc>
          <w:tcPr>
            <w:tcW w:w="2654"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1699" w:type="dxa"/>
            <w:vAlign w:val="center"/>
          </w:tcPr>
          <w:p>
            <w:pPr>
              <w:spacing w:before="100" w:beforeAutospacing="1"/>
              <w:ind w:firstLineChars="0" w:firstLine="0"/>
              <w:jc w:val="center"/>
              <w:rPr>
                <w:rFonts w:eastAsia="楷体" w:cs="Times New Roman"/>
                <w:color w:val="auto"/>
                <w:sz w:val="21"/>
                <w:szCs w:val="20"/>
                <w:highlight w:val="none"/>
              </w:rPr>
            </w:pPr>
          </w:p>
        </w:tc>
        <w:tc>
          <w:tcPr>
            <w:tcW w:w="1034" w:type="dxa"/>
            <w:vAlign w:val="center"/>
          </w:tcPr>
          <w:p>
            <w:pPr>
              <w:spacing w:before="100" w:beforeAutospacing="1"/>
              <w:ind w:firstLineChars="0" w:firstLine="0"/>
              <w:jc w:val="center"/>
              <w:rPr>
                <w:rFonts w:eastAsia="楷体" w:cs="Times New Roman"/>
                <w:color w:val="auto"/>
                <w:sz w:val="21"/>
                <w:szCs w:val="20"/>
                <w:highlight w:val="none"/>
              </w:rPr>
            </w:pP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1843"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1417" w:type="dxa"/>
            <w:vAlign w:val="center"/>
          </w:tcPr>
          <w:p>
            <w:pPr>
              <w:spacing w:before="100" w:beforeAutospacing="1"/>
              <w:ind w:firstLineChars="0" w:firstLine="0"/>
              <w:jc w:val="center"/>
              <w:rPr>
                <w:rFonts w:eastAsia="楷体" w:cs="Times New Roman"/>
                <w:color w:val="auto"/>
                <w:sz w:val="21"/>
                <w:szCs w:val="20"/>
                <w:highlight w:val="none"/>
              </w:rPr>
            </w:pPr>
          </w:p>
        </w:tc>
        <w:tc>
          <w:tcPr>
            <w:tcW w:w="2654"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1699" w:type="dxa"/>
            <w:vAlign w:val="center"/>
          </w:tcPr>
          <w:p>
            <w:pPr>
              <w:spacing w:before="100" w:beforeAutospacing="1"/>
              <w:ind w:firstLineChars="0" w:firstLine="0"/>
              <w:jc w:val="center"/>
              <w:rPr>
                <w:rFonts w:eastAsia="楷体" w:cs="Times New Roman"/>
                <w:color w:val="auto"/>
                <w:sz w:val="21"/>
                <w:szCs w:val="20"/>
                <w:highlight w:val="none"/>
              </w:rPr>
            </w:pPr>
          </w:p>
        </w:tc>
        <w:tc>
          <w:tcPr>
            <w:tcW w:w="1034" w:type="dxa"/>
            <w:vAlign w:val="center"/>
          </w:tcPr>
          <w:p>
            <w:pPr>
              <w:spacing w:before="100" w:beforeAutospacing="1"/>
              <w:ind w:firstLineChars="0" w:firstLine="0"/>
              <w:jc w:val="center"/>
              <w:rPr>
                <w:rFonts w:eastAsia="楷体" w:cs="Times New Roman"/>
                <w:color w:val="auto"/>
                <w:sz w:val="21"/>
                <w:szCs w:val="20"/>
                <w:highlight w:val="none"/>
              </w:rPr>
            </w:pP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1843"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1417" w:type="dxa"/>
            <w:vAlign w:val="center"/>
          </w:tcPr>
          <w:p>
            <w:pPr>
              <w:spacing w:before="100" w:beforeAutospacing="1"/>
              <w:ind w:firstLineChars="0" w:firstLine="0"/>
              <w:jc w:val="center"/>
              <w:rPr>
                <w:rFonts w:eastAsia="楷体" w:cs="Times New Roman"/>
                <w:color w:val="auto"/>
                <w:sz w:val="21"/>
                <w:szCs w:val="20"/>
                <w:highlight w:val="none"/>
              </w:rPr>
            </w:pPr>
          </w:p>
        </w:tc>
        <w:tc>
          <w:tcPr>
            <w:tcW w:w="2654"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1699" w:type="dxa"/>
            <w:vAlign w:val="center"/>
          </w:tcPr>
          <w:p>
            <w:pPr>
              <w:spacing w:before="100" w:beforeAutospacing="1"/>
              <w:ind w:firstLineChars="0" w:firstLine="0"/>
              <w:jc w:val="center"/>
              <w:rPr>
                <w:rFonts w:eastAsia="楷体" w:cs="Times New Roman"/>
                <w:color w:val="auto"/>
                <w:sz w:val="21"/>
                <w:szCs w:val="20"/>
                <w:highlight w:val="none"/>
              </w:rPr>
            </w:pPr>
          </w:p>
        </w:tc>
        <w:tc>
          <w:tcPr>
            <w:tcW w:w="1034" w:type="dxa"/>
            <w:vAlign w:val="center"/>
          </w:tcPr>
          <w:p>
            <w:pPr>
              <w:spacing w:before="100" w:beforeAutospacing="1"/>
              <w:ind w:firstLineChars="0" w:firstLine="0"/>
              <w:jc w:val="center"/>
              <w:rPr>
                <w:rFonts w:eastAsia="楷体" w:cs="Times New Roman"/>
                <w:color w:val="auto"/>
                <w:sz w:val="21"/>
                <w:szCs w:val="20"/>
                <w:highlight w:val="none"/>
              </w:rPr>
            </w:pP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1843"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1417" w:type="dxa"/>
            <w:vAlign w:val="center"/>
          </w:tcPr>
          <w:p>
            <w:pPr>
              <w:spacing w:before="100" w:beforeAutospacing="1"/>
              <w:ind w:firstLineChars="0" w:firstLine="0"/>
              <w:jc w:val="center"/>
              <w:rPr>
                <w:rFonts w:eastAsia="楷体" w:cs="Times New Roman"/>
                <w:color w:val="auto"/>
                <w:sz w:val="21"/>
                <w:szCs w:val="20"/>
                <w:highlight w:val="none"/>
              </w:rPr>
            </w:pPr>
          </w:p>
        </w:tc>
        <w:tc>
          <w:tcPr>
            <w:tcW w:w="2654"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1699" w:type="dxa"/>
            <w:vAlign w:val="center"/>
          </w:tcPr>
          <w:p>
            <w:pPr>
              <w:spacing w:before="100" w:beforeAutospacing="1"/>
              <w:ind w:firstLineChars="0" w:firstLine="0"/>
              <w:jc w:val="center"/>
              <w:rPr>
                <w:rFonts w:eastAsia="楷体" w:cs="Times New Roman"/>
                <w:color w:val="auto"/>
                <w:sz w:val="21"/>
                <w:szCs w:val="20"/>
                <w:highlight w:val="none"/>
              </w:rPr>
            </w:pPr>
          </w:p>
        </w:tc>
        <w:tc>
          <w:tcPr>
            <w:tcW w:w="1034" w:type="dxa"/>
            <w:vAlign w:val="center"/>
          </w:tcPr>
          <w:p>
            <w:pPr>
              <w:spacing w:before="100" w:beforeAutospacing="1"/>
              <w:ind w:firstLineChars="0" w:firstLine="0"/>
              <w:jc w:val="center"/>
              <w:rPr>
                <w:rFonts w:eastAsia="楷体" w:cs="Times New Roman"/>
                <w:color w:val="auto"/>
                <w:sz w:val="21"/>
                <w:szCs w:val="20"/>
                <w:highlight w:val="none"/>
              </w:rPr>
            </w:pP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1843"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1417" w:type="dxa"/>
            <w:vAlign w:val="center"/>
          </w:tcPr>
          <w:p>
            <w:pPr>
              <w:spacing w:before="100" w:beforeAutospacing="1"/>
              <w:ind w:firstLineChars="0" w:firstLine="0"/>
              <w:jc w:val="center"/>
              <w:rPr>
                <w:rFonts w:eastAsia="楷体" w:cs="Times New Roman"/>
                <w:color w:val="auto"/>
                <w:sz w:val="21"/>
                <w:szCs w:val="20"/>
                <w:highlight w:val="none"/>
              </w:rPr>
            </w:pPr>
          </w:p>
        </w:tc>
        <w:tc>
          <w:tcPr>
            <w:tcW w:w="2654"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1699" w:type="dxa"/>
            <w:vAlign w:val="center"/>
          </w:tcPr>
          <w:p>
            <w:pPr>
              <w:spacing w:before="100" w:beforeAutospacing="1"/>
              <w:ind w:firstLineChars="0" w:firstLine="0"/>
              <w:jc w:val="center"/>
              <w:rPr>
                <w:rFonts w:eastAsia="楷体" w:cs="Times New Roman"/>
                <w:color w:val="auto"/>
                <w:sz w:val="21"/>
                <w:szCs w:val="20"/>
                <w:highlight w:val="none"/>
              </w:rPr>
            </w:pPr>
          </w:p>
        </w:tc>
        <w:tc>
          <w:tcPr>
            <w:tcW w:w="1034" w:type="dxa"/>
            <w:vAlign w:val="center"/>
          </w:tcPr>
          <w:p>
            <w:pPr>
              <w:spacing w:before="100" w:beforeAutospacing="1"/>
              <w:ind w:firstLineChars="0" w:firstLine="0"/>
              <w:jc w:val="center"/>
              <w:rPr>
                <w:rFonts w:eastAsia="楷体" w:cs="Times New Roman"/>
                <w:color w:val="auto"/>
                <w:sz w:val="21"/>
                <w:szCs w:val="20"/>
                <w:highlight w:val="none"/>
              </w:rPr>
            </w:pP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1843"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1417" w:type="dxa"/>
            <w:vAlign w:val="center"/>
          </w:tcPr>
          <w:p>
            <w:pPr>
              <w:spacing w:before="100" w:beforeAutospacing="1"/>
              <w:ind w:firstLineChars="0" w:firstLine="0"/>
              <w:jc w:val="center"/>
              <w:rPr>
                <w:rFonts w:eastAsia="楷体" w:cs="Times New Roman"/>
                <w:color w:val="auto"/>
                <w:sz w:val="21"/>
                <w:szCs w:val="20"/>
                <w:highlight w:val="none"/>
              </w:rPr>
            </w:pPr>
          </w:p>
        </w:tc>
        <w:tc>
          <w:tcPr>
            <w:tcW w:w="2654"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1699" w:type="dxa"/>
            <w:vAlign w:val="center"/>
          </w:tcPr>
          <w:p>
            <w:pPr>
              <w:spacing w:before="100" w:beforeAutospacing="1"/>
              <w:ind w:firstLineChars="0" w:firstLine="0"/>
              <w:jc w:val="center"/>
              <w:rPr>
                <w:rFonts w:eastAsia="楷体" w:cs="Times New Roman"/>
                <w:color w:val="auto"/>
                <w:sz w:val="21"/>
                <w:szCs w:val="20"/>
                <w:highlight w:val="none"/>
              </w:rPr>
            </w:pPr>
          </w:p>
        </w:tc>
        <w:tc>
          <w:tcPr>
            <w:tcW w:w="1034" w:type="dxa"/>
            <w:vAlign w:val="center"/>
          </w:tcPr>
          <w:p>
            <w:pPr>
              <w:spacing w:before="100" w:beforeAutospacing="1"/>
              <w:ind w:firstLineChars="0" w:firstLine="0"/>
              <w:jc w:val="center"/>
              <w:rPr>
                <w:rFonts w:eastAsia="楷体" w:cs="Times New Roman"/>
                <w:color w:val="auto"/>
                <w:sz w:val="21"/>
                <w:szCs w:val="20"/>
                <w:highlight w:val="none"/>
              </w:rPr>
            </w:pP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1843"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1417" w:type="dxa"/>
            <w:vAlign w:val="center"/>
          </w:tcPr>
          <w:p>
            <w:pPr>
              <w:spacing w:before="100" w:beforeAutospacing="1"/>
              <w:ind w:firstLineChars="0" w:firstLine="0"/>
              <w:jc w:val="center"/>
              <w:rPr>
                <w:rFonts w:eastAsia="楷体" w:cs="Times New Roman"/>
                <w:color w:val="auto"/>
                <w:sz w:val="21"/>
                <w:szCs w:val="20"/>
                <w:highlight w:val="none"/>
              </w:rPr>
            </w:pPr>
          </w:p>
        </w:tc>
        <w:tc>
          <w:tcPr>
            <w:tcW w:w="2654"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1699" w:type="dxa"/>
            <w:vAlign w:val="center"/>
          </w:tcPr>
          <w:p>
            <w:pPr>
              <w:spacing w:before="100" w:beforeAutospacing="1"/>
              <w:ind w:firstLineChars="0" w:firstLine="0"/>
              <w:jc w:val="center"/>
              <w:rPr>
                <w:rFonts w:eastAsia="楷体" w:cs="Times New Roman"/>
                <w:color w:val="auto"/>
                <w:sz w:val="21"/>
                <w:szCs w:val="20"/>
                <w:highlight w:val="none"/>
              </w:rPr>
            </w:pPr>
          </w:p>
        </w:tc>
        <w:tc>
          <w:tcPr>
            <w:tcW w:w="1034" w:type="dxa"/>
            <w:vAlign w:val="center"/>
          </w:tcPr>
          <w:p>
            <w:pPr>
              <w:spacing w:before="100" w:beforeAutospacing="1"/>
              <w:ind w:firstLineChars="0" w:firstLine="0"/>
              <w:jc w:val="center"/>
              <w:rPr>
                <w:rFonts w:eastAsia="楷体" w:cs="Times New Roman"/>
                <w:color w:val="auto"/>
                <w:sz w:val="21"/>
                <w:szCs w:val="20"/>
                <w:highlight w:val="none"/>
              </w:rPr>
            </w:pP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1843"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1417" w:type="dxa"/>
            <w:vAlign w:val="center"/>
          </w:tcPr>
          <w:p>
            <w:pPr>
              <w:spacing w:before="100" w:beforeAutospacing="1"/>
              <w:ind w:firstLineChars="0" w:firstLine="0"/>
              <w:jc w:val="center"/>
              <w:rPr>
                <w:rFonts w:eastAsia="楷体" w:cs="Times New Roman"/>
                <w:color w:val="auto"/>
                <w:sz w:val="21"/>
                <w:szCs w:val="20"/>
                <w:highlight w:val="none"/>
              </w:rPr>
            </w:pPr>
          </w:p>
        </w:tc>
        <w:tc>
          <w:tcPr>
            <w:tcW w:w="2654"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1699" w:type="dxa"/>
            <w:vAlign w:val="center"/>
          </w:tcPr>
          <w:p>
            <w:pPr>
              <w:spacing w:before="100" w:beforeAutospacing="1"/>
              <w:ind w:firstLineChars="0" w:firstLine="0"/>
              <w:jc w:val="center"/>
              <w:rPr>
                <w:rFonts w:eastAsia="楷体" w:cs="Times New Roman"/>
                <w:color w:val="auto"/>
                <w:sz w:val="21"/>
                <w:szCs w:val="20"/>
                <w:highlight w:val="none"/>
              </w:rPr>
            </w:pPr>
          </w:p>
        </w:tc>
        <w:tc>
          <w:tcPr>
            <w:tcW w:w="1034" w:type="dxa"/>
            <w:vAlign w:val="center"/>
          </w:tcPr>
          <w:p>
            <w:pPr>
              <w:spacing w:before="100" w:beforeAutospacing="1"/>
              <w:ind w:firstLineChars="0" w:firstLine="0"/>
              <w:jc w:val="center"/>
              <w:rPr>
                <w:rFonts w:eastAsia="楷体" w:cs="Times New Roman"/>
                <w:color w:val="auto"/>
                <w:sz w:val="21"/>
                <w:szCs w:val="20"/>
                <w:highlight w:val="none"/>
              </w:rPr>
            </w:pPr>
          </w:p>
        </w:tc>
      </w:tr>
      <w:tr>
        <w:trPr>
          <w:trHeight w:val="476"/>
        </w:trPr>
        <w:tc>
          <w:tcPr>
            <w:tcW w:w="710" w:type="dxa"/>
            <w:vAlign w:val="center"/>
          </w:tcPr>
          <w:p>
            <w:pPr>
              <w:spacing w:before="100" w:beforeAutospacing="1"/>
              <w:ind w:firstLineChars="0" w:firstLine="0"/>
              <w:jc w:val="center"/>
              <w:rPr>
                <w:rFonts w:eastAsia="楷体" w:cs="Times New Roman"/>
                <w:color w:val="auto"/>
                <w:sz w:val="21"/>
                <w:szCs w:val="20"/>
                <w:highlight w:val="none"/>
              </w:rPr>
            </w:pPr>
          </w:p>
        </w:tc>
        <w:tc>
          <w:tcPr>
            <w:tcW w:w="1843"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1417" w:type="dxa"/>
            <w:vAlign w:val="center"/>
          </w:tcPr>
          <w:p>
            <w:pPr>
              <w:spacing w:before="100" w:beforeAutospacing="1"/>
              <w:ind w:firstLineChars="0" w:firstLine="0"/>
              <w:jc w:val="center"/>
              <w:rPr>
                <w:rFonts w:eastAsia="楷体" w:cs="Times New Roman"/>
                <w:color w:val="auto"/>
                <w:sz w:val="21"/>
                <w:szCs w:val="20"/>
                <w:highlight w:val="none"/>
              </w:rPr>
            </w:pPr>
          </w:p>
        </w:tc>
        <w:tc>
          <w:tcPr>
            <w:tcW w:w="2654" w:type="dxa"/>
            <w:gridSpan w:val="2"/>
            <w:vAlign w:val="center"/>
          </w:tcPr>
          <w:p>
            <w:pPr>
              <w:spacing w:before="100" w:beforeAutospacing="1"/>
              <w:ind w:firstLineChars="0" w:firstLine="0"/>
              <w:jc w:val="center"/>
              <w:rPr>
                <w:rFonts w:eastAsia="楷体" w:cs="Times New Roman"/>
                <w:color w:val="auto"/>
                <w:sz w:val="21"/>
                <w:szCs w:val="20"/>
                <w:highlight w:val="none"/>
              </w:rPr>
            </w:pPr>
          </w:p>
        </w:tc>
        <w:tc>
          <w:tcPr>
            <w:tcW w:w="1699" w:type="dxa"/>
            <w:vAlign w:val="center"/>
          </w:tcPr>
          <w:p>
            <w:pPr>
              <w:spacing w:before="100" w:beforeAutospacing="1"/>
              <w:ind w:firstLineChars="0" w:firstLine="0"/>
              <w:jc w:val="center"/>
              <w:rPr>
                <w:rFonts w:eastAsia="楷体" w:cs="Times New Roman"/>
                <w:color w:val="auto"/>
                <w:sz w:val="21"/>
                <w:szCs w:val="20"/>
                <w:highlight w:val="none"/>
              </w:rPr>
            </w:pPr>
          </w:p>
        </w:tc>
        <w:tc>
          <w:tcPr>
            <w:tcW w:w="1034" w:type="dxa"/>
            <w:vAlign w:val="center"/>
          </w:tcPr>
          <w:p>
            <w:pPr>
              <w:spacing w:before="100" w:beforeAutospacing="1"/>
              <w:ind w:firstLineChars="0" w:firstLine="0"/>
              <w:jc w:val="center"/>
              <w:rPr>
                <w:rFonts w:eastAsia="楷体" w:cs="Times New Roman"/>
                <w:color w:val="auto"/>
                <w:sz w:val="21"/>
                <w:szCs w:val="20"/>
                <w:highlight w:val="none"/>
              </w:rPr>
            </w:pPr>
          </w:p>
        </w:tc>
      </w:tr>
    </w:tbl>
    <w:p>
      <w:pPr>
        <w:ind w:firstLineChars="0" w:firstLine="0"/>
        <w:rPr>
          <w:rFonts w:cs="Times New Roman"/>
          <w:color w:val="auto"/>
          <w:sz w:val="21"/>
          <w:szCs w:val="21"/>
          <w:highlight w:val="none"/>
        </w:rPr>
      </w:pPr>
      <w:r>
        <w:rPr>
          <w:rFonts w:cs="Times New Roman"/>
          <w:color w:val="auto"/>
          <w:sz w:val="21"/>
          <w:szCs w:val="21"/>
          <w:highlight w:val="none"/>
        </w:rPr>
        <w:t>检测人员：                审核人员：                  检测日期：</w:t>
      </w:r>
    </w:p>
    <w:p>
      <w:pPr>
        <w:ind w:firstLineChars="0" w:firstLine="0"/>
        <w:rPr>
          <w:rFonts w:eastAsia="楷体" w:cs="Times New Roman"/>
          <w:color w:val="auto"/>
          <w:highlight w:val="none"/>
        </w:rPr>
      </w:pPr>
      <w:r>
        <w:rPr>
          <w:rFonts w:eastAsia="楷体" w:cs="Times New Roman"/>
          <w:color w:val="auto"/>
          <w:highlight w:val="none"/>
        </w:rPr>
        <w:br w:type="page"/>
      </w:r>
    </w:p>
    <w:p>
      <w:pPr>
        <w:keepNext/>
        <w:keepLines/>
        <w:pageBreakBefore/>
        <w:spacing w:beforeLines="100" w:before="312"/>
        <w:ind w:firstLineChars="0" w:firstLine="0"/>
        <w:jc w:val="center"/>
        <w:outlineLvl w:val="0"/>
        <w:rPr>
          <w:rFonts w:cs="Times New Roman"/>
          <w:b/>
          <w:bCs/>
          <w:color w:val="auto"/>
          <w:kern w:val="44"/>
          <w:sz w:val="30"/>
          <w:szCs w:val="30"/>
          <w:highlight w:val="none"/>
        </w:rPr>
      </w:pPr>
      <w:bookmarkStart w:id="535" w:name="_Toc26015"/>
      <w:bookmarkStart w:id="536" w:name="_Toc15421"/>
      <w:bookmarkStart w:id="537" w:name="_Toc7250"/>
      <w:bookmarkStart w:id="538" w:name="_Toc21422"/>
      <w:r>
        <w:rPr>
          <w:rFonts w:cs="Times New Roman"/>
          <w:b/>
          <w:bCs/>
          <w:color w:val="auto"/>
          <w:kern w:val="44"/>
          <w:sz w:val="30"/>
          <w:szCs w:val="30"/>
          <w:highlight w:val="none"/>
        </w:rPr>
        <w:t>附录J</w:t>
      </w:r>
      <w:r>
        <w:rPr>
          <w:rFonts w:cs="Times New Roman" w:hint="eastAsia"/>
          <w:b/>
          <w:bCs/>
          <w:color w:val="auto"/>
          <w:kern w:val="44"/>
          <w:sz w:val="30"/>
          <w:szCs w:val="30"/>
          <w:highlight w:val="none"/>
        </w:rPr>
        <w:t>　</w:t>
      </w:r>
      <w:r>
        <w:rPr>
          <w:rFonts w:cs="Times New Roman"/>
          <w:b/>
          <w:bCs/>
          <w:color w:val="auto"/>
          <w:kern w:val="44"/>
          <w:sz w:val="30"/>
          <w:szCs w:val="30"/>
          <w:highlight w:val="none"/>
        </w:rPr>
        <w:t>非金属超声波检测记录表</w:t>
      </w:r>
      <w:bookmarkEnd w:id="535"/>
      <w:bookmarkEnd w:id="536"/>
      <w:bookmarkEnd w:id="537"/>
      <w:bookmarkEnd w:id="538"/>
    </w:p>
    <w:p>
      <w:pPr>
        <w:pStyle w:val="16"/>
        <w:rPr>
          <w:rFonts w:cs="Times New Roman"/>
          <w:color w:val="auto"/>
          <w:highlight w:val="none"/>
        </w:rPr>
      </w:pPr>
      <w:r>
        <w:rPr>
          <w:rFonts w:cs="Times New Roman"/>
          <w:color w:val="auto"/>
          <w:highlight w:val="none"/>
        </w:rPr>
        <w:t>表J</w:t>
      </w:r>
      <w:r>
        <w:rPr>
          <w:rFonts w:cs="Times New Roman" w:hint="eastAsia"/>
          <w:color w:val="auto"/>
          <w:highlight w:val="none"/>
        </w:rPr>
        <w:t>　</w:t>
      </w:r>
      <w:r>
        <w:rPr>
          <w:rFonts w:cs="Times New Roman"/>
          <w:color w:val="auto"/>
          <w:highlight w:val="none"/>
        </w:rPr>
        <w:t>非金属超声波检测记录表</w:t>
      </w:r>
    </w:p>
    <w:p>
      <w:pPr>
        <w:wordWrap w:val="0"/>
        <w:ind w:firstLineChars="0" w:firstLine="0"/>
        <w:jc w:val="right"/>
        <w:rPr>
          <w:rFonts w:eastAsia="宋体" w:cs="Times New Roman"/>
          <w:color w:val="auto"/>
          <w:sz w:val="21"/>
          <w:szCs w:val="21"/>
          <w:lang w:val="en-US" w:eastAsia="zh-CN"/>
          <w:highlight w:val="none"/>
        </w:rPr>
      </w:pPr>
      <w:r>
        <w:rPr>
          <w:rFonts w:cs="Times New Roman"/>
          <w:color w:val="auto"/>
          <w:sz w:val="21"/>
          <w:szCs w:val="21"/>
          <w:highlight w:val="none"/>
        </w:rPr>
        <w:t xml:space="preserve">委托编号：                                         </w:t>
      </w:r>
      <w:r>
        <w:rPr>
          <w:rFonts w:cs="Times New Roman" w:hint="eastAsia"/>
          <w:color w:val="auto"/>
          <w:sz w:val="21"/>
          <w:szCs w:val="21"/>
          <w:lang w:val="en-US" w:eastAsia="zh-CN"/>
          <w:highlight w:val="none"/>
        </w:rPr>
        <w:t xml:space="preserve">       </w:t>
      </w:r>
      <w:r>
        <w:rPr>
          <w:rFonts w:cs="Times New Roman"/>
          <w:color w:val="auto"/>
          <w:sz w:val="21"/>
          <w:szCs w:val="21"/>
          <w:highlight w:val="none"/>
        </w:rPr>
        <w:t xml:space="preserve"> 共   页 / 第   页</w:t>
      </w:r>
      <w:r>
        <w:rPr>
          <w:rFonts w:cs="Times New Roman" w:hint="eastAsia"/>
          <w:color w:val="auto"/>
          <w:sz w:val="21"/>
          <w:szCs w:val="21"/>
          <w:lang w:val="en-US" w:eastAsia="zh-CN"/>
          <w:highlight w:val="none"/>
        </w:rPr>
        <w:t xml:space="preserve">       </w:t>
      </w:r>
    </w:p>
    <w:tbl>
      <w:tblPr>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600" w:firstRow="0" w:lastRow="0" w:firstColumn="0" w:lastColumn="0" w:noHBand="1" w:noVBand="1"/>
      </w:tblPr>
      <w:tblGrid>
        <w:gridCol w:w="766"/>
        <w:gridCol w:w="765"/>
        <w:gridCol w:w="543"/>
        <w:gridCol w:w="222"/>
        <w:gridCol w:w="831"/>
        <w:gridCol w:w="882"/>
        <w:gridCol w:w="139"/>
        <w:gridCol w:w="847"/>
        <w:gridCol w:w="829"/>
        <w:gridCol w:w="398"/>
        <w:gridCol w:w="542"/>
        <w:gridCol w:w="766"/>
        <w:gridCol w:w="766"/>
      </w:tblGrid>
      <w:tr>
        <w:trPr>
          <w:trHeight w:val="454"/>
        </w:trPr>
        <w:tc>
          <w:tcPr>
            <w:tcW w:w="2074" w:type="dxa"/>
            <w:gridSpan w:val="3"/>
            <w:vAlign w:val="center"/>
          </w:tcPr>
          <w:p>
            <w:pPr>
              <w:pStyle w:val="38"/>
              <w:snapToGrid w:val="0"/>
              <w:spacing w:after="0" w:line="240" w:lineRule="auto"/>
              <w:ind w:firstLineChars="0" w:firstLine="0"/>
              <w:jc w:val="center"/>
              <w:rPr>
                <w:rFonts w:cs="Times New Roman"/>
                <w:color w:val="auto"/>
                <w:sz w:val="21"/>
                <w:szCs w:val="21"/>
                <w:highlight w:val="none"/>
              </w:rPr>
            </w:pPr>
            <w:r>
              <w:rPr>
                <w:rFonts w:cs="Times New Roman"/>
                <w:bCs/>
                <w:color w:val="auto"/>
                <w:sz w:val="21"/>
                <w:szCs w:val="21"/>
                <w:highlight w:val="none"/>
              </w:rPr>
              <w:t>工程名称</w:t>
            </w:r>
          </w:p>
        </w:tc>
        <w:tc>
          <w:tcPr>
            <w:tcW w:w="2074" w:type="dxa"/>
            <w:gridSpan w:val="4"/>
            <w:vAlign w:val="center"/>
          </w:tcPr>
          <w:p>
            <w:pPr>
              <w:pStyle w:val="38"/>
              <w:snapToGrid w:val="0"/>
              <w:spacing w:after="0" w:line="240" w:lineRule="auto"/>
              <w:ind w:firstLineChars="0" w:firstLine="0"/>
              <w:jc w:val="center"/>
              <w:rPr>
                <w:rFonts w:cs="Times New Roman"/>
                <w:color w:val="auto"/>
                <w:sz w:val="21"/>
                <w:szCs w:val="21"/>
                <w:highlight w:val="none"/>
              </w:rPr>
            </w:pPr>
          </w:p>
        </w:tc>
        <w:tc>
          <w:tcPr>
            <w:tcW w:w="2074" w:type="dxa"/>
            <w:gridSpan w:val="3"/>
            <w:vAlign w:val="center"/>
          </w:tcPr>
          <w:p>
            <w:pPr>
              <w:pStyle w:val="38"/>
              <w:snapToGrid w:val="0"/>
              <w:spacing w:after="0" w:line="240" w:lineRule="auto"/>
              <w:ind w:firstLineChars="0" w:firstLine="0"/>
              <w:jc w:val="center"/>
              <w:rPr>
                <w:rFonts w:cs="Times New Roman"/>
                <w:color w:val="auto"/>
                <w:sz w:val="21"/>
                <w:szCs w:val="21"/>
                <w:highlight w:val="none"/>
              </w:rPr>
            </w:pPr>
            <w:r>
              <w:rPr>
                <w:rFonts w:cs="Times New Roman"/>
                <w:bCs/>
                <w:color w:val="auto"/>
                <w:sz w:val="21"/>
                <w:szCs w:val="21"/>
                <w:highlight w:val="none"/>
              </w:rPr>
              <w:t>检测时间</w:t>
            </w:r>
          </w:p>
        </w:tc>
        <w:tc>
          <w:tcPr>
            <w:tcW w:w="2074" w:type="dxa"/>
            <w:gridSpan w:val="3"/>
            <w:vAlign w:val="center"/>
          </w:tcPr>
          <w:p>
            <w:pPr>
              <w:pStyle w:val="38"/>
              <w:snapToGrid w:val="0"/>
              <w:spacing w:after="0" w:line="240" w:lineRule="auto"/>
              <w:ind w:firstLineChars="0" w:firstLine="0"/>
              <w:jc w:val="center"/>
              <w:rPr>
                <w:rFonts w:cs="Times New Roman"/>
                <w:color w:val="auto"/>
                <w:sz w:val="21"/>
                <w:szCs w:val="21"/>
                <w:highlight w:val="none"/>
              </w:rPr>
            </w:pPr>
          </w:p>
        </w:tc>
      </w:tr>
      <w:tr>
        <w:trPr>
          <w:trHeight w:val="454"/>
        </w:trPr>
        <w:tc>
          <w:tcPr>
            <w:tcW w:w="2074" w:type="dxa"/>
            <w:gridSpan w:val="3"/>
            <w:vAlign w:val="center"/>
          </w:tcPr>
          <w:p>
            <w:pPr>
              <w:pStyle w:val="38"/>
              <w:snapToGrid w:val="0"/>
              <w:spacing w:after="0" w:line="240" w:lineRule="auto"/>
              <w:ind w:firstLineChars="0" w:firstLine="0"/>
              <w:jc w:val="center"/>
              <w:rPr>
                <w:rFonts w:cs="Times New Roman"/>
                <w:color w:val="auto"/>
                <w:sz w:val="21"/>
                <w:szCs w:val="21"/>
                <w:highlight w:val="none"/>
              </w:rPr>
            </w:pPr>
            <w:r>
              <w:rPr>
                <w:rFonts w:cs="Times New Roman"/>
                <w:bCs/>
                <w:color w:val="auto"/>
                <w:sz w:val="21"/>
                <w:szCs w:val="21"/>
                <w:highlight w:val="none"/>
              </w:rPr>
              <w:t>检测方法</w:t>
            </w:r>
          </w:p>
        </w:tc>
        <w:tc>
          <w:tcPr>
            <w:tcW w:w="2074" w:type="dxa"/>
            <w:gridSpan w:val="4"/>
            <w:vAlign w:val="center"/>
          </w:tcPr>
          <w:p>
            <w:pPr>
              <w:pStyle w:val="38"/>
              <w:snapToGrid w:val="0"/>
              <w:spacing w:after="0" w:line="240" w:lineRule="auto"/>
              <w:ind w:firstLineChars="0" w:firstLine="0"/>
              <w:jc w:val="center"/>
              <w:rPr>
                <w:rFonts w:cs="Times New Roman"/>
                <w:color w:val="auto"/>
                <w:sz w:val="21"/>
                <w:szCs w:val="21"/>
                <w:highlight w:val="none"/>
              </w:rPr>
            </w:pPr>
          </w:p>
        </w:tc>
        <w:tc>
          <w:tcPr>
            <w:tcW w:w="2074" w:type="dxa"/>
            <w:gridSpan w:val="3"/>
            <w:vAlign w:val="center"/>
          </w:tcPr>
          <w:p>
            <w:pPr>
              <w:pStyle w:val="38"/>
              <w:snapToGrid w:val="0"/>
              <w:spacing w:after="0" w:line="240" w:lineRule="auto"/>
              <w:ind w:firstLineChars="0" w:firstLine="0"/>
              <w:jc w:val="center"/>
              <w:rPr>
                <w:rFonts w:cs="Times New Roman"/>
                <w:color w:val="auto"/>
                <w:sz w:val="21"/>
                <w:szCs w:val="21"/>
                <w:highlight w:val="none"/>
              </w:rPr>
            </w:pPr>
            <w:r>
              <w:rPr>
                <w:rFonts w:cs="Times New Roman"/>
                <w:bCs/>
                <w:color w:val="auto"/>
                <w:sz w:val="21"/>
                <w:szCs w:val="21"/>
                <w:highlight w:val="none"/>
              </w:rPr>
              <w:t>执行标准</w:t>
            </w:r>
          </w:p>
        </w:tc>
        <w:tc>
          <w:tcPr>
            <w:tcW w:w="2074" w:type="dxa"/>
            <w:gridSpan w:val="3"/>
            <w:vAlign w:val="center"/>
          </w:tcPr>
          <w:p>
            <w:pPr>
              <w:pStyle w:val="38"/>
              <w:snapToGrid w:val="0"/>
              <w:spacing w:after="0" w:line="240" w:lineRule="auto"/>
              <w:ind w:firstLineChars="0" w:firstLine="0"/>
              <w:jc w:val="center"/>
              <w:rPr>
                <w:rFonts w:cs="Times New Roman"/>
                <w:color w:val="auto"/>
                <w:sz w:val="21"/>
                <w:szCs w:val="21"/>
                <w:highlight w:val="none"/>
              </w:rPr>
            </w:pPr>
          </w:p>
        </w:tc>
      </w:tr>
      <w:tr>
        <w:trPr>
          <w:trHeight w:val="454"/>
        </w:trPr>
        <w:tc>
          <w:tcPr>
            <w:tcW w:w="2074" w:type="dxa"/>
            <w:gridSpan w:val="3"/>
            <w:vAlign w:val="center"/>
          </w:tcPr>
          <w:p>
            <w:pPr>
              <w:pStyle w:val="38"/>
              <w:snapToGrid w:val="0"/>
              <w:spacing w:after="0" w:line="240" w:lineRule="auto"/>
              <w:ind w:firstLineChars="0" w:firstLine="0"/>
              <w:jc w:val="center"/>
              <w:rPr>
                <w:rFonts w:cs="Times New Roman"/>
                <w:color w:val="auto"/>
                <w:sz w:val="21"/>
                <w:szCs w:val="21"/>
                <w:highlight w:val="none"/>
              </w:rPr>
            </w:pPr>
            <w:r>
              <w:rPr>
                <w:rFonts w:cs="Times New Roman"/>
                <w:bCs/>
                <w:color w:val="auto"/>
                <w:sz w:val="21"/>
                <w:szCs w:val="21"/>
                <w:highlight w:val="none"/>
              </w:rPr>
              <w:t>仪器型号</w:t>
            </w:r>
          </w:p>
        </w:tc>
        <w:tc>
          <w:tcPr>
            <w:tcW w:w="2074" w:type="dxa"/>
            <w:gridSpan w:val="4"/>
            <w:vAlign w:val="center"/>
          </w:tcPr>
          <w:p>
            <w:pPr>
              <w:pStyle w:val="38"/>
              <w:snapToGrid w:val="0"/>
              <w:spacing w:after="0" w:line="240" w:lineRule="auto"/>
              <w:ind w:firstLineChars="0" w:firstLine="0"/>
              <w:jc w:val="center"/>
              <w:rPr>
                <w:rFonts w:cs="Times New Roman"/>
                <w:color w:val="auto"/>
                <w:sz w:val="21"/>
                <w:szCs w:val="21"/>
                <w:highlight w:val="none"/>
              </w:rPr>
            </w:pPr>
          </w:p>
        </w:tc>
        <w:tc>
          <w:tcPr>
            <w:tcW w:w="2074" w:type="dxa"/>
            <w:gridSpan w:val="3"/>
            <w:vAlign w:val="center"/>
          </w:tcPr>
          <w:p>
            <w:pPr>
              <w:pStyle w:val="38"/>
              <w:snapToGrid w:val="0"/>
              <w:spacing w:after="0" w:line="240" w:lineRule="auto"/>
              <w:ind w:firstLineChars="0" w:firstLine="0"/>
              <w:jc w:val="center"/>
              <w:rPr>
                <w:rFonts w:cs="Times New Roman"/>
                <w:color w:val="auto"/>
                <w:sz w:val="21"/>
                <w:szCs w:val="21"/>
                <w:highlight w:val="none"/>
              </w:rPr>
            </w:pPr>
            <w:r>
              <w:rPr>
                <w:rFonts w:cs="Times New Roman"/>
                <w:bCs/>
                <w:color w:val="auto"/>
                <w:sz w:val="21"/>
                <w:szCs w:val="21"/>
                <w:highlight w:val="none"/>
              </w:rPr>
              <w:t>换能器规格</w:t>
            </w:r>
          </w:p>
        </w:tc>
        <w:tc>
          <w:tcPr>
            <w:tcW w:w="2074" w:type="dxa"/>
            <w:gridSpan w:val="3"/>
            <w:vAlign w:val="center"/>
          </w:tcPr>
          <w:p>
            <w:pPr>
              <w:pStyle w:val="38"/>
              <w:snapToGrid w:val="0"/>
              <w:spacing w:after="0" w:line="240" w:lineRule="auto"/>
              <w:ind w:firstLineChars="0" w:firstLine="0"/>
              <w:jc w:val="center"/>
              <w:rPr>
                <w:rFonts w:cs="Times New Roman"/>
                <w:color w:val="auto"/>
                <w:sz w:val="21"/>
                <w:szCs w:val="21"/>
                <w:highlight w:val="none"/>
              </w:rPr>
            </w:pPr>
          </w:p>
        </w:tc>
      </w:tr>
      <w:tr>
        <w:trPr>
          <w:trHeight w:val="454"/>
        </w:trPr>
        <w:tc>
          <w:tcPr>
            <w:tcW w:w="2074" w:type="dxa"/>
            <w:gridSpan w:val="3"/>
            <w:vAlign w:val="center"/>
          </w:tcPr>
          <w:p>
            <w:pPr>
              <w:pStyle w:val="38"/>
              <w:snapToGrid w:val="0"/>
              <w:spacing w:after="0" w:line="240" w:lineRule="auto"/>
              <w:ind w:firstLineChars="0" w:firstLine="0"/>
              <w:jc w:val="center"/>
              <w:rPr>
                <w:rFonts w:cs="Times New Roman"/>
                <w:color w:val="auto"/>
                <w:sz w:val="21"/>
                <w:szCs w:val="21"/>
                <w:highlight w:val="none"/>
              </w:rPr>
            </w:pPr>
            <w:r>
              <w:rPr>
                <w:rFonts w:cs="Times New Roman"/>
                <w:color w:val="auto"/>
                <w:sz w:val="21"/>
                <w:szCs w:val="21"/>
                <w:highlight w:val="none"/>
              </w:rPr>
              <w:t>检测频率</w:t>
            </w:r>
          </w:p>
        </w:tc>
        <w:tc>
          <w:tcPr>
            <w:tcW w:w="2074" w:type="dxa"/>
            <w:gridSpan w:val="4"/>
            <w:vAlign w:val="center"/>
          </w:tcPr>
          <w:p>
            <w:pPr>
              <w:pStyle w:val="38"/>
              <w:snapToGrid w:val="0"/>
              <w:spacing w:after="0" w:line="240" w:lineRule="auto"/>
              <w:ind w:firstLineChars="0" w:firstLine="0"/>
              <w:jc w:val="center"/>
              <w:rPr>
                <w:rFonts w:cs="Times New Roman"/>
                <w:color w:val="auto"/>
                <w:sz w:val="21"/>
                <w:szCs w:val="21"/>
                <w:highlight w:val="none"/>
              </w:rPr>
            </w:pPr>
          </w:p>
        </w:tc>
        <w:tc>
          <w:tcPr>
            <w:tcW w:w="2074" w:type="dxa"/>
            <w:gridSpan w:val="3"/>
            <w:vAlign w:val="center"/>
          </w:tcPr>
          <w:p>
            <w:pPr>
              <w:pStyle w:val="38"/>
              <w:snapToGrid w:val="0"/>
              <w:spacing w:after="0" w:line="240" w:lineRule="auto"/>
              <w:ind w:firstLineChars="0" w:firstLine="0"/>
              <w:jc w:val="center"/>
              <w:rPr>
                <w:rFonts w:cs="Times New Roman"/>
                <w:color w:val="auto"/>
                <w:sz w:val="21"/>
                <w:szCs w:val="21"/>
                <w:highlight w:val="none"/>
              </w:rPr>
            </w:pPr>
            <w:r>
              <w:rPr>
                <w:rFonts w:cs="Times New Roman"/>
                <w:color w:val="auto"/>
                <w:sz w:val="21"/>
                <w:szCs w:val="21"/>
                <w:highlight w:val="none"/>
              </w:rPr>
              <w:t>检测环境</w:t>
            </w:r>
          </w:p>
        </w:tc>
        <w:tc>
          <w:tcPr>
            <w:tcW w:w="2074" w:type="dxa"/>
            <w:gridSpan w:val="3"/>
            <w:vAlign w:val="center"/>
          </w:tcPr>
          <w:p>
            <w:pPr>
              <w:pStyle w:val="38"/>
              <w:snapToGrid w:val="0"/>
              <w:spacing w:after="0" w:line="240" w:lineRule="auto"/>
              <w:ind w:firstLineChars="0" w:firstLine="0"/>
              <w:jc w:val="center"/>
              <w:rPr>
                <w:rFonts w:cs="Times New Roman"/>
                <w:color w:val="auto"/>
                <w:sz w:val="21"/>
                <w:szCs w:val="21"/>
                <w:highlight w:val="none"/>
              </w:rPr>
            </w:pPr>
          </w:p>
        </w:tc>
      </w:tr>
      <w:tr>
        <w:trPr>
          <w:trHeight w:val="567"/>
        </w:trPr>
        <w:tc>
          <w:tcPr>
            <w:tcW w:w="766" w:type="dxa"/>
            <w:vAlign w:val="center"/>
          </w:tcPr>
          <w:p>
            <w:pPr>
              <w:pStyle w:val="38"/>
              <w:snapToGrid w:val="0"/>
              <w:spacing w:after="0" w:line="240" w:lineRule="auto"/>
              <w:ind w:firstLineChars="0" w:firstLine="0"/>
              <w:jc w:val="center"/>
              <w:rPr>
                <w:rFonts w:cs="Times New Roman"/>
                <w:color w:val="auto"/>
                <w:sz w:val="21"/>
                <w:szCs w:val="21"/>
                <w:highlight w:val="none"/>
              </w:rPr>
            </w:pPr>
            <w:r>
              <w:rPr>
                <w:rFonts w:cs="Times New Roman"/>
                <w:bCs/>
                <w:color w:val="auto"/>
                <w:sz w:val="21"/>
                <w:szCs w:val="21"/>
                <w:highlight w:val="none"/>
              </w:rPr>
              <w:t>序号</w:t>
            </w:r>
          </w:p>
        </w:tc>
        <w:tc>
          <w:tcPr>
            <w:tcW w:w="765" w:type="dxa"/>
            <w:vAlign w:val="center"/>
          </w:tcPr>
          <w:p>
            <w:pPr>
              <w:snapToGrid w:val="0"/>
              <w:spacing w:line="240" w:lineRule="auto"/>
              <w:ind w:firstLineChars="0" w:firstLine="0"/>
              <w:jc w:val="center"/>
              <w:textAlignment w:val="auto"/>
              <w:rPr>
                <w:rFonts w:cs="Times New Roman"/>
                <w:bCs/>
                <w:color w:val="auto"/>
                <w:sz w:val="21"/>
                <w:szCs w:val="21"/>
                <w:highlight w:val="none"/>
              </w:rPr>
            </w:pPr>
            <w:r>
              <w:rPr>
                <w:rFonts w:cs="Times New Roman"/>
                <w:bCs/>
                <w:color w:val="auto"/>
                <w:sz w:val="21"/>
                <w:szCs w:val="21"/>
                <w:highlight w:val="none"/>
              </w:rPr>
              <w:t>构件</w:t>
            </w:r>
          </w:p>
          <w:p>
            <w:pPr>
              <w:pStyle w:val="38"/>
              <w:snapToGrid w:val="0"/>
              <w:spacing w:after="0" w:line="240" w:lineRule="auto"/>
              <w:ind w:firstLineChars="0" w:firstLine="0"/>
              <w:jc w:val="center"/>
              <w:rPr>
                <w:rFonts w:cs="Times New Roman"/>
                <w:color w:val="auto"/>
                <w:sz w:val="21"/>
                <w:szCs w:val="21"/>
                <w:highlight w:val="none"/>
              </w:rPr>
            </w:pPr>
            <w:r>
              <w:rPr>
                <w:rFonts w:cs="Times New Roman"/>
                <w:bCs/>
                <w:color w:val="auto"/>
                <w:sz w:val="21"/>
                <w:szCs w:val="21"/>
                <w:highlight w:val="none"/>
              </w:rPr>
              <w:t>编号</w:t>
            </w:r>
          </w:p>
        </w:tc>
        <w:tc>
          <w:tcPr>
            <w:tcW w:w="765" w:type="dxa"/>
            <w:gridSpan w:val="2"/>
            <w:vAlign w:val="center"/>
          </w:tcPr>
          <w:p>
            <w:pPr>
              <w:snapToGrid w:val="0"/>
              <w:spacing w:line="240" w:lineRule="auto"/>
              <w:ind w:firstLineChars="0" w:firstLine="0"/>
              <w:jc w:val="center"/>
              <w:textAlignment w:val="auto"/>
              <w:rPr>
                <w:rFonts w:cs="Times New Roman"/>
                <w:bCs/>
                <w:color w:val="auto"/>
                <w:sz w:val="21"/>
                <w:szCs w:val="21"/>
                <w:highlight w:val="none"/>
              </w:rPr>
            </w:pPr>
            <w:r>
              <w:rPr>
                <w:rFonts w:cs="Times New Roman"/>
                <w:bCs/>
                <w:color w:val="auto"/>
                <w:sz w:val="21"/>
                <w:szCs w:val="21"/>
                <w:highlight w:val="none"/>
              </w:rPr>
              <w:t>测点</w:t>
            </w:r>
          </w:p>
          <w:p>
            <w:pPr>
              <w:pStyle w:val="38"/>
              <w:snapToGrid w:val="0"/>
              <w:spacing w:after="0" w:line="240" w:lineRule="auto"/>
              <w:ind w:firstLineChars="0" w:firstLine="0"/>
              <w:jc w:val="center"/>
              <w:rPr>
                <w:rFonts w:cs="Times New Roman"/>
                <w:color w:val="auto"/>
                <w:sz w:val="21"/>
                <w:szCs w:val="21"/>
                <w:highlight w:val="none"/>
              </w:rPr>
            </w:pPr>
            <w:r>
              <w:rPr>
                <w:rFonts w:cs="Times New Roman"/>
                <w:bCs/>
                <w:color w:val="auto"/>
                <w:sz w:val="21"/>
                <w:szCs w:val="21"/>
                <w:highlight w:val="none"/>
              </w:rPr>
              <w:t>编号</w:t>
            </w:r>
          </w:p>
        </w:tc>
        <w:tc>
          <w:tcPr>
            <w:tcW w:w="831" w:type="dxa"/>
            <w:vAlign w:val="center"/>
          </w:tcPr>
          <w:p>
            <w:pPr>
              <w:snapToGrid w:val="0"/>
              <w:spacing w:line="240" w:lineRule="auto"/>
              <w:ind w:firstLineChars="0" w:firstLine="0"/>
              <w:jc w:val="center"/>
              <w:textAlignment w:val="auto"/>
              <w:rPr>
                <w:rFonts w:cs="Times New Roman"/>
                <w:bCs/>
                <w:color w:val="auto"/>
                <w:sz w:val="21"/>
                <w:szCs w:val="21"/>
                <w:highlight w:val="none"/>
              </w:rPr>
            </w:pPr>
            <w:r>
              <w:rPr>
                <w:rFonts w:cs="Times New Roman"/>
                <w:bCs/>
                <w:color w:val="auto"/>
                <w:sz w:val="21"/>
                <w:szCs w:val="21"/>
                <w:highlight w:val="none"/>
              </w:rPr>
              <w:t>声时</w:t>
            </w:r>
          </w:p>
          <w:p>
            <w:pPr>
              <w:pStyle w:val="38"/>
              <w:snapToGrid w:val="0"/>
              <w:spacing w:after="0" w:line="240" w:lineRule="auto"/>
              <w:ind w:firstLineChars="0" w:firstLine="0"/>
              <w:jc w:val="center"/>
              <w:rPr>
                <w:rFonts w:cs="Times New Roman"/>
                <w:color w:val="auto"/>
                <w:sz w:val="21"/>
                <w:szCs w:val="21"/>
                <w:highlight w:val="none"/>
              </w:rPr>
            </w:pPr>
            <w:r>
              <w:rPr>
                <w:rFonts w:cs="Times New Roman"/>
                <w:bCs/>
                <w:color w:val="auto"/>
                <w:sz w:val="21"/>
                <w:szCs w:val="21"/>
                <w:highlight w:val="none"/>
              </w:rPr>
              <w:t>（</w:t>
            </w:r>
            <w:r>
              <w:rPr>
                <w:rFonts w:cs="Times New Roman"/>
                <w:color w:val="auto"/>
                <w:kern w:val="0"/>
                <w:sz w:val="21"/>
                <w:szCs w:val="21"/>
                <w:highlight w:val="none"/>
              </w:rPr>
              <w:t>μs</w:t>
            </w:r>
            <w:r>
              <w:rPr>
                <w:rFonts w:cs="Times New Roman"/>
                <w:bCs/>
                <w:color w:val="auto"/>
                <w:sz w:val="21"/>
                <w:szCs w:val="21"/>
                <w:highlight w:val="none"/>
              </w:rPr>
              <w:t>）</w:t>
            </w:r>
          </w:p>
        </w:tc>
        <w:tc>
          <w:tcPr>
            <w:tcW w:w="882" w:type="dxa"/>
            <w:vAlign w:val="center"/>
          </w:tcPr>
          <w:p>
            <w:pPr>
              <w:snapToGrid w:val="0"/>
              <w:spacing w:line="240" w:lineRule="auto"/>
              <w:ind w:firstLineChars="0" w:firstLine="0"/>
              <w:jc w:val="center"/>
              <w:textAlignment w:val="auto"/>
              <w:rPr>
                <w:rFonts w:cs="Times New Roman"/>
                <w:bCs/>
                <w:color w:val="auto"/>
                <w:sz w:val="21"/>
                <w:szCs w:val="21"/>
                <w:highlight w:val="none"/>
              </w:rPr>
            </w:pPr>
            <w:r>
              <w:rPr>
                <w:rFonts w:cs="Times New Roman"/>
                <w:bCs/>
                <w:color w:val="auto"/>
                <w:sz w:val="21"/>
                <w:szCs w:val="21"/>
                <w:highlight w:val="none"/>
              </w:rPr>
              <w:t>波幅</w:t>
            </w:r>
          </w:p>
          <w:p>
            <w:pPr>
              <w:pStyle w:val="38"/>
              <w:snapToGrid w:val="0"/>
              <w:spacing w:after="0" w:line="240" w:lineRule="auto"/>
              <w:ind w:firstLineChars="0" w:firstLine="0"/>
              <w:jc w:val="center"/>
              <w:rPr>
                <w:rFonts w:cs="Times New Roman"/>
                <w:color w:val="auto"/>
                <w:sz w:val="21"/>
                <w:szCs w:val="21"/>
                <w:highlight w:val="none"/>
              </w:rPr>
            </w:pPr>
            <w:r>
              <w:rPr>
                <w:rFonts w:cs="Times New Roman"/>
                <w:bCs/>
                <w:color w:val="auto"/>
                <w:sz w:val="21"/>
                <w:szCs w:val="21"/>
                <w:highlight w:val="none"/>
              </w:rPr>
              <w:t>（</w:t>
            </w:r>
            <w:r>
              <w:rPr>
                <w:rFonts w:cs="Times New Roman"/>
                <w:color w:val="auto"/>
                <w:kern w:val="0"/>
                <w:sz w:val="21"/>
                <w:szCs w:val="21"/>
                <w:highlight w:val="none"/>
              </w:rPr>
              <w:t>dB</w:t>
            </w:r>
            <w:r>
              <w:rPr>
                <w:rFonts w:cs="Times New Roman"/>
                <w:bCs/>
                <w:color w:val="auto"/>
                <w:sz w:val="21"/>
                <w:szCs w:val="21"/>
                <w:highlight w:val="none"/>
              </w:rPr>
              <w:t>）</w:t>
            </w:r>
          </w:p>
        </w:tc>
        <w:tc>
          <w:tcPr>
            <w:tcW w:w="986" w:type="dxa"/>
            <w:gridSpan w:val="2"/>
            <w:vAlign w:val="center"/>
          </w:tcPr>
          <w:p>
            <w:pPr>
              <w:pStyle w:val="38"/>
              <w:snapToGrid w:val="0"/>
              <w:spacing w:after="0" w:line="240" w:lineRule="auto"/>
              <w:ind w:firstLineChars="0" w:firstLine="0"/>
              <w:jc w:val="center"/>
              <w:rPr>
                <w:rFonts w:cs="Times New Roman"/>
                <w:color w:val="auto"/>
                <w:sz w:val="21"/>
                <w:szCs w:val="21"/>
                <w:highlight w:val="none"/>
              </w:rPr>
            </w:pPr>
            <w:r>
              <w:rPr>
                <w:rFonts w:cs="Times New Roman"/>
                <w:bCs/>
                <w:color w:val="auto"/>
                <w:sz w:val="21"/>
                <w:szCs w:val="21"/>
                <w:highlight w:val="none"/>
              </w:rPr>
              <w:t>主频（</w:t>
            </w:r>
            <w:r>
              <w:rPr>
                <w:rFonts w:cs="Times New Roman"/>
                <w:color w:val="auto"/>
                <w:kern w:val="0"/>
                <w:sz w:val="21"/>
                <w:szCs w:val="21"/>
                <w:highlight w:val="none"/>
              </w:rPr>
              <w:t>kHz</w:t>
            </w:r>
            <w:r>
              <w:rPr>
                <w:rFonts w:cs="Times New Roman"/>
                <w:bCs/>
                <w:color w:val="auto"/>
                <w:sz w:val="21"/>
                <w:szCs w:val="21"/>
                <w:highlight w:val="none"/>
              </w:rPr>
              <w:t>）</w:t>
            </w:r>
          </w:p>
        </w:tc>
        <w:tc>
          <w:tcPr>
            <w:tcW w:w="829" w:type="dxa"/>
            <w:vAlign w:val="center"/>
          </w:tcPr>
          <w:p>
            <w:pPr>
              <w:snapToGrid w:val="0"/>
              <w:spacing w:line="240" w:lineRule="auto"/>
              <w:ind w:firstLineChars="0" w:firstLine="0"/>
              <w:jc w:val="center"/>
              <w:textAlignment w:val="auto"/>
              <w:rPr>
                <w:rFonts w:cs="Times New Roman"/>
                <w:bCs/>
                <w:color w:val="auto"/>
                <w:sz w:val="21"/>
                <w:szCs w:val="21"/>
                <w:highlight w:val="none"/>
              </w:rPr>
            </w:pPr>
            <w:r>
              <w:rPr>
                <w:rFonts w:cs="Times New Roman"/>
                <w:bCs/>
                <w:color w:val="auto"/>
                <w:sz w:val="21"/>
                <w:szCs w:val="21"/>
                <w:highlight w:val="none"/>
              </w:rPr>
              <w:t>测距</w:t>
            </w:r>
          </w:p>
          <w:p>
            <w:pPr>
              <w:pStyle w:val="38"/>
              <w:snapToGrid w:val="0"/>
              <w:spacing w:after="0" w:line="240" w:lineRule="auto"/>
              <w:ind w:firstLineChars="0" w:firstLine="0"/>
              <w:jc w:val="center"/>
              <w:rPr>
                <w:rFonts w:cs="Times New Roman"/>
                <w:color w:val="auto"/>
                <w:sz w:val="21"/>
                <w:szCs w:val="21"/>
                <w:highlight w:val="none"/>
              </w:rPr>
            </w:pPr>
            <w:r>
              <w:rPr>
                <w:rFonts w:cs="Times New Roman"/>
                <w:bCs/>
                <w:color w:val="auto"/>
                <w:sz w:val="21"/>
                <w:szCs w:val="21"/>
                <w:highlight w:val="none"/>
              </w:rPr>
              <w:t>（mm)</w:t>
            </w:r>
          </w:p>
        </w:tc>
        <w:tc>
          <w:tcPr>
            <w:tcW w:w="940" w:type="dxa"/>
            <w:gridSpan w:val="2"/>
            <w:vAlign w:val="center"/>
          </w:tcPr>
          <w:p>
            <w:pPr>
              <w:pStyle w:val="38"/>
              <w:snapToGrid w:val="0"/>
              <w:spacing w:after="0" w:line="240" w:lineRule="auto"/>
              <w:ind w:firstLineChars="0" w:firstLine="0"/>
              <w:jc w:val="center"/>
              <w:rPr>
                <w:rFonts w:cs="Times New Roman"/>
                <w:color w:val="auto"/>
                <w:sz w:val="21"/>
                <w:szCs w:val="21"/>
                <w:highlight w:val="none"/>
              </w:rPr>
            </w:pPr>
            <w:r>
              <w:rPr>
                <w:rFonts w:cs="Times New Roman"/>
                <w:bCs/>
                <w:color w:val="auto"/>
                <w:sz w:val="21"/>
                <w:szCs w:val="21"/>
                <w:highlight w:val="none"/>
              </w:rPr>
              <w:t>声速（m/s）</w:t>
            </w:r>
          </w:p>
        </w:tc>
        <w:tc>
          <w:tcPr>
            <w:tcW w:w="766" w:type="dxa"/>
            <w:vAlign w:val="center"/>
          </w:tcPr>
          <w:p>
            <w:pPr>
              <w:pStyle w:val="38"/>
              <w:snapToGrid w:val="0"/>
              <w:spacing w:after="0" w:line="240" w:lineRule="auto"/>
              <w:ind w:firstLineChars="0" w:firstLine="0"/>
              <w:jc w:val="center"/>
              <w:rPr>
                <w:rFonts w:cs="Times New Roman"/>
                <w:color w:val="auto"/>
                <w:sz w:val="21"/>
                <w:szCs w:val="21"/>
                <w:highlight w:val="none"/>
              </w:rPr>
            </w:pPr>
            <w:r>
              <w:rPr>
                <w:rFonts w:cs="Times New Roman"/>
                <w:color w:val="auto"/>
                <w:sz w:val="21"/>
                <w:szCs w:val="21"/>
                <w:highlight w:val="none"/>
              </w:rPr>
              <w:t>是否异常</w:t>
            </w:r>
          </w:p>
        </w:tc>
        <w:tc>
          <w:tcPr>
            <w:tcW w:w="766" w:type="dxa"/>
            <w:vAlign w:val="center"/>
          </w:tcPr>
          <w:p>
            <w:pPr>
              <w:pStyle w:val="38"/>
              <w:snapToGrid w:val="0"/>
              <w:spacing w:after="0" w:line="240" w:lineRule="auto"/>
              <w:ind w:firstLineChars="0" w:firstLine="0"/>
              <w:jc w:val="center"/>
              <w:rPr>
                <w:rFonts w:cs="Times New Roman"/>
                <w:color w:val="auto"/>
                <w:sz w:val="21"/>
                <w:szCs w:val="21"/>
                <w:highlight w:val="none"/>
              </w:rPr>
            </w:pPr>
            <w:r>
              <w:rPr>
                <w:rFonts w:cs="Times New Roman"/>
                <w:color w:val="auto"/>
                <w:sz w:val="21"/>
                <w:szCs w:val="21"/>
                <w:highlight w:val="none"/>
              </w:rPr>
              <w:t>备注</w:t>
            </w:r>
          </w:p>
        </w:tc>
      </w:tr>
      <w:tr>
        <w:trPr>
          <w:trHeight w:val="454"/>
        </w:trPr>
        <w:tc>
          <w:tcPr>
            <w:tcW w:w="766"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765"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765" w:type="dxa"/>
            <w:gridSpan w:val="2"/>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831"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882"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986" w:type="dxa"/>
            <w:gridSpan w:val="2"/>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829"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940" w:type="dxa"/>
            <w:gridSpan w:val="2"/>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766"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766"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r>
      <w:tr>
        <w:trPr>
          <w:trHeight w:val="454"/>
        </w:trPr>
        <w:tc>
          <w:tcPr>
            <w:tcW w:w="766"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765"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765" w:type="dxa"/>
            <w:gridSpan w:val="2"/>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831"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882"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986" w:type="dxa"/>
            <w:gridSpan w:val="2"/>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829"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940" w:type="dxa"/>
            <w:gridSpan w:val="2"/>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766"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766"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r>
      <w:tr>
        <w:trPr>
          <w:trHeight w:val="454"/>
        </w:trPr>
        <w:tc>
          <w:tcPr>
            <w:tcW w:w="766"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765"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765" w:type="dxa"/>
            <w:gridSpan w:val="2"/>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831"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882"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986" w:type="dxa"/>
            <w:gridSpan w:val="2"/>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829"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940" w:type="dxa"/>
            <w:gridSpan w:val="2"/>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766"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766"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r>
      <w:tr>
        <w:trPr>
          <w:trHeight w:val="454"/>
        </w:trPr>
        <w:tc>
          <w:tcPr>
            <w:tcW w:w="766"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765"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765" w:type="dxa"/>
            <w:gridSpan w:val="2"/>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831"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882"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986" w:type="dxa"/>
            <w:gridSpan w:val="2"/>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829"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940" w:type="dxa"/>
            <w:gridSpan w:val="2"/>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766"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766"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r>
      <w:tr>
        <w:trPr>
          <w:trHeight w:val="454"/>
        </w:trPr>
        <w:tc>
          <w:tcPr>
            <w:tcW w:w="766"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765"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765" w:type="dxa"/>
            <w:gridSpan w:val="2"/>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831"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882"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986" w:type="dxa"/>
            <w:gridSpan w:val="2"/>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829"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940" w:type="dxa"/>
            <w:gridSpan w:val="2"/>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766"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766"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r>
      <w:tr>
        <w:trPr>
          <w:trHeight w:val="454"/>
        </w:trPr>
        <w:tc>
          <w:tcPr>
            <w:tcW w:w="766"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765"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765" w:type="dxa"/>
            <w:gridSpan w:val="2"/>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831"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882"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986" w:type="dxa"/>
            <w:gridSpan w:val="2"/>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829"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940" w:type="dxa"/>
            <w:gridSpan w:val="2"/>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766"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766"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r>
      <w:tr>
        <w:trPr>
          <w:trHeight w:val="454"/>
        </w:trPr>
        <w:tc>
          <w:tcPr>
            <w:tcW w:w="766"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765"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765" w:type="dxa"/>
            <w:gridSpan w:val="2"/>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831"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882"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986" w:type="dxa"/>
            <w:gridSpan w:val="2"/>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829"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940" w:type="dxa"/>
            <w:gridSpan w:val="2"/>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766"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766"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r>
      <w:tr>
        <w:trPr>
          <w:trHeight w:val="454"/>
        </w:trPr>
        <w:tc>
          <w:tcPr>
            <w:tcW w:w="766"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765"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765" w:type="dxa"/>
            <w:gridSpan w:val="2"/>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831"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882"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986" w:type="dxa"/>
            <w:gridSpan w:val="2"/>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829"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940" w:type="dxa"/>
            <w:gridSpan w:val="2"/>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766"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c>
          <w:tcPr>
            <w:tcW w:w="766" w:type="dxa"/>
            <w:vAlign w:val="center"/>
          </w:tcPr>
          <w:p>
            <w:pPr>
              <w:pStyle w:val="38"/>
              <w:snapToGrid w:val="0"/>
              <w:spacing w:after="0" w:line="240" w:lineRule="auto"/>
              <w:ind w:firstLineChars="0" w:firstLine="0"/>
              <w:jc w:val="center"/>
              <w:rPr>
                <w:rFonts w:cs="Times New Roman"/>
                <w:bCs/>
                <w:color w:val="auto"/>
                <w:sz w:val="21"/>
                <w:szCs w:val="21"/>
                <w:highlight w:val="none"/>
              </w:rPr>
            </w:pPr>
          </w:p>
        </w:tc>
      </w:tr>
      <w:tr>
        <w:trPr>
          <w:trHeight w:val="918"/>
        </w:trPr>
        <w:tc>
          <w:tcPr>
            <w:tcW w:w="766" w:type="dxa"/>
            <w:tcBorders>
              <w:bottom w:val="single" w:sz="4" w:space="0" w:color="000000"/>
            </w:tcBorders>
            <w:vAlign w:val="center"/>
          </w:tcPr>
          <w:p>
            <w:pPr>
              <w:pStyle w:val="38"/>
              <w:snapToGrid w:val="0"/>
              <w:spacing w:line="240" w:lineRule="auto"/>
              <w:ind w:firstLineChars="0" w:firstLine="0"/>
              <w:jc w:val="center"/>
              <w:rPr>
                <w:rFonts w:cs="Times New Roman"/>
                <w:bCs/>
                <w:color w:val="auto"/>
                <w:sz w:val="21"/>
                <w:szCs w:val="21"/>
                <w:highlight w:val="none"/>
              </w:rPr>
            </w:pPr>
            <w:r>
              <w:rPr>
                <w:rFonts w:cs="Times New Roman"/>
                <w:bCs/>
                <w:color w:val="auto"/>
                <w:sz w:val="21"/>
                <w:szCs w:val="21"/>
                <w:highlight w:val="none"/>
              </w:rPr>
              <w:t>检测</w:t>
            </w:r>
          </w:p>
          <w:p>
            <w:pPr>
              <w:pStyle w:val="38"/>
              <w:snapToGrid w:val="0"/>
              <w:spacing w:after="0" w:line="240" w:lineRule="auto"/>
              <w:ind w:firstLineChars="0" w:firstLine="0"/>
              <w:jc w:val="center"/>
              <w:rPr>
                <w:rFonts w:cs="Times New Roman"/>
                <w:bCs/>
                <w:color w:val="auto"/>
                <w:sz w:val="21"/>
                <w:szCs w:val="21"/>
                <w:highlight w:val="none"/>
              </w:rPr>
            </w:pPr>
            <w:r>
              <w:rPr>
                <w:rFonts w:cs="Times New Roman"/>
                <w:bCs/>
                <w:color w:val="auto"/>
                <w:sz w:val="21"/>
                <w:szCs w:val="21"/>
                <w:highlight w:val="none"/>
              </w:rPr>
              <w:t>结论</w:t>
            </w:r>
          </w:p>
        </w:tc>
        <w:tc>
          <w:tcPr>
            <w:tcW w:w="7530" w:type="dxa"/>
            <w:gridSpan w:val="12"/>
            <w:tcBorders>
              <w:bottom w:val="single" w:sz="4" w:space="0" w:color="000000"/>
            </w:tcBorders>
            <w:vAlign w:val="center"/>
          </w:tcPr>
          <w:p>
            <w:pPr>
              <w:pStyle w:val="38"/>
              <w:snapToGrid w:val="0"/>
              <w:spacing w:after="0" w:line="240" w:lineRule="auto"/>
              <w:ind w:firstLineChars="0" w:firstLine="0"/>
              <w:jc w:val="center"/>
              <w:rPr>
                <w:rFonts w:cs="Times New Roman"/>
                <w:bCs/>
                <w:color w:val="auto"/>
                <w:sz w:val="21"/>
                <w:szCs w:val="21"/>
                <w:highlight w:val="none"/>
              </w:rPr>
            </w:pPr>
            <w:r>
              <w:rPr>
                <w:rFonts w:cs="Times New Roman"/>
                <w:bCs/>
                <w:color w:val="auto"/>
                <w:sz w:val="21"/>
                <w:szCs w:val="21"/>
                <w:highlight w:val="none"/>
              </w:rPr>
              <w:t>（应包含测位位置、外观质量描述以及缺陷信息）</w:t>
            </w:r>
          </w:p>
        </w:tc>
      </w:tr>
      <w:tr>
        <w:trPr>
          <w:trHeight w:val="918"/>
        </w:trPr>
        <w:tc>
          <w:tcPr>
            <w:tcW w:w="8296" w:type="dxa"/>
            <w:gridSpan w:val="13"/>
            <w:tcBorders>
              <w:top w:val="single" w:sz="4" w:space="0" w:color="000000"/>
              <w:left w:val="nil"/>
              <w:bottom w:val="nil"/>
              <w:right w:val="nil"/>
            </w:tcBorders>
            <w:vAlign w:val="center"/>
          </w:tcPr>
          <w:p>
            <w:pPr>
              <w:ind w:firstLineChars="0" w:firstLine="0"/>
              <w:rPr>
                <w:rFonts w:cs="Times New Roman"/>
                <w:color w:val="auto"/>
                <w:sz w:val="21"/>
                <w:szCs w:val="21"/>
                <w:highlight w:val="none"/>
              </w:rPr>
            </w:pPr>
            <w:r>
              <w:rPr>
                <w:rFonts w:cs="Times New Roman"/>
                <w:color w:val="auto"/>
                <w:sz w:val="21"/>
                <w:szCs w:val="21"/>
                <w:highlight w:val="none"/>
              </w:rPr>
              <w:t>检测人员：                审核人员：                  检测日期：</w:t>
            </w:r>
          </w:p>
          <w:p>
            <w:pPr>
              <w:pStyle w:val="38"/>
              <w:snapToGrid w:val="0"/>
              <w:spacing w:after="0" w:line="240" w:lineRule="auto"/>
              <w:ind w:firstLineChars="0" w:firstLine="0"/>
              <w:jc w:val="center"/>
              <w:rPr>
                <w:rFonts w:cs="Times New Roman"/>
                <w:bCs/>
                <w:color w:val="auto"/>
                <w:sz w:val="21"/>
                <w:szCs w:val="21"/>
                <w:highlight w:val="none"/>
              </w:rPr>
            </w:pPr>
          </w:p>
        </w:tc>
      </w:tr>
    </w:tbl>
    <w:p>
      <w:pPr>
        <w:keepNext/>
        <w:keepLines/>
        <w:pageBreakBefore/>
        <w:spacing w:beforeLines="100" w:before="312"/>
        <w:ind w:firstLineChars="0" w:firstLine="0"/>
        <w:jc w:val="center"/>
        <w:outlineLvl w:val="0"/>
        <w:rPr>
          <w:rFonts w:cs="Times New Roman"/>
          <w:b/>
          <w:bCs/>
          <w:color w:val="auto"/>
          <w:kern w:val="44"/>
          <w:sz w:val="30"/>
          <w:szCs w:val="30"/>
          <w:highlight w:val="none"/>
        </w:rPr>
      </w:pPr>
      <w:bookmarkStart w:id="539" w:name="_Toc26339"/>
      <w:bookmarkStart w:id="540" w:name="_Toc11268"/>
      <w:bookmarkStart w:id="541" w:name="_Toc5153"/>
      <w:bookmarkStart w:id="542" w:name="_Toc9586"/>
      <w:bookmarkStart w:id="543" w:name="_Toc21248"/>
      <w:bookmarkStart w:id="544" w:name="_Toc20210"/>
      <w:r>
        <w:rPr>
          <w:rFonts w:cs="Times New Roman"/>
          <w:b/>
          <w:bCs/>
          <w:color w:val="auto"/>
          <w:kern w:val="44"/>
          <w:sz w:val="30"/>
          <w:szCs w:val="30"/>
          <w:highlight w:val="none"/>
        </w:rPr>
        <w:t>附录K</w:t>
      </w:r>
      <w:r>
        <w:rPr>
          <w:rFonts w:cs="Times New Roman" w:hint="eastAsia"/>
          <w:b/>
          <w:bCs/>
          <w:color w:val="auto"/>
          <w:kern w:val="44"/>
          <w:sz w:val="30"/>
          <w:szCs w:val="30"/>
          <w:highlight w:val="none"/>
        </w:rPr>
        <w:t>　</w:t>
      </w:r>
      <w:r>
        <w:rPr>
          <w:rFonts w:cs="Times New Roman"/>
          <w:b/>
          <w:bCs/>
          <w:color w:val="auto"/>
          <w:kern w:val="44"/>
          <w:sz w:val="30"/>
          <w:szCs w:val="30"/>
          <w:lang w:val="el-GR"/>
          <w:highlight w:val="none"/>
        </w:rPr>
        <w:t>冲击回波法</w:t>
      </w:r>
      <w:r>
        <w:rPr>
          <w:rFonts w:cs="Times New Roman"/>
          <w:b/>
          <w:bCs/>
          <w:color w:val="auto"/>
          <w:kern w:val="44"/>
          <w:sz w:val="30"/>
          <w:szCs w:val="30"/>
          <w:highlight w:val="none"/>
        </w:rPr>
        <w:t>检测记录表</w:t>
      </w:r>
      <w:bookmarkEnd w:id="539"/>
      <w:bookmarkEnd w:id="540"/>
      <w:bookmarkEnd w:id="541"/>
      <w:bookmarkEnd w:id="542"/>
    </w:p>
    <w:p>
      <w:pPr>
        <w:pStyle w:val="16"/>
        <w:rPr>
          <w:rFonts w:cs="Times New Roman"/>
          <w:color w:val="auto"/>
          <w:highlight w:val="none"/>
        </w:rPr>
      </w:pPr>
      <w:r>
        <w:rPr>
          <w:rFonts w:cs="Times New Roman"/>
          <w:color w:val="auto"/>
          <w:highlight w:val="none"/>
        </w:rPr>
        <w:t>表K</w:t>
      </w:r>
      <w:r>
        <w:rPr>
          <w:rFonts w:cs="Times New Roman" w:hint="eastAsia"/>
          <w:color w:val="auto"/>
          <w:highlight w:val="none"/>
        </w:rPr>
        <w:t>　</w:t>
      </w:r>
      <w:r>
        <w:rPr>
          <w:rFonts w:cs="Times New Roman"/>
          <w:color w:val="auto"/>
          <w:highlight w:val="none"/>
        </w:rPr>
        <w:t>冲击回波法检测记录表</w:t>
      </w:r>
    </w:p>
    <w:p>
      <w:pPr>
        <w:spacing w:line="240" w:lineRule="auto"/>
        <w:ind w:firstLineChars="0" w:firstLine="0"/>
        <w:rPr>
          <w:rFonts w:cs="Times New Roman"/>
          <w:color w:val="auto"/>
          <w:highlight w:val="none"/>
        </w:rPr>
      </w:pPr>
      <w:r>
        <w:rPr>
          <w:rFonts w:cs="Times New Roman"/>
          <w:color w:val="auto"/>
          <w:sz w:val="21"/>
          <w:szCs w:val="21"/>
          <w:highlight w:val="none"/>
        </w:rPr>
        <w:t xml:space="preserve">委托编号：                                                   </w:t>
      </w:r>
      <w:r>
        <w:rPr>
          <w:rFonts w:cs="Times New Roman" w:hint="eastAsia"/>
          <w:color w:val="auto"/>
          <w:sz w:val="21"/>
          <w:szCs w:val="21"/>
          <w:lang w:val="en-US" w:eastAsia="zh-CN"/>
          <w:highlight w:val="none"/>
        </w:rPr>
        <w:t xml:space="preserve">        </w:t>
      </w:r>
      <w:r>
        <w:rPr>
          <w:rFonts w:cs="Times New Roman"/>
          <w:color w:val="auto"/>
          <w:sz w:val="21"/>
          <w:szCs w:val="21"/>
          <w:highlight w:val="none"/>
        </w:rPr>
        <w:t xml:space="preserve"> 共   页   第   页</w:t>
      </w:r>
    </w:p>
    <w:tbl>
      <w:tblPr>
        <w:jc w:val="center"/>
        <w:tblW w:w="5542" w:type="pct"/>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CellMar>
          <w:top w:w="15" w:type="dxa"/>
          <w:left w:w="15" w:type="dxa"/>
          <w:bottom w:w="15" w:type="dxa"/>
          <w:right w:w="15" w:type="dxa"/>
        </w:tblCellMar>
        <w:tblLook w:val="0600" w:firstRow="0" w:lastRow="0" w:firstColumn="0" w:lastColumn="0" w:noHBand="1" w:noVBand="1"/>
      </w:tblPr>
      <w:tblGrid>
        <w:gridCol w:w="1395"/>
        <w:gridCol w:w="669"/>
        <w:gridCol w:w="974"/>
        <w:gridCol w:w="501"/>
        <w:gridCol w:w="1157"/>
        <w:gridCol w:w="435"/>
        <w:gridCol w:w="28"/>
        <w:gridCol w:w="1461"/>
        <w:gridCol w:w="537"/>
        <w:gridCol w:w="1022"/>
        <w:gridCol w:w="212"/>
        <w:gridCol w:w="1630"/>
      </w:tblGrid>
      <w:tr>
        <w:trPr>
          <w:trHeight w:val="340"/>
        </w:trPr>
        <w:tc>
          <w:tcPr>
            <w:tcW w:w="1030"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r>
              <w:rPr>
                <w:rFonts w:cs="Times New Roman"/>
                <w:color w:val="auto"/>
                <w:kern w:val="0"/>
                <w:sz w:val="21"/>
                <w:szCs w:val="21"/>
                <w:highlight w:val="none"/>
              </w:rPr>
              <w:t>建设项目</w:t>
            </w:r>
          </w:p>
        </w:tc>
        <w:tc>
          <w:tcPr>
            <w:tcW w:w="3969" w:type="pct"/>
            <w:gridSpan w:val="10"/>
            <w:vAlign w:val="center"/>
          </w:tcPr>
          <w:p>
            <w:pPr>
              <w:spacing w:line="240" w:lineRule="auto"/>
              <w:ind w:firstLineChars="0" w:firstLine="0"/>
              <w:jc w:val="center"/>
              <w:rPr>
                <w:rFonts w:cs="Times New Roman"/>
                <w:color w:val="auto"/>
                <w:sz w:val="21"/>
                <w:szCs w:val="21"/>
                <w:highlight w:val="none"/>
              </w:rPr>
            </w:pPr>
          </w:p>
        </w:tc>
      </w:tr>
      <w:tr>
        <w:trPr>
          <w:trHeight w:val="340"/>
        </w:trPr>
        <w:tc>
          <w:tcPr>
            <w:tcW w:w="1030"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r>
              <w:rPr>
                <w:rFonts w:cs="Times New Roman"/>
                <w:color w:val="auto"/>
                <w:kern w:val="0"/>
                <w:sz w:val="21"/>
                <w:szCs w:val="21"/>
                <w:highlight w:val="none"/>
              </w:rPr>
              <w:t>桥名/部件/构件号</w:t>
            </w:r>
          </w:p>
        </w:tc>
        <w:tc>
          <w:tcPr>
            <w:tcW w:w="3969" w:type="pct"/>
            <w:gridSpan w:val="10"/>
            <w:vAlign w:val="center"/>
          </w:tcPr>
          <w:p>
            <w:pPr>
              <w:spacing w:line="240" w:lineRule="auto"/>
              <w:ind w:firstLineChars="0" w:firstLine="0"/>
              <w:jc w:val="center"/>
              <w:rPr>
                <w:rFonts w:cs="Times New Roman"/>
                <w:color w:val="auto"/>
                <w:sz w:val="21"/>
                <w:szCs w:val="21"/>
                <w:highlight w:val="none"/>
              </w:rPr>
            </w:pPr>
          </w:p>
        </w:tc>
      </w:tr>
      <w:tr>
        <w:trPr>
          <w:trHeight w:val="356"/>
        </w:trPr>
        <w:tc>
          <w:tcPr>
            <w:tcW w:w="1030"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r>
              <w:rPr>
                <w:rFonts w:cs="Times New Roman"/>
                <w:color w:val="auto"/>
                <w:kern w:val="0"/>
                <w:sz w:val="21"/>
                <w:szCs w:val="21"/>
                <w:highlight w:val="none"/>
              </w:rPr>
              <w:t>样品信息</w:t>
            </w:r>
          </w:p>
        </w:tc>
        <w:tc>
          <w:tcPr>
            <w:tcW w:w="1544" w:type="pct"/>
            <w:gridSpan w:val="5"/>
            <w:vAlign w:val="center"/>
          </w:tcPr>
          <w:p>
            <w:pPr>
              <w:spacing w:line="240" w:lineRule="auto"/>
              <w:ind w:firstLineChars="0" w:firstLine="0"/>
              <w:jc w:val="center"/>
              <w:rPr>
                <w:rFonts w:cs="Times New Roman"/>
                <w:color w:val="auto"/>
                <w:sz w:val="21"/>
                <w:szCs w:val="21"/>
                <w:highlight w:val="none"/>
              </w:rPr>
            </w:pPr>
          </w:p>
        </w:tc>
        <w:tc>
          <w:tcPr>
            <w:tcW w:w="729" w:type="pct"/>
            <w:vAlign w:val="center"/>
          </w:tcPr>
          <w:p>
            <w:pPr>
              <w:spacing w:line="240" w:lineRule="auto"/>
              <w:ind w:firstLineChars="0" w:firstLine="0"/>
              <w:jc w:val="center"/>
              <w:rPr>
                <w:rFonts w:cs="Times New Roman"/>
                <w:color w:val="auto"/>
                <w:sz w:val="21"/>
                <w:szCs w:val="21"/>
                <w:highlight w:val="none"/>
              </w:rPr>
            </w:pPr>
            <w:r>
              <w:rPr>
                <w:rFonts w:cs="Times New Roman"/>
                <w:color w:val="auto"/>
                <w:sz w:val="21"/>
                <w:szCs w:val="21"/>
                <w:highlight w:val="none"/>
              </w:rPr>
              <w:t>结构类型</w:t>
            </w:r>
          </w:p>
        </w:tc>
        <w:tc>
          <w:tcPr>
            <w:tcW w:w="1694" w:type="pct"/>
            <w:gridSpan w:val="4"/>
            <w:vAlign w:val="center"/>
          </w:tcPr>
          <w:p>
            <w:pPr>
              <w:spacing w:line="240" w:lineRule="auto"/>
              <w:ind w:firstLineChars="0" w:firstLine="0"/>
              <w:jc w:val="center"/>
              <w:rPr>
                <w:rFonts w:cs="Times New Roman"/>
                <w:color w:val="auto"/>
                <w:sz w:val="21"/>
                <w:szCs w:val="21"/>
                <w:highlight w:val="none"/>
              </w:rPr>
            </w:pPr>
          </w:p>
        </w:tc>
      </w:tr>
      <w:tr>
        <w:trPr>
          <w:trHeight w:val="348"/>
        </w:trPr>
        <w:tc>
          <w:tcPr>
            <w:tcW w:w="1030"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r>
              <w:rPr>
                <w:rFonts w:cs="Times New Roman"/>
                <w:color w:val="auto"/>
                <w:kern w:val="0"/>
                <w:sz w:val="21"/>
                <w:szCs w:val="21"/>
                <w:highlight w:val="none"/>
              </w:rPr>
              <w:t>张拉时间</w:t>
            </w:r>
          </w:p>
        </w:tc>
        <w:tc>
          <w:tcPr>
            <w:tcW w:w="736" w:type="pct"/>
            <w:gridSpan w:val="2"/>
            <w:vAlign w:val="center"/>
          </w:tcPr>
          <w:p>
            <w:pPr>
              <w:spacing w:line="240" w:lineRule="auto"/>
              <w:ind w:firstLineChars="0" w:firstLine="0"/>
              <w:jc w:val="center"/>
              <w:rPr>
                <w:rFonts w:cs="Times New Roman"/>
                <w:color w:val="auto"/>
                <w:sz w:val="21"/>
                <w:szCs w:val="21"/>
                <w:highlight w:val="none"/>
              </w:rPr>
            </w:pPr>
          </w:p>
        </w:tc>
        <w:tc>
          <w:tcPr>
            <w:tcW w:w="807" w:type="pct"/>
            <w:gridSpan w:val="3"/>
            <w:vAlign w:val="center"/>
          </w:tcPr>
          <w:p>
            <w:pPr>
              <w:spacing w:line="240" w:lineRule="auto"/>
              <w:ind w:firstLineChars="0" w:firstLine="0"/>
              <w:jc w:val="center"/>
              <w:rPr>
                <w:rFonts w:cs="Times New Roman"/>
                <w:color w:val="auto"/>
                <w:sz w:val="21"/>
                <w:szCs w:val="21"/>
                <w:highlight w:val="none"/>
              </w:rPr>
            </w:pPr>
            <w:r>
              <w:rPr>
                <w:rFonts w:cs="Times New Roman"/>
                <w:color w:val="auto"/>
                <w:sz w:val="21"/>
                <w:szCs w:val="21"/>
                <w:highlight w:val="none"/>
              </w:rPr>
              <w:t>检测时间</w:t>
            </w:r>
          </w:p>
        </w:tc>
        <w:tc>
          <w:tcPr>
            <w:tcW w:w="729" w:type="pct"/>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884" w:type="pct"/>
            <w:gridSpan w:val="3"/>
            <w:vAlign w:val="center"/>
          </w:tcPr>
          <w:p>
            <w:pPr>
              <w:spacing w:line="240" w:lineRule="auto"/>
              <w:ind w:firstLineChars="0" w:firstLine="0"/>
              <w:jc w:val="center"/>
              <w:rPr>
                <w:rFonts w:cs="Times New Roman"/>
                <w:color w:val="auto"/>
                <w:sz w:val="21"/>
                <w:szCs w:val="21"/>
                <w:highlight w:val="none"/>
              </w:rPr>
            </w:pPr>
            <w:r>
              <w:rPr>
                <w:rFonts w:cs="Times New Roman"/>
                <w:color w:val="auto"/>
                <w:sz w:val="21"/>
                <w:szCs w:val="21"/>
                <w:highlight w:val="none"/>
              </w:rPr>
              <w:t>检测条件</w:t>
            </w:r>
          </w:p>
        </w:tc>
        <w:tc>
          <w:tcPr>
            <w:tcW w:w="810" w:type="pct"/>
            <w:vAlign w:val="center"/>
          </w:tcPr>
          <w:p>
            <w:pPr>
              <w:spacing w:line="240" w:lineRule="auto"/>
              <w:ind w:firstLineChars="0" w:firstLine="0"/>
              <w:jc w:val="center"/>
              <w:rPr>
                <w:rFonts w:cs="Times New Roman"/>
                <w:color w:val="auto"/>
                <w:sz w:val="21"/>
                <w:szCs w:val="21"/>
                <w:highlight w:val="none"/>
              </w:rPr>
            </w:pPr>
          </w:p>
        </w:tc>
      </w:tr>
      <w:tr>
        <w:trPr>
          <w:trHeight w:val="340"/>
        </w:trPr>
        <w:tc>
          <w:tcPr>
            <w:tcW w:w="1030" w:type="pct"/>
            <w:gridSpan w:val="2"/>
            <w:vAlign w:val="center"/>
          </w:tcPr>
          <w:p>
            <w:pPr>
              <w:widowControl/>
              <w:spacing w:line="240" w:lineRule="auto"/>
              <w:ind w:firstLineChars="0" w:firstLine="0"/>
              <w:jc w:val="center"/>
              <w:textAlignment w:val="center"/>
              <w:rPr>
                <w:rFonts w:cs="Times New Roman"/>
                <w:color w:val="auto"/>
                <w:kern w:val="0"/>
                <w:sz w:val="21"/>
                <w:szCs w:val="21"/>
                <w:highlight w:val="none"/>
              </w:rPr>
            </w:pPr>
            <w:r>
              <w:rPr>
                <w:rFonts w:cs="Times New Roman"/>
                <w:color w:val="auto"/>
                <w:kern w:val="0"/>
                <w:sz w:val="21"/>
                <w:szCs w:val="21"/>
                <w:highlight w:val="none"/>
              </w:rPr>
              <w:t>检测方法</w:t>
            </w:r>
          </w:p>
        </w:tc>
        <w:tc>
          <w:tcPr>
            <w:tcW w:w="736" w:type="pct"/>
            <w:gridSpan w:val="2"/>
            <w:tcBorders>
              <w:right w:val="single" w:sz="4" w:space="0" w:color="auto"/>
            </w:tcBorders>
            <w:vAlign w:val="center"/>
          </w:tcPr>
          <w:p>
            <w:pPr>
              <w:spacing w:line="240" w:lineRule="auto"/>
              <w:ind w:firstLineChars="0" w:firstLine="0"/>
              <w:jc w:val="center"/>
              <w:rPr>
                <w:rFonts w:cs="Times New Roman"/>
                <w:color w:val="auto"/>
                <w:sz w:val="21"/>
                <w:szCs w:val="21"/>
                <w:highlight w:val="none"/>
              </w:rPr>
            </w:pPr>
          </w:p>
        </w:tc>
        <w:tc>
          <w:tcPr>
            <w:tcW w:w="807" w:type="pct"/>
            <w:gridSpan w:val="3"/>
            <w:tcBorders>
              <w:right w:val="single" w:sz="4" w:space="0" w:color="auto"/>
            </w:tcBorders>
            <w:vAlign w:val="center"/>
          </w:tcPr>
          <w:p>
            <w:pPr>
              <w:spacing w:line="240" w:lineRule="auto"/>
              <w:ind w:firstLineChars="0" w:firstLine="0"/>
              <w:jc w:val="center"/>
              <w:rPr>
                <w:rFonts w:cs="Times New Roman"/>
                <w:color w:val="auto"/>
                <w:sz w:val="21"/>
                <w:szCs w:val="21"/>
                <w:highlight w:val="none"/>
              </w:rPr>
            </w:pPr>
            <w:r>
              <w:rPr>
                <w:rFonts w:cs="Times New Roman"/>
                <w:color w:val="auto"/>
                <w:kern w:val="0"/>
                <w:sz w:val="21"/>
                <w:szCs w:val="21"/>
                <w:highlight w:val="none"/>
              </w:rPr>
              <w:t>张拉系数</w:t>
            </w:r>
          </w:p>
        </w:tc>
        <w:tc>
          <w:tcPr>
            <w:tcW w:w="729" w:type="pct"/>
            <w:tcBorders>
              <w:left w:val="single" w:sz="4" w:space="0" w:color="auto"/>
              <w:right w:val="single" w:sz="4" w:space="0" w:color="auto"/>
            </w:tcBorders>
            <w:vAlign w:val="center"/>
          </w:tcPr>
          <w:p>
            <w:pPr>
              <w:widowControl/>
              <w:spacing w:line="240" w:lineRule="auto"/>
              <w:ind w:firstLineChars="0" w:firstLine="0"/>
              <w:jc w:val="center"/>
              <w:textAlignment w:val="center"/>
              <w:rPr>
                <w:rFonts w:cs="Times New Roman"/>
                <w:color w:val="auto"/>
                <w:kern w:val="0"/>
                <w:sz w:val="21"/>
                <w:szCs w:val="21"/>
                <w:highlight w:val="none"/>
              </w:rPr>
            </w:pPr>
          </w:p>
        </w:tc>
        <w:tc>
          <w:tcPr>
            <w:tcW w:w="884" w:type="pct"/>
            <w:gridSpan w:val="3"/>
            <w:tcBorders>
              <w:left w:val="single" w:sz="4" w:space="0" w:color="auto"/>
            </w:tcBorders>
            <w:vAlign w:val="center"/>
          </w:tcPr>
          <w:p>
            <w:pPr>
              <w:spacing w:line="240" w:lineRule="auto"/>
              <w:ind w:firstLineChars="0" w:firstLine="0"/>
              <w:jc w:val="center"/>
              <w:rPr>
                <w:rFonts w:cs="Times New Roman"/>
                <w:color w:val="auto"/>
                <w:sz w:val="21"/>
                <w:szCs w:val="21"/>
                <w:highlight w:val="none"/>
              </w:rPr>
            </w:pPr>
            <w:r>
              <w:rPr>
                <w:rFonts w:cs="Times New Roman"/>
                <w:color w:val="auto"/>
                <w:sz w:val="21"/>
                <w:szCs w:val="21"/>
                <w:highlight w:val="none"/>
              </w:rPr>
              <w:t>标定波速</w:t>
            </w:r>
          </w:p>
        </w:tc>
        <w:tc>
          <w:tcPr>
            <w:tcW w:w="810" w:type="pct"/>
            <w:tcBorders>
              <w:left w:val="single" w:sz="4" w:space="0" w:color="auto"/>
            </w:tcBorders>
            <w:vAlign w:val="center"/>
          </w:tcPr>
          <w:p>
            <w:pPr>
              <w:spacing w:line="240" w:lineRule="auto"/>
              <w:ind w:firstLineChars="0" w:firstLine="0"/>
              <w:jc w:val="center"/>
              <w:rPr>
                <w:rFonts w:cs="Times New Roman"/>
                <w:color w:val="auto"/>
                <w:sz w:val="21"/>
                <w:szCs w:val="21"/>
                <w:highlight w:val="none"/>
              </w:rPr>
            </w:pPr>
          </w:p>
        </w:tc>
      </w:tr>
      <w:tr>
        <w:trPr>
          <w:trHeight w:val="340"/>
        </w:trPr>
        <w:tc>
          <w:tcPr>
            <w:tcW w:w="1030" w:type="pct"/>
            <w:gridSpan w:val="2"/>
            <w:vAlign w:val="center"/>
          </w:tcPr>
          <w:p>
            <w:pPr>
              <w:widowControl/>
              <w:spacing w:line="240" w:lineRule="auto"/>
              <w:ind w:firstLineChars="0" w:firstLine="0"/>
              <w:jc w:val="center"/>
              <w:textAlignment w:val="center"/>
              <w:rPr>
                <w:rFonts w:cs="Times New Roman"/>
                <w:color w:val="auto"/>
                <w:kern w:val="0"/>
                <w:sz w:val="21"/>
                <w:szCs w:val="21"/>
                <w:highlight w:val="none"/>
              </w:rPr>
            </w:pPr>
            <w:r>
              <w:rPr>
                <w:rFonts w:cs="Times New Roman"/>
                <w:color w:val="auto"/>
                <w:kern w:val="0"/>
                <w:sz w:val="21"/>
                <w:szCs w:val="21"/>
                <w:highlight w:val="none"/>
              </w:rPr>
              <w:t>检测方向</w:t>
            </w:r>
          </w:p>
        </w:tc>
        <w:tc>
          <w:tcPr>
            <w:tcW w:w="736" w:type="pct"/>
            <w:gridSpan w:val="2"/>
            <w:tcBorders>
              <w:right w:val="single" w:sz="4" w:space="0" w:color="auto"/>
            </w:tcBorders>
            <w:vAlign w:val="center"/>
          </w:tcPr>
          <w:p>
            <w:pPr>
              <w:spacing w:line="240" w:lineRule="auto"/>
              <w:ind w:firstLineChars="0" w:firstLine="0"/>
              <w:jc w:val="center"/>
              <w:rPr>
                <w:rFonts w:cs="Times New Roman"/>
                <w:color w:val="auto"/>
                <w:sz w:val="21"/>
                <w:szCs w:val="21"/>
                <w:highlight w:val="none"/>
              </w:rPr>
            </w:pPr>
          </w:p>
        </w:tc>
        <w:tc>
          <w:tcPr>
            <w:tcW w:w="807" w:type="pct"/>
            <w:gridSpan w:val="3"/>
            <w:tcBorders>
              <w:right w:val="single" w:sz="4" w:space="0" w:color="auto"/>
            </w:tcBorders>
            <w:vAlign w:val="center"/>
          </w:tcPr>
          <w:p>
            <w:pPr>
              <w:spacing w:line="240" w:lineRule="auto"/>
              <w:ind w:firstLineChars="0" w:firstLine="0"/>
              <w:jc w:val="center"/>
              <w:rPr>
                <w:rFonts w:cs="Times New Roman"/>
                <w:color w:val="auto"/>
                <w:kern w:val="0"/>
                <w:sz w:val="21"/>
                <w:szCs w:val="21"/>
                <w:highlight w:val="none"/>
              </w:rPr>
            </w:pPr>
            <w:r>
              <w:rPr>
                <w:rFonts w:cs="Times New Roman"/>
                <w:color w:val="auto"/>
                <w:kern w:val="0"/>
                <w:sz w:val="21"/>
                <w:szCs w:val="21"/>
                <w:highlight w:val="none"/>
              </w:rPr>
              <w:t>检测依据</w:t>
            </w:r>
          </w:p>
        </w:tc>
        <w:tc>
          <w:tcPr>
            <w:tcW w:w="729" w:type="pct"/>
            <w:tcBorders>
              <w:left w:val="single" w:sz="4" w:space="0" w:color="auto"/>
              <w:right w:val="single" w:sz="4" w:space="0" w:color="auto"/>
            </w:tcBorders>
            <w:vAlign w:val="center"/>
          </w:tcPr>
          <w:p>
            <w:pPr>
              <w:spacing w:line="240" w:lineRule="auto"/>
              <w:ind w:firstLineChars="0" w:firstLine="0"/>
              <w:jc w:val="center"/>
              <w:rPr>
                <w:rFonts w:cs="Times New Roman"/>
                <w:color w:val="auto"/>
                <w:kern w:val="0"/>
                <w:sz w:val="21"/>
                <w:szCs w:val="21"/>
                <w:highlight w:val="none"/>
              </w:rPr>
            </w:pPr>
          </w:p>
        </w:tc>
        <w:tc>
          <w:tcPr>
            <w:tcW w:w="884" w:type="pct"/>
            <w:gridSpan w:val="3"/>
            <w:tcBorders>
              <w:left w:val="single" w:sz="4" w:space="0" w:color="auto"/>
            </w:tcBorders>
            <w:vAlign w:val="center"/>
          </w:tcPr>
          <w:p>
            <w:pPr>
              <w:widowControl/>
              <w:spacing w:line="240" w:lineRule="auto"/>
              <w:ind w:firstLineChars="0" w:firstLine="0"/>
              <w:jc w:val="center"/>
              <w:textAlignment w:val="center"/>
              <w:rPr>
                <w:rFonts w:cs="Times New Roman"/>
                <w:color w:val="auto"/>
                <w:kern w:val="0"/>
                <w:sz w:val="21"/>
                <w:szCs w:val="21"/>
                <w:highlight w:val="none"/>
              </w:rPr>
            </w:pPr>
            <w:r>
              <w:rPr>
                <w:rFonts w:cs="Times New Roman"/>
                <w:color w:val="auto"/>
                <w:sz w:val="21"/>
                <w:szCs w:val="21"/>
                <w:highlight w:val="none"/>
              </w:rPr>
              <w:t>判定依据</w:t>
            </w:r>
          </w:p>
        </w:tc>
        <w:tc>
          <w:tcPr>
            <w:tcW w:w="810" w:type="pct"/>
            <w:tcBorders>
              <w:left w:val="single" w:sz="4" w:space="0" w:color="auto"/>
            </w:tcBorders>
            <w:vAlign w:val="center"/>
          </w:tcPr>
          <w:p>
            <w:pPr>
              <w:spacing w:line="240" w:lineRule="auto"/>
              <w:ind w:firstLineChars="0" w:firstLine="0"/>
              <w:jc w:val="center"/>
              <w:rPr>
                <w:rFonts w:cs="Times New Roman"/>
                <w:color w:val="auto"/>
                <w:sz w:val="21"/>
                <w:szCs w:val="21"/>
                <w:highlight w:val="none"/>
              </w:rPr>
            </w:pPr>
          </w:p>
        </w:tc>
      </w:tr>
      <w:tr>
        <w:trPr>
          <w:trHeight w:val="340"/>
        </w:trPr>
        <w:tc>
          <w:tcPr>
            <w:tcW w:w="1030" w:type="pct"/>
            <w:gridSpan w:val="2"/>
            <w:vAlign w:val="center"/>
          </w:tcPr>
          <w:p>
            <w:pPr>
              <w:widowControl/>
              <w:spacing w:line="240" w:lineRule="auto"/>
              <w:ind w:firstLineChars="0" w:firstLine="0"/>
              <w:jc w:val="center"/>
              <w:textAlignment w:val="center"/>
              <w:rPr>
                <w:rFonts w:cs="Times New Roman"/>
                <w:color w:val="auto"/>
                <w:kern w:val="0"/>
                <w:sz w:val="21"/>
                <w:szCs w:val="21"/>
                <w:highlight w:val="none"/>
              </w:rPr>
            </w:pPr>
            <w:r>
              <w:rPr>
                <w:rFonts w:cs="Times New Roman"/>
                <w:color w:val="auto"/>
                <w:kern w:val="0"/>
                <w:sz w:val="21"/>
                <w:szCs w:val="21"/>
                <w:highlight w:val="none"/>
              </w:rPr>
              <w:t>仪器设备及编号</w:t>
            </w:r>
          </w:p>
        </w:tc>
        <w:tc>
          <w:tcPr>
            <w:tcW w:w="3969" w:type="pct"/>
            <w:gridSpan w:val="10"/>
            <w:vAlign w:val="center"/>
          </w:tcPr>
          <w:p>
            <w:pPr>
              <w:spacing w:line="240" w:lineRule="auto"/>
              <w:ind w:firstLineChars="0" w:firstLine="0"/>
              <w:jc w:val="center"/>
              <w:rPr>
                <w:rFonts w:cs="Times New Roman"/>
                <w:color w:val="auto"/>
                <w:sz w:val="21"/>
                <w:szCs w:val="21"/>
                <w:highlight w:val="none"/>
              </w:rPr>
            </w:pPr>
          </w:p>
        </w:tc>
      </w:tr>
      <w:tr>
        <w:trPr>
          <w:trHeight w:val="404"/>
        </w:trPr>
        <w:tc>
          <w:tcPr>
            <w:tcW w:w="1030" w:type="pct"/>
            <w:gridSpan w:val="2"/>
            <w:vAlign w:val="center"/>
          </w:tcPr>
          <w:p>
            <w:pPr>
              <w:widowControl/>
              <w:spacing w:line="240" w:lineRule="auto"/>
              <w:ind w:firstLineChars="0" w:firstLine="0"/>
              <w:jc w:val="center"/>
              <w:textAlignment w:val="center"/>
              <w:rPr>
                <w:rFonts w:cs="Times New Roman"/>
                <w:color w:val="auto"/>
                <w:kern w:val="0"/>
                <w:sz w:val="21"/>
                <w:szCs w:val="21"/>
                <w:highlight w:val="none"/>
              </w:rPr>
            </w:pPr>
            <w:r>
              <w:rPr>
                <w:rFonts w:cs="Times New Roman"/>
                <w:color w:val="auto"/>
                <w:sz w:val="21"/>
                <w:szCs w:val="21"/>
                <w:highlight w:val="none"/>
              </w:rPr>
              <w:t>注浆时间</w:t>
            </w:r>
          </w:p>
        </w:tc>
        <w:tc>
          <w:tcPr>
            <w:tcW w:w="1530" w:type="pct"/>
            <w:gridSpan w:val="4"/>
            <w:tcBorders>
              <w:right w:val="single" w:sz="4" w:space="0" w:color="auto"/>
            </w:tcBorders>
            <w:vAlign w:val="center"/>
          </w:tcPr>
          <w:p>
            <w:pPr>
              <w:spacing w:line="240" w:lineRule="auto"/>
              <w:ind w:firstLineChars="0" w:firstLine="0"/>
              <w:jc w:val="center"/>
              <w:rPr>
                <w:rFonts w:cs="Times New Roman"/>
                <w:color w:val="auto"/>
                <w:sz w:val="21"/>
                <w:szCs w:val="21"/>
                <w:highlight w:val="none"/>
              </w:rPr>
            </w:pPr>
          </w:p>
        </w:tc>
        <w:tc>
          <w:tcPr>
            <w:tcW w:w="1011" w:type="pct"/>
            <w:gridSpan w:val="3"/>
            <w:tcBorders>
              <w:left w:val="single" w:sz="4" w:space="0" w:color="auto"/>
              <w:bottom w:val="single" w:sz="4" w:space="0" w:color="auto"/>
              <w:right w:val="single" w:sz="4" w:space="0" w:color="auto"/>
            </w:tcBorders>
            <w:vAlign w:val="center"/>
          </w:tcPr>
          <w:p>
            <w:pPr>
              <w:spacing w:line="240" w:lineRule="auto"/>
              <w:ind w:firstLineChars="0" w:firstLine="0"/>
              <w:jc w:val="center"/>
              <w:rPr>
                <w:rFonts w:cs="Times New Roman"/>
                <w:color w:val="auto"/>
                <w:sz w:val="21"/>
                <w:szCs w:val="21"/>
                <w:highlight w:val="none"/>
              </w:rPr>
            </w:pPr>
            <w:r>
              <w:rPr>
                <w:rFonts w:cs="Times New Roman"/>
                <w:color w:val="auto"/>
                <w:kern w:val="0"/>
                <w:sz w:val="21"/>
                <w:szCs w:val="21"/>
                <w:highlight w:val="none"/>
              </w:rPr>
              <w:t>波纹管类型/尺寸</w:t>
            </w:r>
          </w:p>
        </w:tc>
        <w:tc>
          <w:tcPr>
            <w:tcW w:w="1426" w:type="pct"/>
            <w:gridSpan w:val="3"/>
            <w:tcBorders>
              <w:left w:val="single" w:sz="4" w:space="0" w:color="auto"/>
              <w:bottom w:val="single" w:sz="4" w:space="0" w:color="auto"/>
            </w:tcBorders>
            <w:vAlign w:val="center"/>
          </w:tcPr>
          <w:p>
            <w:pPr>
              <w:spacing w:line="240" w:lineRule="auto"/>
              <w:ind w:firstLineChars="0" w:firstLine="0"/>
              <w:jc w:val="center"/>
              <w:rPr>
                <w:rFonts w:cs="Times New Roman"/>
                <w:color w:val="auto"/>
                <w:sz w:val="21"/>
                <w:szCs w:val="21"/>
                <w:highlight w:val="none"/>
              </w:rPr>
            </w:pPr>
          </w:p>
        </w:tc>
      </w:tr>
      <w:tr>
        <w:trPr>
          <w:trHeight w:val="343"/>
        </w:trPr>
        <w:tc>
          <w:tcPr>
            <w:tcW w:w="696" w:type="pct"/>
            <w:vAlign w:val="center"/>
          </w:tcPr>
          <w:p>
            <w:pPr>
              <w:widowControl/>
              <w:spacing w:line="240" w:lineRule="auto"/>
              <w:ind w:firstLineChars="0" w:firstLine="0"/>
              <w:jc w:val="center"/>
              <w:textAlignment w:val="center"/>
              <w:rPr>
                <w:rFonts w:cs="Times New Roman"/>
                <w:color w:val="auto"/>
                <w:sz w:val="21"/>
                <w:szCs w:val="21"/>
                <w:highlight w:val="none"/>
              </w:rPr>
            </w:pPr>
            <w:r>
              <w:rPr>
                <w:rFonts w:cs="Times New Roman"/>
                <w:color w:val="auto"/>
                <w:sz w:val="21"/>
                <w:szCs w:val="21"/>
                <w:highlight w:val="none"/>
              </w:rPr>
              <w:t>孔道编号</w:t>
            </w:r>
          </w:p>
        </w:tc>
        <w:tc>
          <w:tcPr>
            <w:tcW w:w="820"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r>
              <w:rPr>
                <w:rFonts w:cs="Times New Roman"/>
                <w:color w:val="auto"/>
                <w:sz w:val="21"/>
                <w:szCs w:val="21"/>
                <w:highlight w:val="none"/>
              </w:rPr>
              <w:t>起始测点距端部距离（m）</w:t>
            </w:r>
          </w:p>
        </w:tc>
        <w:tc>
          <w:tcPr>
            <w:tcW w:w="827"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r>
              <w:rPr>
                <w:rFonts w:cs="Times New Roman"/>
                <w:color w:val="auto"/>
                <w:sz w:val="21"/>
                <w:szCs w:val="21"/>
                <w:highlight w:val="none"/>
              </w:rPr>
              <w:t>终止测点距端部距离（m）</w:t>
            </w:r>
          </w:p>
        </w:tc>
        <w:tc>
          <w:tcPr>
            <w:tcW w:w="959" w:type="pct"/>
            <w:gridSpan w:val="3"/>
            <w:vAlign w:val="center"/>
          </w:tcPr>
          <w:p>
            <w:pPr>
              <w:widowControl/>
              <w:spacing w:line="240" w:lineRule="auto"/>
              <w:ind w:firstLineChars="0" w:firstLine="0"/>
              <w:jc w:val="center"/>
              <w:textAlignment w:val="center"/>
              <w:rPr>
                <w:rFonts w:cs="Times New Roman"/>
                <w:color w:val="auto"/>
                <w:sz w:val="21"/>
                <w:szCs w:val="21"/>
                <w:highlight w:val="none"/>
              </w:rPr>
            </w:pPr>
            <w:r>
              <w:rPr>
                <w:rFonts w:cs="Times New Roman"/>
                <w:color w:val="auto"/>
                <w:sz w:val="21"/>
                <w:szCs w:val="21"/>
                <w:highlight w:val="none"/>
              </w:rPr>
              <w:t>检测长度（m）</w:t>
            </w:r>
          </w:p>
        </w:tc>
        <w:tc>
          <w:tcPr>
            <w:tcW w:w="778"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r>
              <w:rPr>
                <w:rFonts w:cs="Times New Roman"/>
                <w:color w:val="auto"/>
                <w:sz w:val="21"/>
                <w:szCs w:val="21"/>
                <w:highlight w:val="none"/>
              </w:rPr>
              <w:t>存储文件名</w:t>
            </w:r>
          </w:p>
        </w:tc>
        <w:tc>
          <w:tcPr>
            <w:tcW w:w="916"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r>
              <w:rPr>
                <w:rFonts w:cs="Times New Roman"/>
                <w:color w:val="auto"/>
                <w:sz w:val="21"/>
                <w:szCs w:val="21"/>
                <w:highlight w:val="none"/>
              </w:rPr>
              <w:t>备注</w:t>
            </w:r>
          </w:p>
        </w:tc>
      </w:tr>
      <w:tr>
        <w:trPr>
          <w:trHeight w:val="397"/>
        </w:trPr>
        <w:tc>
          <w:tcPr>
            <w:tcW w:w="696" w:type="pct"/>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820"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827"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959" w:type="pct"/>
            <w:gridSpan w:val="3"/>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778"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916"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p>
        </w:tc>
      </w:tr>
      <w:tr>
        <w:trPr>
          <w:trHeight w:val="397"/>
        </w:trPr>
        <w:tc>
          <w:tcPr>
            <w:tcW w:w="696" w:type="pct"/>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820"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827"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959" w:type="pct"/>
            <w:gridSpan w:val="3"/>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778"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916"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p>
        </w:tc>
      </w:tr>
      <w:tr>
        <w:trPr>
          <w:trHeight w:val="397"/>
        </w:trPr>
        <w:tc>
          <w:tcPr>
            <w:tcW w:w="696" w:type="pct"/>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820"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827"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959" w:type="pct"/>
            <w:gridSpan w:val="3"/>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778"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916"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p>
        </w:tc>
      </w:tr>
      <w:tr>
        <w:trPr>
          <w:trHeight w:val="397"/>
        </w:trPr>
        <w:tc>
          <w:tcPr>
            <w:tcW w:w="696" w:type="pct"/>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820"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827"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959" w:type="pct"/>
            <w:gridSpan w:val="3"/>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778"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916"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p>
        </w:tc>
      </w:tr>
      <w:tr>
        <w:trPr>
          <w:trHeight w:val="397"/>
        </w:trPr>
        <w:tc>
          <w:tcPr>
            <w:tcW w:w="696" w:type="pct"/>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820"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827"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959" w:type="pct"/>
            <w:gridSpan w:val="3"/>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778"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916"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p>
        </w:tc>
      </w:tr>
      <w:tr>
        <w:trPr>
          <w:trHeight w:val="397"/>
        </w:trPr>
        <w:tc>
          <w:tcPr>
            <w:tcW w:w="696" w:type="pct"/>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820"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827"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959" w:type="pct"/>
            <w:gridSpan w:val="3"/>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778"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916"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p>
        </w:tc>
      </w:tr>
      <w:tr>
        <w:trPr>
          <w:trHeight w:val="397"/>
        </w:trPr>
        <w:tc>
          <w:tcPr>
            <w:tcW w:w="696" w:type="pct"/>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820"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827"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959" w:type="pct"/>
            <w:gridSpan w:val="3"/>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778"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916"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p>
        </w:tc>
      </w:tr>
      <w:tr>
        <w:trPr>
          <w:trHeight w:val="397"/>
        </w:trPr>
        <w:tc>
          <w:tcPr>
            <w:tcW w:w="696" w:type="pct"/>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820"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827"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959" w:type="pct"/>
            <w:gridSpan w:val="3"/>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778"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916"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p>
        </w:tc>
      </w:tr>
      <w:tr>
        <w:trPr>
          <w:trHeight w:val="397"/>
        </w:trPr>
        <w:tc>
          <w:tcPr>
            <w:tcW w:w="696" w:type="pct"/>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820"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827"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959" w:type="pct"/>
            <w:gridSpan w:val="3"/>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778"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916"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p>
        </w:tc>
      </w:tr>
      <w:tr>
        <w:trPr>
          <w:trHeight w:val="397"/>
        </w:trPr>
        <w:tc>
          <w:tcPr>
            <w:tcW w:w="696" w:type="pct"/>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820"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827"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959" w:type="pct"/>
            <w:gridSpan w:val="3"/>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778"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p>
        </w:tc>
        <w:tc>
          <w:tcPr>
            <w:tcW w:w="916" w:type="pct"/>
            <w:gridSpan w:val="2"/>
            <w:vAlign w:val="center"/>
          </w:tcPr>
          <w:p>
            <w:pPr>
              <w:widowControl/>
              <w:spacing w:line="240" w:lineRule="auto"/>
              <w:ind w:firstLineChars="0" w:firstLine="0"/>
              <w:jc w:val="center"/>
              <w:textAlignment w:val="center"/>
              <w:rPr>
                <w:rFonts w:cs="Times New Roman"/>
                <w:color w:val="auto"/>
                <w:sz w:val="21"/>
                <w:szCs w:val="21"/>
                <w:highlight w:val="none"/>
              </w:rPr>
            </w:pPr>
          </w:p>
        </w:tc>
      </w:tr>
      <w:tr>
        <w:trPr>
          <w:trHeight w:val="1578"/>
        </w:trPr>
        <w:tc>
          <w:tcPr>
            <w:tcW w:w="696" w:type="pct"/>
            <w:vAlign w:val="center"/>
          </w:tcPr>
          <w:p>
            <w:pPr>
              <w:widowControl/>
              <w:spacing w:line="240" w:lineRule="auto"/>
              <w:ind w:firstLineChars="0" w:firstLine="0"/>
              <w:jc w:val="center"/>
              <w:textAlignment w:val="center"/>
              <w:rPr>
                <w:rFonts w:cs="Times New Roman"/>
                <w:color w:val="auto"/>
                <w:sz w:val="21"/>
                <w:szCs w:val="21"/>
                <w:highlight w:val="none"/>
              </w:rPr>
            </w:pPr>
            <w:r>
              <w:rPr>
                <w:rFonts w:cs="Times New Roman"/>
                <w:color w:val="auto"/>
                <w:sz w:val="21"/>
                <w:szCs w:val="21"/>
                <w:highlight w:val="none"/>
              </w:rPr>
              <w:t>孔道位置</w:t>
            </w:r>
          </w:p>
          <w:p>
            <w:pPr>
              <w:widowControl/>
              <w:spacing w:line="240" w:lineRule="auto"/>
              <w:ind w:firstLineChars="0" w:firstLine="0"/>
              <w:jc w:val="center"/>
              <w:textAlignment w:val="center"/>
              <w:rPr>
                <w:rFonts w:cs="Times New Roman"/>
                <w:color w:val="auto"/>
                <w:sz w:val="21"/>
                <w:szCs w:val="21"/>
                <w:highlight w:val="none"/>
              </w:rPr>
            </w:pPr>
            <w:r>
              <w:rPr>
                <w:rFonts w:cs="Times New Roman"/>
                <w:color w:val="auto"/>
                <w:sz w:val="21"/>
                <w:szCs w:val="21"/>
                <w:highlight w:val="none"/>
              </w:rPr>
              <w:t>示意图</w:t>
            </w:r>
          </w:p>
        </w:tc>
        <w:tc>
          <w:tcPr>
            <w:tcW w:w="4303" w:type="pct"/>
            <w:gridSpan w:val="11"/>
            <w:vAlign w:val="center"/>
          </w:tcPr>
          <w:p>
            <w:pPr>
              <w:widowControl/>
              <w:spacing w:line="240" w:lineRule="auto"/>
              <w:ind w:firstLineChars="0" w:firstLine="0"/>
              <w:jc w:val="center"/>
              <w:textAlignment w:val="center"/>
              <w:rPr>
                <w:rFonts w:cs="Times New Roman"/>
                <w:color w:val="auto"/>
                <w:sz w:val="21"/>
                <w:szCs w:val="21"/>
                <w:highlight w:val="none"/>
              </w:rPr>
            </w:pPr>
          </w:p>
        </w:tc>
      </w:tr>
      <w:tr>
        <w:trPr>
          <w:trHeight w:val="642"/>
        </w:trPr>
        <w:tc>
          <w:tcPr>
            <w:tcW w:w="5000" w:type="pct"/>
            <w:gridSpan w:val="12"/>
          </w:tcPr>
          <w:p>
            <w:pPr>
              <w:spacing w:line="240" w:lineRule="auto"/>
              <w:ind w:firstLineChars="0" w:firstLine="0"/>
              <w:jc w:val="left"/>
              <w:rPr>
                <w:rFonts w:cs="Times New Roman"/>
                <w:color w:val="auto"/>
                <w:sz w:val="21"/>
                <w:szCs w:val="21"/>
                <w:highlight w:val="none"/>
              </w:rPr>
            </w:pPr>
            <w:r>
              <w:rPr>
                <w:rFonts w:cs="Times New Roman"/>
                <w:color w:val="auto"/>
                <w:sz w:val="21"/>
                <w:szCs w:val="21"/>
                <w:highlight w:val="none"/>
              </w:rPr>
              <w:t>备注：</w:t>
            </w:r>
          </w:p>
          <w:p>
            <w:pPr>
              <w:spacing w:line="240" w:lineRule="auto"/>
              <w:ind w:firstLineChars="0" w:firstLine="0"/>
              <w:rPr>
                <w:rFonts w:cs="Times New Roman"/>
                <w:color w:val="auto"/>
                <w:sz w:val="21"/>
                <w:szCs w:val="21"/>
                <w:highlight w:val="none"/>
              </w:rPr>
            </w:pPr>
          </w:p>
        </w:tc>
      </w:tr>
    </w:tbl>
    <w:p>
      <w:pPr>
        <w:spacing w:line="240" w:lineRule="auto"/>
        <w:ind w:firstLineChars="0" w:firstLine="0"/>
        <w:jc w:val="left"/>
        <w:rPr>
          <w:rFonts w:cs="Times New Roman"/>
          <w:color w:val="auto"/>
          <w:highlight w:val="none"/>
        </w:rPr>
      </w:pPr>
      <w:r>
        <w:rPr>
          <w:rFonts w:cs="Times New Roman"/>
          <w:color w:val="auto"/>
          <w:sz w:val="21"/>
          <w:szCs w:val="21"/>
          <w:highlight w:val="none"/>
        </w:rPr>
        <w:t>检测</w:t>
      </w:r>
      <w:r>
        <w:rPr>
          <w:rFonts w:cs="Times New Roman" w:hint="eastAsia"/>
          <w:color w:val="auto"/>
          <w:sz w:val="21"/>
          <w:szCs w:val="21"/>
          <w:lang w:val="en-US" w:eastAsia="zh-CN"/>
          <w:highlight w:val="none"/>
        </w:rPr>
        <w:t>人员</w:t>
      </w:r>
      <w:r>
        <w:rPr>
          <w:rFonts w:cs="Times New Roman"/>
          <w:color w:val="auto"/>
          <w:sz w:val="21"/>
          <w:szCs w:val="21"/>
          <w:highlight w:val="none"/>
        </w:rPr>
        <w:t xml:space="preserve">：                            </w:t>
      </w:r>
      <w:r>
        <w:rPr>
          <w:rFonts w:cs="Times New Roman" w:hint="eastAsia"/>
          <w:color w:val="auto"/>
          <w:sz w:val="21"/>
          <w:szCs w:val="21"/>
          <w:lang w:val="en-US" w:eastAsia="zh-CN"/>
          <w:highlight w:val="none"/>
        </w:rPr>
        <w:t>审核人员</w:t>
      </w:r>
      <w:r>
        <w:rPr>
          <w:rFonts w:cs="Times New Roman"/>
          <w:color w:val="auto"/>
          <w:sz w:val="21"/>
          <w:szCs w:val="21"/>
          <w:highlight w:val="none"/>
        </w:rPr>
        <w:t xml:space="preserve">：        </w:t>
      </w:r>
      <w:r>
        <w:rPr>
          <w:rFonts w:cs="Times New Roman" w:hint="eastAsia"/>
          <w:color w:val="auto"/>
          <w:sz w:val="21"/>
          <w:szCs w:val="21"/>
          <w:lang w:val="en-US" w:eastAsia="zh-CN"/>
          <w:highlight w:val="none"/>
        </w:rPr>
        <w:t xml:space="preserve">   </w:t>
      </w:r>
      <w:r>
        <w:rPr>
          <w:rFonts w:cs="Times New Roman"/>
          <w:color w:val="auto"/>
          <w:sz w:val="21"/>
          <w:szCs w:val="21"/>
          <w:highlight w:val="none"/>
        </w:rPr>
        <w:t xml:space="preserve">  </w:t>
      </w:r>
      <w:r>
        <w:rPr>
          <w:rFonts w:cs="Times New Roman" w:hint="eastAsia"/>
          <w:color w:val="auto"/>
          <w:sz w:val="21"/>
          <w:szCs w:val="21"/>
          <w:lang w:val="en-US" w:eastAsia="zh-CN"/>
          <w:highlight w:val="none"/>
        </w:rPr>
        <w:t xml:space="preserve">  检测</w:t>
      </w:r>
      <w:r>
        <w:rPr>
          <w:rFonts w:cs="Times New Roman"/>
          <w:color w:val="auto"/>
          <w:sz w:val="21"/>
          <w:szCs w:val="21"/>
          <w:highlight w:val="none"/>
        </w:rPr>
        <w:t>日期：</w:t>
      </w:r>
    </w:p>
    <w:p>
      <w:pPr>
        <w:ind w:firstLineChars="0" w:firstLine="0"/>
        <w:rPr>
          <w:rFonts w:cs="Times New Roman"/>
          <w:color w:val="auto"/>
          <w:sz w:val="30"/>
          <w:szCs w:val="30"/>
          <w:highlight w:val="none"/>
        </w:rPr>
      </w:pPr>
      <w:r>
        <w:rPr>
          <w:rFonts w:cs="Times New Roman"/>
          <w:color w:val="auto"/>
          <w:sz w:val="30"/>
          <w:szCs w:val="30"/>
          <w:highlight w:val="none"/>
        </w:rPr>
        <w:br w:type="page"/>
      </w:r>
    </w:p>
    <w:p>
      <w:pPr>
        <w:keepNext/>
        <w:keepLines/>
        <w:pageBreakBefore/>
        <w:spacing w:beforeLines="100" w:before="312"/>
        <w:ind w:firstLineChars="0" w:firstLine="0"/>
        <w:jc w:val="center"/>
        <w:outlineLvl w:val="0"/>
        <w:rPr>
          <w:rFonts w:cs="Times New Roman"/>
          <w:b/>
          <w:bCs/>
          <w:color w:val="auto"/>
          <w:kern w:val="44"/>
          <w:sz w:val="30"/>
          <w:szCs w:val="30"/>
          <w:highlight w:val="none"/>
        </w:rPr>
      </w:pPr>
      <w:bookmarkStart w:id="545" w:name="_Toc1520"/>
      <w:bookmarkStart w:id="546" w:name="_Toc463"/>
      <w:bookmarkStart w:id="547" w:name="_Toc13293"/>
      <w:bookmarkStart w:id="548" w:name="_Toc16938"/>
      <w:r>
        <w:rPr>
          <w:rFonts w:cs="Times New Roman"/>
          <w:b/>
          <w:bCs/>
          <w:color w:val="auto"/>
          <w:kern w:val="44"/>
          <w:sz w:val="30"/>
          <w:szCs w:val="30"/>
          <w:highlight w:val="none"/>
        </w:rPr>
        <w:t>附录L　复拉法检测记录表</w:t>
      </w:r>
      <w:bookmarkEnd w:id="545"/>
      <w:bookmarkEnd w:id="546"/>
      <w:bookmarkEnd w:id="547"/>
      <w:bookmarkEnd w:id="548"/>
    </w:p>
    <w:p>
      <w:pPr>
        <w:pStyle w:val="16"/>
        <w:rPr>
          <w:rFonts w:cs="Times New Roman"/>
          <w:color w:val="auto"/>
          <w:highlight w:val="none"/>
        </w:rPr>
      </w:pPr>
      <w:r>
        <w:rPr>
          <w:rFonts w:cs="Times New Roman"/>
          <w:color w:val="auto"/>
          <w:highlight w:val="none"/>
        </w:rPr>
        <w:t>表L</w:t>
      </w:r>
      <w:r>
        <w:rPr>
          <w:rFonts w:cs="Times New Roman" w:hint="eastAsia"/>
          <w:color w:val="auto"/>
          <w:highlight w:val="none"/>
        </w:rPr>
        <w:t>　</w:t>
      </w:r>
      <w:r>
        <w:rPr>
          <w:rFonts w:cs="Times New Roman"/>
          <w:color w:val="auto"/>
          <w:highlight w:val="none"/>
        </w:rPr>
        <w:t>复拉法检测记录表</w:t>
      </w:r>
    </w:p>
    <w:p>
      <w:pPr>
        <w:spacing w:line="240" w:lineRule="auto"/>
        <w:ind w:firstLineChars="0" w:firstLine="0"/>
        <w:rPr>
          <w:rFonts w:cs="Times New Roman"/>
          <w:color w:val="auto"/>
          <w:highlight w:val="none"/>
        </w:rPr>
      </w:pPr>
      <w:r>
        <w:rPr>
          <w:rFonts w:cs="Times New Roman"/>
          <w:color w:val="auto"/>
          <w:sz w:val="21"/>
          <w:szCs w:val="21"/>
          <w:highlight w:val="none"/>
        </w:rPr>
        <w:t xml:space="preserve">委托编号：                                                   </w:t>
      </w:r>
      <w:r>
        <w:rPr>
          <w:rFonts w:cs="Times New Roman" w:hint="eastAsia"/>
          <w:color w:val="auto"/>
          <w:sz w:val="21"/>
          <w:szCs w:val="21"/>
          <w:lang w:val="en-US" w:eastAsia="zh-CN"/>
          <w:highlight w:val="none"/>
        </w:rPr>
        <w:t xml:space="preserve">        </w:t>
      </w:r>
      <w:r>
        <w:rPr>
          <w:rFonts w:cs="Times New Roman"/>
          <w:color w:val="auto"/>
          <w:sz w:val="21"/>
          <w:szCs w:val="21"/>
          <w:highlight w:val="none"/>
        </w:rPr>
        <w:t xml:space="preserve"> 共   页   第   页</w:t>
      </w:r>
    </w:p>
    <w:tbl>
      <w:tblPr>
        <w:jc w:val="left"/>
        <w:tblInd w:w="0" w:type="dxa"/>
        <w:tblW w:w="8336"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top w:w="15" w:type="dxa"/>
          <w:left w:w="15" w:type="dxa"/>
          <w:bottom w:w="15" w:type="dxa"/>
          <w:right w:w="15" w:type="dxa"/>
        </w:tblCellMar>
        <w:tblLook w:val="0600" w:firstRow="0" w:lastRow="0" w:firstColumn="0" w:lastColumn="0" w:noHBand="1" w:noVBand="1"/>
      </w:tblPr>
      <w:tblGrid>
        <w:gridCol w:w="601"/>
        <w:gridCol w:w="1126"/>
        <w:gridCol w:w="565"/>
        <w:gridCol w:w="542"/>
        <w:gridCol w:w="690"/>
        <w:gridCol w:w="325"/>
        <w:gridCol w:w="365"/>
        <w:gridCol w:w="690"/>
        <w:gridCol w:w="670"/>
        <w:gridCol w:w="492"/>
        <w:gridCol w:w="218"/>
        <w:gridCol w:w="690"/>
        <w:gridCol w:w="517"/>
        <w:gridCol w:w="173"/>
        <w:gridCol w:w="672"/>
      </w:tblGrid>
      <w:tr>
        <w:trPr>
          <w:trHeight w:val="340"/>
        </w:trPr>
        <w:tc>
          <w:tcPr>
            <w:tcW w:w="1727" w:type="dxa"/>
            <w:gridSpan w:val="2"/>
            <w:vAlign w:val="center"/>
          </w:tcPr>
          <w:p>
            <w:pPr>
              <w:widowControl/>
              <w:spacing w:line="240" w:lineRule="auto"/>
              <w:ind w:firstLineChars="0" w:firstLine="0"/>
              <w:jc w:val="center"/>
              <w:rPr>
                <w:rFonts w:cs="Times New Roman"/>
                <w:color w:val="auto"/>
                <w:kern w:val="0"/>
                <w:sz w:val="21"/>
                <w:szCs w:val="21"/>
                <w:highlight w:val="none"/>
              </w:rPr>
            </w:pPr>
            <w:r>
              <w:rPr>
                <w:rFonts w:cs="Times New Roman"/>
                <w:color w:val="auto"/>
                <w:kern w:val="0"/>
                <w:sz w:val="21"/>
                <w:szCs w:val="21"/>
                <w:highlight w:val="none"/>
              </w:rPr>
              <w:t>建设项目</w:t>
            </w:r>
          </w:p>
        </w:tc>
        <w:tc>
          <w:tcPr>
            <w:tcW w:w="6609" w:type="dxa"/>
            <w:gridSpan w:val="13"/>
            <w:vAlign w:val="center"/>
          </w:tcPr>
          <w:p>
            <w:pPr>
              <w:widowControl/>
              <w:spacing w:line="240" w:lineRule="auto"/>
              <w:ind w:firstLineChars="0" w:firstLine="0"/>
              <w:jc w:val="center"/>
              <w:rPr>
                <w:rFonts w:cs="Times New Roman"/>
                <w:color w:val="auto"/>
                <w:kern w:val="0"/>
                <w:sz w:val="21"/>
                <w:szCs w:val="21"/>
                <w:highlight w:val="none"/>
              </w:rPr>
            </w:pPr>
          </w:p>
        </w:tc>
      </w:tr>
      <w:tr>
        <w:trPr>
          <w:trHeight w:val="340"/>
        </w:trPr>
        <w:tc>
          <w:tcPr>
            <w:tcW w:w="1727" w:type="dxa"/>
            <w:gridSpan w:val="2"/>
            <w:vAlign w:val="center"/>
          </w:tcPr>
          <w:p>
            <w:pPr>
              <w:widowControl/>
              <w:spacing w:line="240" w:lineRule="auto"/>
              <w:ind w:firstLineChars="0" w:firstLine="0"/>
              <w:jc w:val="center"/>
              <w:rPr>
                <w:rFonts w:cs="Times New Roman"/>
                <w:color w:val="auto"/>
                <w:kern w:val="0"/>
                <w:sz w:val="21"/>
                <w:szCs w:val="21"/>
                <w:highlight w:val="none"/>
              </w:rPr>
            </w:pPr>
            <w:r>
              <w:rPr>
                <w:rFonts w:cs="Times New Roman"/>
                <w:color w:val="auto"/>
                <w:kern w:val="0"/>
                <w:sz w:val="21"/>
                <w:szCs w:val="21"/>
                <w:highlight w:val="none"/>
              </w:rPr>
              <w:t>桥名/部件/构件号</w:t>
            </w:r>
          </w:p>
        </w:tc>
        <w:tc>
          <w:tcPr>
            <w:tcW w:w="6609" w:type="dxa"/>
            <w:gridSpan w:val="13"/>
            <w:vAlign w:val="center"/>
          </w:tcPr>
          <w:p>
            <w:pPr>
              <w:widowControl/>
              <w:spacing w:line="240" w:lineRule="auto"/>
              <w:ind w:firstLineChars="0" w:firstLine="0"/>
              <w:jc w:val="center"/>
              <w:rPr>
                <w:rFonts w:cs="Times New Roman"/>
                <w:color w:val="auto"/>
                <w:kern w:val="0"/>
                <w:sz w:val="21"/>
                <w:szCs w:val="21"/>
                <w:highlight w:val="none"/>
              </w:rPr>
            </w:pPr>
          </w:p>
        </w:tc>
      </w:tr>
      <w:tr>
        <w:trPr>
          <w:trHeight w:val="340"/>
        </w:trPr>
        <w:tc>
          <w:tcPr>
            <w:tcW w:w="1727" w:type="dxa"/>
            <w:gridSpan w:val="2"/>
            <w:vAlign w:val="center"/>
          </w:tcPr>
          <w:p>
            <w:pPr>
              <w:widowControl/>
              <w:spacing w:line="240" w:lineRule="auto"/>
              <w:ind w:firstLineChars="0" w:firstLine="0"/>
              <w:jc w:val="center"/>
              <w:rPr>
                <w:rFonts w:cs="Times New Roman"/>
                <w:color w:val="auto"/>
                <w:kern w:val="0"/>
                <w:sz w:val="21"/>
                <w:szCs w:val="21"/>
                <w:highlight w:val="none"/>
              </w:rPr>
            </w:pPr>
            <w:r>
              <w:rPr>
                <w:rFonts w:cs="Times New Roman"/>
                <w:color w:val="auto"/>
                <w:kern w:val="0"/>
                <w:sz w:val="21"/>
                <w:szCs w:val="21"/>
                <w:highlight w:val="none"/>
              </w:rPr>
              <w:t>样品信息</w:t>
            </w:r>
          </w:p>
        </w:tc>
        <w:tc>
          <w:tcPr>
            <w:tcW w:w="1107" w:type="dxa"/>
            <w:gridSpan w:val="2"/>
            <w:vAlign w:val="center"/>
          </w:tcPr>
          <w:p>
            <w:pPr>
              <w:widowControl/>
              <w:spacing w:line="240" w:lineRule="auto"/>
              <w:ind w:firstLineChars="0" w:firstLine="0"/>
              <w:jc w:val="center"/>
              <w:rPr>
                <w:rFonts w:cs="Times New Roman"/>
                <w:color w:val="auto"/>
                <w:kern w:val="0"/>
                <w:sz w:val="21"/>
                <w:szCs w:val="21"/>
                <w:highlight w:val="none"/>
              </w:rPr>
            </w:pPr>
          </w:p>
        </w:tc>
        <w:tc>
          <w:tcPr>
            <w:tcW w:w="1015" w:type="dxa"/>
            <w:gridSpan w:val="2"/>
            <w:vAlign w:val="center"/>
          </w:tcPr>
          <w:p>
            <w:pPr>
              <w:widowControl/>
              <w:spacing w:line="240" w:lineRule="auto"/>
              <w:ind w:firstLineChars="0" w:firstLine="0"/>
              <w:jc w:val="center"/>
              <w:rPr>
                <w:rFonts w:cs="Times New Roman"/>
                <w:color w:val="auto"/>
                <w:kern w:val="0"/>
                <w:sz w:val="21"/>
                <w:szCs w:val="21"/>
                <w:highlight w:val="none"/>
              </w:rPr>
            </w:pPr>
            <w:r>
              <w:rPr>
                <w:rFonts w:cs="Times New Roman"/>
                <w:color w:val="auto"/>
                <w:kern w:val="0"/>
                <w:sz w:val="21"/>
                <w:szCs w:val="21"/>
                <w:highlight w:val="none"/>
              </w:rPr>
              <w:t>结构类型</w:t>
            </w:r>
          </w:p>
        </w:tc>
        <w:tc>
          <w:tcPr>
            <w:tcW w:w="2217" w:type="dxa"/>
            <w:gridSpan w:val="4"/>
            <w:vAlign w:val="center"/>
          </w:tcPr>
          <w:p>
            <w:pPr>
              <w:widowControl/>
              <w:spacing w:line="240" w:lineRule="auto"/>
              <w:ind w:firstLineChars="0" w:firstLine="0"/>
              <w:jc w:val="center"/>
              <w:rPr>
                <w:rFonts w:cs="Times New Roman"/>
                <w:color w:val="auto"/>
                <w:kern w:val="0"/>
                <w:sz w:val="21"/>
                <w:szCs w:val="21"/>
                <w:highlight w:val="none"/>
              </w:rPr>
            </w:pPr>
          </w:p>
        </w:tc>
        <w:tc>
          <w:tcPr>
            <w:tcW w:w="1425" w:type="dxa"/>
            <w:gridSpan w:val="3"/>
            <w:vAlign w:val="center"/>
          </w:tcPr>
          <w:p>
            <w:pPr>
              <w:widowControl/>
              <w:spacing w:line="240" w:lineRule="auto"/>
              <w:ind w:firstLineChars="0" w:firstLine="0"/>
              <w:jc w:val="center"/>
              <w:rPr>
                <w:rFonts w:cs="Times New Roman"/>
                <w:color w:val="auto"/>
                <w:kern w:val="0"/>
                <w:sz w:val="21"/>
                <w:szCs w:val="21"/>
                <w:highlight w:val="none"/>
              </w:rPr>
            </w:pPr>
            <w:r>
              <w:rPr>
                <w:rFonts w:cs="Times New Roman"/>
                <w:color w:val="auto"/>
                <w:kern w:val="0"/>
                <w:sz w:val="21"/>
                <w:szCs w:val="21"/>
                <w:highlight w:val="none"/>
              </w:rPr>
              <w:t>锚具夹片型号</w:t>
            </w:r>
          </w:p>
        </w:tc>
        <w:tc>
          <w:tcPr>
            <w:tcW w:w="845" w:type="dxa"/>
            <w:gridSpan w:val="2"/>
            <w:vAlign w:val="center"/>
          </w:tcPr>
          <w:p>
            <w:pPr>
              <w:widowControl/>
              <w:spacing w:line="240" w:lineRule="auto"/>
              <w:ind w:firstLineChars="0" w:firstLine="0"/>
              <w:jc w:val="center"/>
              <w:rPr>
                <w:rFonts w:cs="Times New Roman"/>
                <w:color w:val="auto"/>
                <w:kern w:val="0"/>
                <w:sz w:val="21"/>
                <w:szCs w:val="21"/>
                <w:highlight w:val="none"/>
              </w:rPr>
            </w:pPr>
          </w:p>
        </w:tc>
      </w:tr>
      <w:tr>
        <w:trPr>
          <w:trHeight w:val="340"/>
        </w:trPr>
        <w:tc>
          <w:tcPr>
            <w:tcW w:w="1727" w:type="dxa"/>
            <w:gridSpan w:val="2"/>
            <w:vAlign w:val="center"/>
          </w:tcPr>
          <w:p>
            <w:pPr>
              <w:widowControl/>
              <w:spacing w:line="240" w:lineRule="auto"/>
              <w:ind w:firstLineChars="0" w:firstLine="0"/>
              <w:jc w:val="center"/>
              <w:rPr>
                <w:rFonts w:cs="Times New Roman"/>
                <w:color w:val="auto"/>
                <w:kern w:val="0"/>
                <w:sz w:val="21"/>
                <w:szCs w:val="21"/>
                <w:highlight w:val="none"/>
              </w:rPr>
            </w:pPr>
            <w:r>
              <w:rPr>
                <w:rFonts w:cs="Times New Roman"/>
                <w:color w:val="auto"/>
                <w:kern w:val="0"/>
                <w:sz w:val="21"/>
                <w:szCs w:val="21"/>
                <w:highlight w:val="none"/>
              </w:rPr>
              <w:t>张拉时间</w:t>
            </w:r>
          </w:p>
        </w:tc>
        <w:tc>
          <w:tcPr>
            <w:tcW w:w="1107" w:type="dxa"/>
            <w:gridSpan w:val="2"/>
            <w:vAlign w:val="center"/>
          </w:tcPr>
          <w:p>
            <w:pPr>
              <w:widowControl/>
              <w:spacing w:line="240" w:lineRule="auto"/>
              <w:ind w:firstLineChars="0" w:firstLine="0"/>
              <w:jc w:val="center"/>
              <w:rPr>
                <w:rFonts w:cs="Times New Roman"/>
                <w:color w:val="auto"/>
                <w:kern w:val="0"/>
                <w:sz w:val="21"/>
                <w:szCs w:val="21"/>
                <w:highlight w:val="none"/>
              </w:rPr>
            </w:pPr>
          </w:p>
        </w:tc>
        <w:tc>
          <w:tcPr>
            <w:tcW w:w="1015" w:type="dxa"/>
            <w:gridSpan w:val="2"/>
            <w:vAlign w:val="center"/>
          </w:tcPr>
          <w:p>
            <w:pPr>
              <w:widowControl/>
              <w:spacing w:line="240" w:lineRule="auto"/>
              <w:ind w:firstLineChars="0" w:firstLine="0"/>
              <w:jc w:val="center"/>
              <w:rPr>
                <w:rFonts w:cs="Times New Roman"/>
                <w:color w:val="auto"/>
                <w:kern w:val="0"/>
                <w:sz w:val="21"/>
                <w:szCs w:val="21"/>
                <w:highlight w:val="none"/>
              </w:rPr>
            </w:pPr>
            <w:r>
              <w:rPr>
                <w:rFonts w:cs="Times New Roman"/>
                <w:color w:val="auto"/>
                <w:kern w:val="0"/>
                <w:sz w:val="21"/>
                <w:szCs w:val="21"/>
                <w:highlight w:val="none"/>
              </w:rPr>
              <w:t>检测时间</w:t>
            </w:r>
          </w:p>
        </w:tc>
        <w:tc>
          <w:tcPr>
            <w:tcW w:w="2217" w:type="dxa"/>
            <w:gridSpan w:val="4"/>
            <w:vAlign w:val="center"/>
          </w:tcPr>
          <w:p>
            <w:pPr>
              <w:widowControl/>
              <w:spacing w:line="240" w:lineRule="auto"/>
              <w:ind w:firstLineChars="0" w:firstLine="0"/>
              <w:jc w:val="center"/>
              <w:rPr>
                <w:rFonts w:cs="Times New Roman"/>
                <w:color w:val="auto"/>
                <w:kern w:val="0"/>
                <w:sz w:val="21"/>
                <w:szCs w:val="21"/>
                <w:highlight w:val="none"/>
              </w:rPr>
            </w:pPr>
          </w:p>
        </w:tc>
        <w:tc>
          <w:tcPr>
            <w:tcW w:w="1425" w:type="dxa"/>
            <w:gridSpan w:val="3"/>
            <w:vAlign w:val="center"/>
          </w:tcPr>
          <w:p>
            <w:pPr>
              <w:widowControl/>
              <w:spacing w:line="240" w:lineRule="auto"/>
              <w:ind w:firstLineChars="0" w:firstLine="0"/>
              <w:jc w:val="center"/>
              <w:rPr>
                <w:rFonts w:cs="Times New Roman"/>
                <w:color w:val="auto"/>
                <w:kern w:val="0"/>
                <w:sz w:val="21"/>
                <w:szCs w:val="21"/>
                <w:highlight w:val="none"/>
              </w:rPr>
            </w:pPr>
            <w:r>
              <w:rPr>
                <w:rFonts w:cs="Times New Roman"/>
                <w:color w:val="auto"/>
                <w:kern w:val="0"/>
                <w:sz w:val="21"/>
                <w:szCs w:val="21"/>
                <w:highlight w:val="none"/>
              </w:rPr>
              <w:t>检测条件</w:t>
            </w:r>
          </w:p>
        </w:tc>
        <w:tc>
          <w:tcPr>
            <w:tcW w:w="845" w:type="dxa"/>
            <w:gridSpan w:val="2"/>
            <w:vAlign w:val="center"/>
          </w:tcPr>
          <w:p>
            <w:pPr>
              <w:widowControl/>
              <w:spacing w:line="240" w:lineRule="auto"/>
              <w:ind w:firstLineChars="0" w:firstLine="0"/>
              <w:jc w:val="center"/>
              <w:rPr>
                <w:rFonts w:cs="Times New Roman"/>
                <w:color w:val="auto"/>
                <w:kern w:val="0"/>
                <w:sz w:val="21"/>
                <w:szCs w:val="21"/>
                <w:highlight w:val="none"/>
              </w:rPr>
            </w:pPr>
          </w:p>
        </w:tc>
      </w:tr>
      <w:tr>
        <w:trPr>
          <w:trHeight w:val="340"/>
        </w:trPr>
        <w:tc>
          <w:tcPr>
            <w:tcW w:w="1727" w:type="dxa"/>
            <w:gridSpan w:val="2"/>
            <w:vAlign w:val="center"/>
          </w:tcPr>
          <w:p>
            <w:pPr>
              <w:widowControl/>
              <w:spacing w:line="240" w:lineRule="auto"/>
              <w:ind w:firstLineChars="0" w:firstLine="0"/>
              <w:jc w:val="center"/>
              <w:rPr>
                <w:rFonts w:cs="Times New Roman"/>
                <w:color w:val="auto"/>
                <w:kern w:val="0"/>
                <w:sz w:val="21"/>
                <w:szCs w:val="21"/>
                <w:highlight w:val="none"/>
              </w:rPr>
            </w:pPr>
            <w:r>
              <w:rPr>
                <w:rFonts w:cs="Times New Roman"/>
                <w:color w:val="auto"/>
                <w:kern w:val="0"/>
                <w:sz w:val="21"/>
                <w:szCs w:val="21"/>
                <w:highlight w:val="none"/>
              </w:rPr>
              <w:t>检测依据</w:t>
            </w:r>
          </w:p>
        </w:tc>
        <w:tc>
          <w:tcPr>
            <w:tcW w:w="2122" w:type="dxa"/>
            <w:gridSpan w:val="4"/>
            <w:vAlign w:val="center"/>
          </w:tcPr>
          <w:p>
            <w:pPr>
              <w:widowControl/>
              <w:spacing w:line="240" w:lineRule="auto"/>
              <w:ind w:firstLineChars="0" w:firstLine="0"/>
              <w:jc w:val="center"/>
              <w:rPr>
                <w:rFonts w:cs="Times New Roman"/>
                <w:color w:val="auto"/>
                <w:kern w:val="0"/>
                <w:sz w:val="21"/>
                <w:szCs w:val="21"/>
                <w:highlight w:val="none"/>
              </w:rPr>
            </w:pPr>
          </w:p>
        </w:tc>
        <w:tc>
          <w:tcPr>
            <w:tcW w:w="2217" w:type="dxa"/>
            <w:gridSpan w:val="4"/>
            <w:vAlign w:val="center"/>
          </w:tcPr>
          <w:p>
            <w:pPr>
              <w:widowControl/>
              <w:spacing w:line="240" w:lineRule="auto"/>
              <w:ind w:firstLineChars="0" w:firstLine="0"/>
              <w:jc w:val="center"/>
              <w:rPr>
                <w:rFonts w:cs="Times New Roman"/>
                <w:color w:val="auto"/>
                <w:kern w:val="0"/>
                <w:sz w:val="21"/>
                <w:szCs w:val="21"/>
                <w:highlight w:val="none"/>
              </w:rPr>
            </w:pPr>
            <w:r>
              <w:rPr>
                <w:rFonts w:cs="Times New Roman"/>
                <w:color w:val="auto"/>
                <w:kern w:val="0"/>
                <w:sz w:val="21"/>
                <w:szCs w:val="21"/>
                <w:highlight w:val="none"/>
              </w:rPr>
              <w:t>判定依据</w:t>
            </w:r>
          </w:p>
        </w:tc>
        <w:tc>
          <w:tcPr>
            <w:tcW w:w="2270" w:type="dxa"/>
            <w:gridSpan w:val="5"/>
            <w:vAlign w:val="center"/>
          </w:tcPr>
          <w:p>
            <w:pPr>
              <w:widowControl/>
              <w:spacing w:line="240" w:lineRule="auto"/>
              <w:ind w:firstLineChars="0" w:firstLine="0"/>
              <w:jc w:val="center"/>
              <w:rPr>
                <w:rFonts w:cs="Times New Roman"/>
                <w:color w:val="auto"/>
                <w:kern w:val="0"/>
                <w:sz w:val="21"/>
                <w:szCs w:val="21"/>
                <w:highlight w:val="none"/>
              </w:rPr>
            </w:pPr>
          </w:p>
        </w:tc>
      </w:tr>
      <w:tr>
        <w:trPr>
          <w:trHeight w:val="340"/>
        </w:trPr>
        <w:tc>
          <w:tcPr>
            <w:tcW w:w="1727" w:type="dxa"/>
            <w:gridSpan w:val="2"/>
            <w:vAlign w:val="center"/>
          </w:tcPr>
          <w:p>
            <w:pPr>
              <w:widowControl/>
              <w:spacing w:line="240" w:lineRule="auto"/>
              <w:ind w:firstLineChars="0" w:firstLine="0"/>
              <w:jc w:val="center"/>
              <w:rPr>
                <w:rFonts w:cs="Times New Roman"/>
                <w:color w:val="auto"/>
                <w:kern w:val="0"/>
                <w:sz w:val="21"/>
                <w:szCs w:val="21"/>
                <w:highlight w:val="none"/>
              </w:rPr>
            </w:pPr>
            <w:r>
              <w:rPr>
                <w:rFonts w:cs="Times New Roman"/>
                <w:color w:val="auto"/>
                <w:kern w:val="0"/>
                <w:sz w:val="21"/>
                <w:szCs w:val="21"/>
                <w:highlight w:val="none"/>
              </w:rPr>
              <w:t>仪器设备及编号</w:t>
            </w:r>
          </w:p>
        </w:tc>
        <w:tc>
          <w:tcPr>
            <w:tcW w:w="2122" w:type="dxa"/>
            <w:gridSpan w:val="4"/>
            <w:vAlign w:val="center"/>
          </w:tcPr>
          <w:p>
            <w:pPr>
              <w:widowControl/>
              <w:spacing w:line="240" w:lineRule="auto"/>
              <w:ind w:firstLineChars="0" w:firstLine="0"/>
              <w:jc w:val="center"/>
              <w:rPr>
                <w:rFonts w:cs="Times New Roman"/>
                <w:color w:val="auto"/>
                <w:kern w:val="0"/>
                <w:sz w:val="21"/>
                <w:szCs w:val="21"/>
                <w:highlight w:val="none"/>
              </w:rPr>
            </w:pPr>
          </w:p>
        </w:tc>
        <w:tc>
          <w:tcPr>
            <w:tcW w:w="2217" w:type="dxa"/>
            <w:gridSpan w:val="4"/>
            <w:vAlign w:val="center"/>
          </w:tcPr>
          <w:p>
            <w:pPr>
              <w:widowControl/>
              <w:spacing w:line="240" w:lineRule="auto"/>
              <w:ind w:firstLineChars="0" w:firstLine="0"/>
              <w:jc w:val="center"/>
              <w:rPr>
                <w:rFonts w:cs="Times New Roman"/>
                <w:color w:val="auto"/>
                <w:kern w:val="0"/>
                <w:sz w:val="21"/>
                <w:szCs w:val="21"/>
                <w:highlight w:val="none"/>
              </w:rPr>
            </w:pPr>
            <w:r>
              <w:rPr>
                <w:rFonts w:cs="Times New Roman"/>
                <w:color w:val="auto"/>
                <w:kern w:val="0"/>
                <w:sz w:val="21"/>
                <w:szCs w:val="21"/>
                <w:highlight w:val="none"/>
              </w:rPr>
              <w:t>锚口摩阻</w:t>
            </w:r>
          </w:p>
        </w:tc>
        <w:tc>
          <w:tcPr>
            <w:tcW w:w="2270" w:type="dxa"/>
            <w:gridSpan w:val="5"/>
            <w:vAlign w:val="center"/>
          </w:tcPr>
          <w:p>
            <w:pPr>
              <w:widowControl/>
              <w:spacing w:line="240" w:lineRule="auto"/>
              <w:ind w:firstLineChars="0" w:firstLine="0"/>
              <w:jc w:val="center"/>
              <w:rPr>
                <w:rFonts w:cs="Times New Roman"/>
                <w:color w:val="auto"/>
                <w:kern w:val="0"/>
                <w:sz w:val="21"/>
                <w:szCs w:val="21"/>
                <w:highlight w:val="none"/>
              </w:rPr>
            </w:pPr>
          </w:p>
        </w:tc>
      </w:tr>
      <w:tr>
        <w:trPr>
          <w:trHeight w:val="340"/>
        </w:trPr>
        <w:tc>
          <w:tcPr>
            <w:tcW w:w="1727" w:type="dxa"/>
            <w:gridSpan w:val="2"/>
            <w:vAlign w:val="center"/>
          </w:tcPr>
          <w:p>
            <w:pPr>
              <w:widowControl/>
              <w:spacing w:line="240" w:lineRule="auto"/>
              <w:ind w:firstLineChars="0" w:firstLine="0"/>
              <w:jc w:val="center"/>
              <w:rPr>
                <w:rFonts w:cs="Times New Roman"/>
                <w:color w:val="auto"/>
                <w:kern w:val="0"/>
                <w:sz w:val="21"/>
                <w:szCs w:val="21"/>
                <w:highlight w:val="none"/>
              </w:rPr>
            </w:pPr>
            <w:r>
              <w:rPr>
                <w:rFonts w:cs="Times New Roman"/>
                <w:color w:val="auto"/>
                <w:kern w:val="0"/>
                <w:sz w:val="21"/>
                <w:szCs w:val="21"/>
                <w:highlight w:val="none"/>
              </w:rPr>
              <w:t>设计张拉控制系数</w:t>
            </w:r>
          </w:p>
        </w:tc>
        <w:tc>
          <w:tcPr>
            <w:tcW w:w="2122" w:type="dxa"/>
            <w:gridSpan w:val="4"/>
            <w:vAlign w:val="center"/>
          </w:tcPr>
          <w:p>
            <w:pPr>
              <w:widowControl/>
              <w:spacing w:line="240" w:lineRule="auto"/>
              <w:ind w:firstLineChars="0" w:firstLine="0"/>
              <w:jc w:val="center"/>
              <w:rPr>
                <w:rFonts w:cs="Times New Roman"/>
                <w:color w:val="auto"/>
                <w:kern w:val="0"/>
                <w:sz w:val="21"/>
                <w:szCs w:val="21"/>
                <w:highlight w:val="none"/>
              </w:rPr>
            </w:pPr>
          </w:p>
        </w:tc>
        <w:tc>
          <w:tcPr>
            <w:tcW w:w="2217" w:type="dxa"/>
            <w:gridSpan w:val="4"/>
            <w:vAlign w:val="center"/>
          </w:tcPr>
          <w:p>
            <w:pPr>
              <w:widowControl/>
              <w:spacing w:line="240" w:lineRule="auto"/>
              <w:ind w:firstLineChars="0" w:firstLine="0"/>
              <w:jc w:val="center"/>
              <w:rPr>
                <w:rFonts w:cs="Times New Roman"/>
                <w:color w:val="auto"/>
                <w:kern w:val="0"/>
                <w:sz w:val="21"/>
                <w:szCs w:val="21"/>
                <w:highlight w:val="none"/>
              </w:rPr>
            </w:pPr>
            <w:r>
              <w:rPr>
                <w:rFonts w:cs="Times New Roman"/>
                <w:color w:val="auto"/>
                <w:kern w:val="0"/>
                <w:sz w:val="21"/>
                <w:szCs w:val="21"/>
                <w:highlight w:val="none"/>
              </w:rPr>
              <w:t>单根允许偏差（kN）</w:t>
            </w:r>
          </w:p>
        </w:tc>
        <w:tc>
          <w:tcPr>
            <w:tcW w:w="2270" w:type="dxa"/>
            <w:gridSpan w:val="5"/>
            <w:vAlign w:val="center"/>
          </w:tcPr>
          <w:p>
            <w:pPr>
              <w:widowControl/>
              <w:spacing w:line="240" w:lineRule="auto"/>
              <w:ind w:firstLineChars="0" w:firstLine="0"/>
              <w:jc w:val="center"/>
              <w:rPr>
                <w:rFonts w:cs="Times New Roman"/>
                <w:color w:val="auto"/>
                <w:kern w:val="0"/>
                <w:sz w:val="21"/>
                <w:szCs w:val="21"/>
                <w:highlight w:val="none"/>
              </w:rPr>
            </w:pPr>
          </w:p>
        </w:tc>
      </w:tr>
      <w:tr>
        <w:trPr>
          <w:trHeight w:val="340"/>
        </w:trPr>
        <w:tc>
          <w:tcPr>
            <w:tcW w:w="1727" w:type="dxa"/>
            <w:gridSpan w:val="2"/>
            <w:vAlign w:val="center"/>
          </w:tcPr>
          <w:p>
            <w:pPr>
              <w:widowControl/>
              <w:spacing w:line="240" w:lineRule="auto"/>
              <w:ind w:firstLineChars="0" w:firstLine="0"/>
              <w:jc w:val="center"/>
              <w:rPr>
                <w:rFonts w:cs="Times New Roman"/>
                <w:color w:val="auto"/>
                <w:kern w:val="0"/>
                <w:sz w:val="21"/>
                <w:szCs w:val="21"/>
                <w:highlight w:val="none"/>
              </w:rPr>
            </w:pPr>
            <w:r>
              <w:rPr>
                <w:rFonts w:cs="Times New Roman"/>
                <w:color w:val="auto"/>
                <w:kern w:val="0"/>
                <w:sz w:val="21"/>
                <w:szCs w:val="21"/>
                <w:highlight w:val="none"/>
              </w:rPr>
              <w:t>锚外张拉控制力值（kN）</w:t>
            </w:r>
          </w:p>
        </w:tc>
        <w:tc>
          <w:tcPr>
            <w:tcW w:w="2122" w:type="dxa"/>
            <w:gridSpan w:val="4"/>
            <w:tcBorders>
              <w:right w:val="single" w:sz="4" w:space="0" w:color="auto"/>
            </w:tcBorders>
            <w:vAlign w:val="center"/>
          </w:tcPr>
          <w:p>
            <w:pPr>
              <w:widowControl/>
              <w:spacing w:line="240" w:lineRule="auto"/>
              <w:ind w:firstLineChars="0" w:firstLine="0"/>
              <w:jc w:val="center"/>
              <w:rPr>
                <w:rFonts w:cs="Times New Roman"/>
                <w:color w:val="auto"/>
                <w:kern w:val="0"/>
                <w:sz w:val="21"/>
                <w:szCs w:val="21"/>
                <w:highlight w:val="none"/>
              </w:rPr>
            </w:pPr>
          </w:p>
        </w:tc>
        <w:tc>
          <w:tcPr>
            <w:tcW w:w="2217" w:type="dxa"/>
            <w:gridSpan w:val="4"/>
            <w:tcBorders>
              <w:left w:val="single" w:sz="4" w:space="0" w:color="auto"/>
              <w:right w:val="single" w:sz="4" w:space="0" w:color="auto"/>
            </w:tcBorders>
            <w:vAlign w:val="center"/>
          </w:tcPr>
          <w:p>
            <w:pPr>
              <w:widowControl/>
              <w:spacing w:line="240" w:lineRule="auto"/>
              <w:ind w:firstLineChars="0" w:firstLine="0"/>
              <w:jc w:val="center"/>
              <w:rPr>
                <w:rFonts w:cs="Times New Roman"/>
                <w:color w:val="auto"/>
                <w:kern w:val="0"/>
                <w:sz w:val="21"/>
                <w:szCs w:val="21"/>
                <w:highlight w:val="none"/>
              </w:rPr>
            </w:pPr>
            <w:r>
              <w:rPr>
                <w:rFonts w:cs="Times New Roman"/>
                <w:color w:val="auto"/>
                <w:kern w:val="0"/>
                <w:sz w:val="21"/>
                <w:szCs w:val="21"/>
                <w:highlight w:val="none"/>
              </w:rPr>
              <w:t>单根锚下预应力标准值（kN）</w:t>
            </w:r>
          </w:p>
        </w:tc>
        <w:tc>
          <w:tcPr>
            <w:tcW w:w="2270" w:type="dxa"/>
            <w:gridSpan w:val="5"/>
            <w:tcBorders>
              <w:left w:val="single" w:sz="4" w:space="0" w:color="auto"/>
            </w:tcBorders>
            <w:vAlign w:val="center"/>
          </w:tcPr>
          <w:p>
            <w:pPr>
              <w:widowControl/>
              <w:spacing w:line="240" w:lineRule="auto"/>
              <w:ind w:firstLineChars="0" w:firstLine="0"/>
              <w:jc w:val="center"/>
              <w:rPr>
                <w:rFonts w:cs="Times New Roman"/>
                <w:color w:val="auto"/>
                <w:kern w:val="0"/>
                <w:sz w:val="21"/>
                <w:szCs w:val="21"/>
                <w:highlight w:val="none"/>
              </w:rPr>
            </w:pPr>
          </w:p>
        </w:tc>
      </w:tr>
      <w:tr>
        <w:trPr>
          <w:trHeight w:val="340"/>
        </w:trPr>
        <w:tc>
          <w:tcPr>
            <w:tcW w:w="1727" w:type="dxa"/>
            <w:gridSpan w:val="2"/>
            <w:vAlign w:val="center"/>
          </w:tcPr>
          <w:p>
            <w:pPr>
              <w:widowControl/>
              <w:spacing w:line="240" w:lineRule="auto"/>
              <w:ind w:firstLineChars="0" w:firstLine="0"/>
              <w:jc w:val="center"/>
              <w:rPr>
                <w:rFonts w:cs="Times New Roman"/>
                <w:color w:val="auto"/>
                <w:kern w:val="0"/>
                <w:sz w:val="21"/>
                <w:szCs w:val="21"/>
                <w:highlight w:val="none"/>
              </w:rPr>
            </w:pPr>
            <w:r>
              <w:rPr>
                <w:rFonts w:cs="Times New Roman"/>
                <w:color w:val="auto"/>
                <w:kern w:val="0"/>
                <w:sz w:val="21"/>
                <w:szCs w:val="21"/>
                <w:highlight w:val="none"/>
              </w:rPr>
              <w:t>孔</w:t>
            </w:r>
            <w:r>
              <w:rPr>
                <w:rFonts w:cs="Times New Roman" w:hint="eastAsia"/>
                <w:color w:val="auto"/>
                <w:kern w:val="0"/>
                <w:sz w:val="21"/>
                <w:szCs w:val="21"/>
                <w:highlight w:val="none"/>
              </w:rPr>
              <w:t>（束）</w:t>
            </w:r>
            <w:r>
              <w:rPr>
                <w:rFonts w:cs="Times New Roman"/>
                <w:color w:val="auto"/>
                <w:kern w:val="0"/>
                <w:sz w:val="21"/>
                <w:szCs w:val="21"/>
                <w:highlight w:val="none"/>
              </w:rPr>
              <w:t>号</w:t>
            </w:r>
          </w:p>
        </w:tc>
        <w:tc>
          <w:tcPr>
            <w:tcW w:w="6609" w:type="dxa"/>
            <w:gridSpan w:val="13"/>
            <w:vAlign w:val="center"/>
          </w:tcPr>
          <w:p>
            <w:pPr>
              <w:widowControl/>
              <w:spacing w:line="240" w:lineRule="auto"/>
              <w:ind w:firstLineChars="0" w:firstLine="0"/>
              <w:jc w:val="center"/>
              <w:rPr>
                <w:rFonts w:cs="Times New Roman"/>
                <w:color w:val="auto"/>
                <w:kern w:val="0"/>
                <w:sz w:val="21"/>
                <w:szCs w:val="21"/>
                <w:highlight w:val="none"/>
              </w:rPr>
            </w:pPr>
            <w:r>
              <w:rPr>
                <w:rFonts w:cs="Times New Roman"/>
                <w:color w:val="auto"/>
                <w:kern w:val="0"/>
                <w:sz w:val="21"/>
                <w:szCs w:val="21"/>
                <w:highlight w:val="none"/>
              </w:rPr>
              <w:t>检测结果（kN）</w:t>
            </w:r>
          </w:p>
        </w:tc>
      </w:tr>
      <w:tr>
        <w:trPr>
          <w:trHeight w:val="397"/>
        </w:trPr>
        <w:tc>
          <w:tcPr>
            <w:tcW w:w="601" w:type="dxa"/>
            <w:vMerge w:val="restart"/>
            <w:vAlign w:val="center"/>
          </w:tcPr>
          <w:p>
            <w:pPr>
              <w:widowControl/>
              <w:spacing w:line="240" w:lineRule="auto"/>
              <w:ind w:firstLineChars="0" w:firstLine="0"/>
              <w:jc w:val="center"/>
              <w:rPr>
                <w:rFonts w:cs="Times New Roman"/>
                <w:color w:val="auto"/>
                <w:kern w:val="0"/>
                <w:sz w:val="21"/>
                <w:szCs w:val="21"/>
                <w:highlight w:val="none"/>
              </w:rPr>
            </w:pPr>
          </w:p>
        </w:tc>
        <w:tc>
          <w:tcPr>
            <w:tcW w:w="1126" w:type="dxa"/>
            <w:vAlign w:val="center"/>
          </w:tcPr>
          <w:p>
            <w:pPr>
              <w:widowControl/>
              <w:spacing w:line="240" w:lineRule="auto"/>
              <w:ind w:firstLineChars="0" w:firstLine="0"/>
              <w:jc w:val="center"/>
              <w:rPr>
                <w:rFonts w:cs="Times New Roman"/>
                <w:color w:val="auto"/>
                <w:kern w:val="0"/>
                <w:sz w:val="21"/>
                <w:szCs w:val="21"/>
                <w:highlight w:val="none"/>
              </w:rPr>
            </w:pPr>
            <w:r>
              <w:rPr>
                <w:rFonts w:cs="Times New Roman"/>
                <w:color w:val="auto"/>
                <w:kern w:val="0"/>
                <w:sz w:val="21"/>
                <w:szCs w:val="21"/>
                <w:highlight w:val="none"/>
              </w:rPr>
              <w:t>索号</w:t>
            </w:r>
          </w:p>
        </w:tc>
        <w:tc>
          <w:tcPr>
            <w:tcW w:w="565" w:type="dxa"/>
            <w:vAlign w:val="center"/>
          </w:tcPr>
          <w:p>
            <w:pPr>
              <w:widowControl/>
              <w:spacing w:line="240" w:lineRule="auto"/>
              <w:ind w:firstLineChars="0" w:firstLine="0"/>
              <w:jc w:val="center"/>
              <w:rPr>
                <w:rFonts w:cs="Times New Roman"/>
                <w:color w:val="auto"/>
                <w:kern w:val="0"/>
                <w:sz w:val="21"/>
                <w:szCs w:val="21"/>
                <w:highlight w:val="none"/>
              </w:rPr>
            </w:pPr>
          </w:p>
        </w:tc>
        <w:tc>
          <w:tcPr>
            <w:tcW w:w="542" w:type="dxa"/>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gridSpan w:val="2"/>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vAlign w:val="center"/>
          </w:tcPr>
          <w:p>
            <w:pPr>
              <w:widowControl/>
              <w:spacing w:line="240" w:lineRule="auto"/>
              <w:ind w:firstLineChars="0" w:firstLine="0"/>
              <w:jc w:val="center"/>
              <w:rPr>
                <w:rFonts w:cs="Times New Roman"/>
                <w:color w:val="auto"/>
                <w:kern w:val="0"/>
                <w:sz w:val="21"/>
                <w:szCs w:val="21"/>
                <w:highlight w:val="none"/>
              </w:rPr>
            </w:pPr>
          </w:p>
        </w:tc>
        <w:tc>
          <w:tcPr>
            <w:tcW w:w="670" w:type="dxa"/>
            <w:vAlign w:val="center"/>
          </w:tcPr>
          <w:p>
            <w:pPr>
              <w:widowControl/>
              <w:spacing w:line="240" w:lineRule="auto"/>
              <w:ind w:firstLineChars="0" w:firstLine="0"/>
              <w:jc w:val="center"/>
              <w:rPr>
                <w:rFonts w:cs="Times New Roman"/>
                <w:color w:val="auto"/>
                <w:kern w:val="0"/>
                <w:sz w:val="21"/>
                <w:szCs w:val="21"/>
                <w:highlight w:val="none"/>
              </w:rPr>
            </w:pPr>
          </w:p>
        </w:tc>
        <w:tc>
          <w:tcPr>
            <w:tcW w:w="710" w:type="dxa"/>
            <w:gridSpan w:val="2"/>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gridSpan w:val="2"/>
            <w:vAlign w:val="center"/>
          </w:tcPr>
          <w:p>
            <w:pPr>
              <w:widowControl/>
              <w:spacing w:line="240" w:lineRule="auto"/>
              <w:ind w:firstLineChars="0" w:firstLine="0"/>
              <w:jc w:val="center"/>
              <w:rPr>
                <w:rFonts w:cs="Times New Roman"/>
                <w:color w:val="auto"/>
                <w:kern w:val="0"/>
                <w:sz w:val="21"/>
                <w:szCs w:val="21"/>
                <w:highlight w:val="none"/>
              </w:rPr>
            </w:pPr>
          </w:p>
        </w:tc>
        <w:tc>
          <w:tcPr>
            <w:tcW w:w="672" w:type="dxa"/>
            <w:vAlign w:val="center"/>
          </w:tcPr>
          <w:p>
            <w:pPr>
              <w:widowControl/>
              <w:spacing w:line="240" w:lineRule="auto"/>
              <w:ind w:firstLineChars="0" w:firstLine="0"/>
              <w:jc w:val="center"/>
              <w:rPr>
                <w:rFonts w:cs="Times New Roman"/>
                <w:color w:val="auto"/>
                <w:kern w:val="0"/>
                <w:sz w:val="21"/>
                <w:szCs w:val="21"/>
                <w:highlight w:val="none"/>
              </w:rPr>
            </w:pPr>
          </w:p>
        </w:tc>
      </w:tr>
      <w:tr>
        <w:trPr>
          <w:trHeight w:val="397"/>
        </w:trPr>
        <w:tc>
          <w:tcPr>
            <w:tcW w:w="601" w:type="dxa"/>
            <w:vMerge/>
            <w:tcBorders>
              <w:bottom w:val="single" w:sz="4" w:space="0" w:color="auto"/>
            </w:tcBorders>
            <w:vAlign w:val="center"/>
          </w:tcPr>
          <w:p/>
        </w:tc>
        <w:tc>
          <w:tcPr>
            <w:tcW w:w="1126" w:type="dxa"/>
            <w:vAlign w:val="center"/>
          </w:tcPr>
          <w:p>
            <w:pPr>
              <w:widowControl/>
              <w:spacing w:line="240" w:lineRule="auto"/>
              <w:ind w:firstLineChars="0" w:firstLine="0"/>
              <w:jc w:val="center"/>
              <w:rPr>
                <w:rFonts w:cs="Times New Roman"/>
                <w:color w:val="auto"/>
                <w:kern w:val="0"/>
                <w:sz w:val="21"/>
                <w:szCs w:val="21"/>
                <w:highlight w:val="none"/>
              </w:rPr>
            </w:pPr>
            <w:r>
              <w:rPr>
                <w:rFonts w:cs="Times New Roman"/>
                <w:color w:val="auto"/>
                <w:kern w:val="0"/>
                <w:sz w:val="21"/>
                <w:szCs w:val="21"/>
                <w:highlight w:val="none"/>
              </w:rPr>
              <w:t>实测值</w:t>
            </w:r>
          </w:p>
        </w:tc>
        <w:tc>
          <w:tcPr>
            <w:tcW w:w="565" w:type="dxa"/>
            <w:vAlign w:val="center"/>
          </w:tcPr>
          <w:p>
            <w:pPr>
              <w:widowControl/>
              <w:spacing w:line="240" w:lineRule="auto"/>
              <w:ind w:firstLineChars="0" w:firstLine="0"/>
              <w:jc w:val="center"/>
              <w:rPr>
                <w:rFonts w:cs="Times New Roman"/>
                <w:color w:val="auto"/>
                <w:kern w:val="0"/>
                <w:sz w:val="21"/>
                <w:szCs w:val="21"/>
                <w:highlight w:val="none"/>
              </w:rPr>
            </w:pPr>
          </w:p>
        </w:tc>
        <w:tc>
          <w:tcPr>
            <w:tcW w:w="542" w:type="dxa"/>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gridSpan w:val="2"/>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vAlign w:val="center"/>
          </w:tcPr>
          <w:p>
            <w:pPr>
              <w:widowControl/>
              <w:spacing w:line="240" w:lineRule="auto"/>
              <w:ind w:firstLineChars="0" w:firstLine="0"/>
              <w:jc w:val="center"/>
              <w:rPr>
                <w:rFonts w:cs="Times New Roman"/>
                <w:color w:val="auto"/>
                <w:kern w:val="0"/>
                <w:sz w:val="21"/>
                <w:szCs w:val="21"/>
                <w:highlight w:val="none"/>
              </w:rPr>
            </w:pPr>
          </w:p>
        </w:tc>
        <w:tc>
          <w:tcPr>
            <w:tcW w:w="670" w:type="dxa"/>
            <w:vAlign w:val="center"/>
          </w:tcPr>
          <w:p>
            <w:pPr>
              <w:widowControl/>
              <w:spacing w:line="240" w:lineRule="auto"/>
              <w:ind w:firstLineChars="0" w:firstLine="0"/>
              <w:jc w:val="center"/>
              <w:rPr>
                <w:rFonts w:cs="Times New Roman"/>
                <w:color w:val="auto"/>
                <w:kern w:val="0"/>
                <w:sz w:val="21"/>
                <w:szCs w:val="21"/>
                <w:highlight w:val="none"/>
              </w:rPr>
            </w:pPr>
          </w:p>
        </w:tc>
        <w:tc>
          <w:tcPr>
            <w:tcW w:w="710" w:type="dxa"/>
            <w:gridSpan w:val="2"/>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gridSpan w:val="2"/>
            <w:vAlign w:val="center"/>
          </w:tcPr>
          <w:p>
            <w:pPr>
              <w:widowControl/>
              <w:spacing w:line="240" w:lineRule="auto"/>
              <w:ind w:firstLineChars="0" w:firstLine="0"/>
              <w:jc w:val="center"/>
              <w:rPr>
                <w:rFonts w:cs="Times New Roman"/>
                <w:color w:val="auto"/>
                <w:kern w:val="0"/>
                <w:sz w:val="21"/>
                <w:szCs w:val="21"/>
                <w:highlight w:val="none"/>
              </w:rPr>
            </w:pPr>
          </w:p>
        </w:tc>
        <w:tc>
          <w:tcPr>
            <w:tcW w:w="672" w:type="dxa"/>
            <w:vAlign w:val="center"/>
          </w:tcPr>
          <w:p>
            <w:pPr>
              <w:widowControl/>
              <w:spacing w:line="240" w:lineRule="auto"/>
              <w:ind w:firstLineChars="0" w:firstLine="0"/>
              <w:jc w:val="center"/>
              <w:rPr>
                <w:rFonts w:cs="Times New Roman"/>
                <w:color w:val="auto"/>
                <w:kern w:val="0"/>
                <w:sz w:val="21"/>
                <w:szCs w:val="21"/>
                <w:highlight w:val="none"/>
              </w:rPr>
            </w:pPr>
          </w:p>
        </w:tc>
      </w:tr>
      <w:tr>
        <w:trPr>
          <w:trHeight w:val="397"/>
        </w:trPr>
        <w:tc>
          <w:tcPr>
            <w:tcW w:w="601" w:type="dxa"/>
            <w:vMerge w:val="restart"/>
            <w:tcBorders>
              <w:top w:val="single" w:sz="4" w:space="0" w:color="auto"/>
            </w:tcBorders>
            <w:vAlign w:val="center"/>
          </w:tcPr>
          <w:p>
            <w:pPr>
              <w:widowControl/>
              <w:spacing w:line="240" w:lineRule="auto"/>
              <w:ind w:firstLineChars="0" w:firstLine="0"/>
              <w:jc w:val="center"/>
              <w:rPr>
                <w:rFonts w:cs="Times New Roman"/>
                <w:color w:val="auto"/>
                <w:kern w:val="0"/>
                <w:sz w:val="21"/>
                <w:szCs w:val="21"/>
                <w:highlight w:val="none"/>
              </w:rPr>
            </w:pPr>
          </w:p>
        </w:tc>
        <w:tc>
          <w:tcPr>
            <w:tcW w:w="1126" w:type="dxa"/>
            <w:vAlign w:val="center"/>
          </w:tcPr>
          <w:p>
            <w:pPr>
              <w:widowControl/>
              <w:spacing w:line="240" w:lineRule="auto"/>
              <w:ind w:firstLineChars="0" w:firstLine="0"/>
              <w:jc w:val="center"/>
              <w:rPr>
                <w:rFonts w:cs="Times New Roman"/>
                <w:color w:val="auto"/>
                <w:kern w:val="0"/>
                <w:sz w:val="21"/>
                <w:szCs w:val="21"/>
                <w:highlight w:val="none"/>
              </w:rPr>
            </w:pPr>
            <w:r>
              <w:rPr>
                <w:rFonts w:cs="Times New Roman"/>
                <w:color w:val="auto"/>
                <w:kern w:val="0"/>
                <w:sz w:val="21"/>
                <w:szCs w:val="21"/>
                <w:highlight w:val="none"/>
              </w:rPr>
              <w:t>索号</w:t>
            </w:r>
          </w:p>
        </w:tc>
        <w:tc>
          <w:tcPr>
            <w:tcW w:w="565" w:type="dxa"/>
            <w:vAlign w:val="center"/>
          </w:tcPr>
          <w:p>
            <w:pPr>
              <w:widowControl/>
              <w:spacing w:line="240" w:lineRule="auto"/>
              <w:ind w:firstLineChars="0" w:firstLine="0"/>
              <w:jc w:val="center"/>
              <w:rPr>
                <w:rFonts w:cs="Times New Roman"/>
                <w:color w:val="auto"/>
                <w:kern w:val="0"/>
                <w:sz w:val="21"/>
                <w:szCs w:val="21"/>
                <w:highlight w:val="none"/>
              </w:rPr>
            </w:pPr>
          </w:p>
        </w:tc>
        <w:tc>
          <w:tcPr>
            <w:tcW w:w="542" w:type="dxa"/>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gridSpan w:val="2"/>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vAlign w:val="center"/>
          </w:tcPr>
          <w:p>
            <w:pPr>
              <w:widowControl/>
              <w:spacing w:line="240" w:lineRule="auto"/>
              <w:ind w:firstLineChars="0" w:firstLine="0"/>
              <w:jc w:val="center"/>
              <w:rPr>
                <w:rFonts w:cs="Times New Roman"/>
                <w:color w:val="auto"/>
                <w:kern w:val="0"/>
                <w:sz w:val="21"/>
                <w:szCs w:val="21"/>
                <w:highlight w:val="none"/>
              </w:rPr>
            </w:pPr>
          </w:p>
        </w:tc>
        <w:tc>
          <w:tcPr>
            <w:tcW w:w="670" w:type="dxa"/>
            <w:vAlign w:val="center"/>
          </w:tcPr>
          <w:p>
            <w:pPr>
              <w:widowControl/>
              <w:spacing w:line="240" w:lineRule="auto"/>
              <w:ind w:firstLineChars="0" w:firstLine="0"/>
              <w:jc w:val="center"/>
              <w:rPr>
                <w:rFonts w:cs="Times New Roman"/>
                <w:color w:val="auto"/>
                <w:kern w:val="0"/>
                <w:sz w:val="21"/>
                <w:szCs w:val="21"/>
                <w:highlight w:val="none"/>
              </w:rPr>
            </w:pPr>
          </w:p>
        </w:tc>
        <w:tc>
          <w:tcPr>
            <w:tcW w:w="710" w:type="dxa"/>
            <w:gridSpan w:val="2"/>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gridSpan w:val="2"/>
            <w:vAlign w:val="center"/>
          </w:tcPr>
          <w:p>
            <w:pPr>
              <w:widowControl/>
              <w:spacing w:line="240" w:lineRule="auto"/>
              <w:ind w:firstLineChars="0" w:firstLine="0"/>
              <w:jc w:val="center"/>
              <w:rPr>
                <w:rFonts w:cs="Times New Roman"/>
                <w:color w:val="auto"/>
                <w:kern w:val="0"/>
                <w:sz w:val="21"/>
                <w:szCs w:val="21"/>
                <w:highlight w:val="none"/>
              </w:rPr>
            </w:pPr>
          </w:p>
        </w:tc>
        <w:tc>
          <w:tcPr>
            <w:tcW w:w="672" w:type="dxa"/>
            <w:vAlign w:val="center"/>
          </w:tcPr>
          <w:p>
            <w:pPr>
              <w:widowControl/>
              <w:spacing w:line="240" w:lineRule="auto"/>
              <w:ind w:firstLineChars="0" w:firstLine="0"/>
              <w:jc w:val="center"/>
              <w:rPr>
                <w:rFonts w:cs="Times New Roman"/>
                <w:color w:val="auto"/>
                <w:kern w:val="0"/>
                <w:sz w:val="21"/>
                <w:szCs w:val="21"/>
                <w:highlight w:val="none"/>
              </w:rPr>
            </w:pPr>
          </w:p>
        </w:tc>
      </w:tr>
      <w:tr>
        <w:trPr>
          <w:trHeight w:val="397"/>
        </w:trPr>
        <w:tc>
          <w:tcPr>
            <w:tcW w:w="601" w:type="dxa"/>
            <w:vMerge/>
            <w:tcBorders>
              <w:bottom w:val="single" w:sz="4" w:space="0" w:color="auto"/>
            </w:tcBorders>
            <w:vAlign w:val="center"/>
          </w:tcPr>
          <w:p/>
        </w:tc>
        <w:tc>
          <w:tcPr>
            <w:tcW w:w="1126" w:type="dxa"/>
            <w:vAlign w:val="center"/>
          </w:tcPr>
          <w:p>
            <w:pPr>
              <w:widowControl/>
              <w:spacing w:line="240" w:lineRule="auto"/>
              <w:ind w:firstLineChars="0" w:firstLine="0"/>
              <w:jc w:val="center"/>
              <w:rPr>
                <w:rFonts w:cs="Times New Roman"/>
                <w:color w:val="auto"/>
                <w:kern w:val="0"/>
                <w:sz w:val="21"/>
                <w:szCs w:val="21"/>
                <w:highlight w:val="none"/>
              </w:rPr>
            </w:pPr>
            <w:r>
              <w:rPr>
                <w:rFonts w:cs="Times New Roman"/>
                <w:color w:val="auto"/>
                <w:kern w:val="0"/>
                <w:sz w:val="21"/>
                <w:szCs w:val="21"/>
                <w:highlight w:val="none"/>
              </w:rPr>
              <w:t>实测值</w:t>
            </w:r>
          </w:p>
        </w:tc>
        <w:tc>
          <w:tcPr>
            <w:tcW w:w="565" w:type="dxa"/>
            <w:vAlign w:val="center"/>
          </w:tcPr>
          <w:p>
            <w:pPr>
              <w:widowControl/>
              <w:spacing w:line="240" w:lineRule="auto"/>
              <w:ind w:firstLineChars="0" w:firstLine="0"/>
              <w:jc w:val="center"/>
              <w:rPr>
                <w:rFonts w:cs="Times New Roman"/>
                <w:color w:val="auto"/>
                <w:kern w:val="0"/>
                <w:sz w:val="21"/>
                <w:szCs w:val="21"/>
                <w:highlight w:val="none"/>
              </w:rPr>
            </w:pPr>
          </w:p>
        </w:tc>
        <w:tc>
          <w:tcPr>
            <w:tcW w:w="542" w:type="dxa"/>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gridSpan w:val="2"/>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vAlign w:val="center"/>
          </w:tcPr>
          <w:p>
            <w:pPr>
              <w:widowControl/>
              <w:spacing w:line="240" w:lineRule="auto"/>
              <w:ind w:firstLineChars="0" w:firstLine="0"/>
              <w:jc w:val="center"/>
              <w:rPr>
                <w:rFonts w:cs="Times New Roman"/>
                <w:color w:val="auto"/>
                <w:kern w:val="0"/>
                <w:sz w:val="21"/>
                <w:szCs w:val="21"/>
                <w:highlight w:val="none"/>
              </w:rPr>
            </w:pPr>
          </w:p>
        </w:tc>
        <w:tc>
          <w:tcPr>
            <w:tcW w:w="670" w:type="dxa"/>
            <w:vAlign w:val="center"/>
          </w:tcPr>
          <w:p>
            <w:pPr>
              <w:widowControl/>
              <w:spacing w:line="240" w:lineRule="auto"/>
              <w:ind w:firstLineChars="0" w:firstLine="0"/>
              <w:jc w:val="center"/>
              <w:rPr>
                <w:rFonts w:cs="Times New Roman"/>
                <w:color w:val="auto"/>
                <w:kern w:val="0"/>
                <w:sz w:val="21"/>
                <w:szCs w:val="21"/>
                <w:highlight w:val="none"/>
              </w:rPr>
            </w:pPr>
          </w:p>
        </w:tc>
        <w:tc>
          <w:tcPr>
            <w:tcW w:w="710" w:type="dxa"/>
            <w:gridSpan w:val="2"/>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gridSpan w:val="2"/>
            <w:vAlign w:val="center"/>
          </w:tcPr>
          <w:p>
            <w:pPr>
              <w:widowControl/>
              <w:spacing w:line="240" w:lineRule="auto"/>
              <w:ind w:firstLineChars="0" w:firstLine="0"/>
              <w:jc w:val="center"/>
              <w:rPr>
                <w:rFonts w:cs="Times New Roman"/>
                <w:color w:val="auto"/>
                <w:kern w:val="0"/>
                <w:sz w:val="21"/>
                <w:szCs w:val="21"/>
                <w:highlight w:val="none"/>
              </w:rPr>
            </w:pPr>
          </w:p>
        </w:tc>
        <w:tc>
          <w:tcPr>
            <w:tcW w:w="672" w:type="dxa"/>
            <w:vAlign w:val="center"/>
          </w:tcPr>
          <w:p>
            <w:pPr>
              <w:widowControl/>
              <w:spacing w:line="240" w:lineRule="auto"/>
              <w:ind w:firstLineChars="0" w:firstLine="0"/>
              <w:jc w:val="center"/>
              <w:rPr>
                <w:rFonts w:cs="Times New Roman"/>
                <w:color w:val="auto"/>
                <w:kern w:val="0"/>
                <w:sz w:val="21"/>
                <w:szCs w:val="21"/>
                <w:highlight w:val="none"/>
              </w:rPr>
            </w:pPr>
          </w:p>
        </w:tc>
      </w:tr>
      <w:tr>
        <w:trPr>
          <w:trHeight w:val="397"/>
        </w:trPr>
        <w:tc>
          <w:tcPr>
            <w:tcW w:w="601" w:type="dxa"/>
            <w:vMerge w:val="restart"/>
            <w:vAlign w:val="center"/>
          </w:tcPr>
          <w:p>
            <w:pPr>
              <w:widowControl/>
              <w:spacing w:line="240" w:lineRule="auto"/>
              <w:ind w:firstLineChars="0" w:firstLine="0"/>
              <w:jc w:val="center"/>
              <w:rPr>
                <w:rFonts w:cs="Times New Roman"/>
                <w:color w:val="auto"/>
                <w:kern w:val="0"/>
                <w:sz w:val="21"/>
                <w:szCs w:val="21"/>
                <w:highlight w:val="none"/>
              </w:rPr>
            </w:pPr>
          </w:p>
        </w:tc>
        <w:tc>
          <w:tcPr>
            <w:tcW w:w="1126" w:type="dxa"/>
            <w:vAlign w:val="center"/>
          </w:tcPr>
          <w:p>
            <w:pPr>
              <w:widowControl/>
              <w:spacing w:line="240" w:lineRule="auto"/>
              <w:ind w:firstLineChars="0" w:firstLine="0"/>
              <w:jc w:val="center"/>
              <w:rPr>
                <w:rFonts w:cs="Times New Roman"/>
                <w:color w:val="auto"/>
                <w:kern w:val="0"/>
                <w:sz w:val="21"/>
                <w:szCs w:val="21"/>
                <w:highlight w:val="none"/>
              </w:rPr>
            </w:pPr>
            <w:r>
              <w:rPr>
                <w:rFonts w:cs="Times New Roman"/>
                <w:color w:val="auto"/>
                <w:kern w:val="0"/>
                <w:sz w:val="21"/>
                <w:szCs w:val="21"/>
                <w:highlight w:val="none"/>
              </w:rPr>
              <w:t>索号</w:t>
            </w:r>
          </w:p>
        </w:tc>
        <w:tc>
          <w:tcPr>
            <w:tcW w:w="565" w:type="dxa"/>
            <w:vAlign w:val="center"/>
          </w:tcPr>
          <w:p>
            <w:pPr>
              <w:widowControl/>
              <w:spacing w:line="240" w:lineRule="auto"/>
              <w:ind w:firstLineChars="0" w:firstLine="0"/>
              <w:jc w:val="center"/>
              <w:rPr>
                <w:rFonts w:cs="Times New Roman"/>
                <w:color w:val="auto"/>
                <w:kern w:val="0"/>
                <w:sz w:val="21"/>
                <w:szCs w:val="21"/>
                <w:highlight w:val="none"/>
              </w:rPr>
            </w:pPr>
          </w:p>
        </w:tc>
        <w:tc>
          <w:tcPr>
            <w:tcW w:w="542" w:type="dxa"/>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gridSpan w:val="2"/>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vAlign w:val="center"/>
          </w:tcPr>
          <w:p>
            <w:pPr>
              <w:widowControl/>
              <w:spacing w:line="240" w:lineRule="auto"/>
              <w:ind w:firstLineChars="0" w:firstLine="0"/>
              <w:jc w:val="center"/>
              <w:rPr>
                <w:rFonts w:cs="Times New Roman"/>
                <w:color w:val="auto"/>
                <w:kern w:val="0"/>
                <w:sz w:val="21"/>
                <w:szCs w:val="21"/>
                <w:highlight w:val="none"/>
              </w:rPr>
            </w:pPr>
          </w:p>
        </w:tc>
        <w:tc>
          <w:tcPr>
            <w:tcW w:w="670" w:type="dxa"/>
            <w:vAlign w:val="center"/>
          </w:tcPr>
          <w:p>
            <w:pPr>
              <w:widowControl/>
              <w:spacing w:line="240" w:lineRule="auto"/>
              <w:ind w:firstLineChars="0" w:firstLine="0"/>
              <w:jc w:val="center"/>
              <w:rPr>
                <w:rFonts w:cs="Times New Roman"/>
                <w:color w:val="auto"/>
                <w:kern w:val="0"/>
                <w:sz w:val="21"/>
                <w:szCs w:val="21"/>
                <w:highlight w:val="none"/>
              </w:rPr>
            </w:pPr>
          </w:p>
        </w:tc>
        <w:tc>
          <w:tcPr>
            <w:tcW w:w="710" w:type="dxa"/>
            <w:gridSpan w:val="2"/>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gridSpan w:val="2"/>
            <w:vAlign w:val="center"/>
          </w:tcPr>
          <w:p>
            <w:pPr>
              <w:widowControl/>
              <w:spacing w:line="240" w:lineRule="auto"/>
              <w:ind w:firstLineChars="0" w:firstLine="0"/>
              <w:jc w:val="center"/>
              <w:rPr>
                <w:rFonts w:cs="Times New Roman"/>
                <w:color w:val="auto"/>
                <w:kern w:val="0"/>
                <w:sz w:val="21"/>
                <w:szCs w:val="21"/>
                <w:highlight w:val="none"/>
              </w:rPr>
            </w:pPr>
          </w:p>
        </w:tc>
        <w:tc>
          <w:tcPr>
            <w:tcW w:w="672" w:type="dxa"/>
            <w:vAlign w:val="center"/>
          </w:tcPr>
          <w:p>
            <w:pPr>
              <w:widowControl/>
              <w:spacing w:line="240" w:lineRule="auto"/>
              <w:ind w:firstLineChars="0" w:firstLine="0"/>
              <w:jc w:val="center"/>
              <w:rPr>
                <w:rFonts w:cs="Times New Roman"/>
                <w:color w:val="auto"/>
                <w:kern w:val="0"/>
                <w:sz w:val="21"/>
                <w:szCs w:val="21"/>
                <w:highlight w:val="none"/>
              </w:rPr>
            </w:pPr>
          </w:p>
        </w:tc>
      </w:tr>
      <w:tr>
        <w:trPr>
          <w:trHeight w:val="397"/>
        </w:trPr>
        <w:tc>
          <w:tcPr>
            <w:tcW w:w="601" w:type="dxa"/>
            <w:vMerge/>
            <w:tcBorders>
              <w:bottom w:val="single" w:sz="4" w:space="0" w:color="auto"/>
            </w:tcBorders>
            <w:vAlign w:val="center"/>
          </w:tcPr>
          <w:p/>
        </w:tc>
        <w:tc>
          <w:tcPr>
            <w:tcW w:w="1126" w:type="dxa"/>
            <w:vAlign w:val="center"/>
          </w:tcPr>
          <w:p>
            <w:pPr>
              <w:widowControl/>
              <w:spacing w:line="240" w:lineRule="auto"/>
              <w:ind w:firstLineChars="0" w:firstLine="0"/>
              <w:jc w:val="center"/>
              <w:rPr>
                <w:rFonts w:cs="Times New Roman"/>
                <w:color w:val="auto"/>
                <w:kern w:val="0"/>
                <w:sz w:val="21"/>
                <w:szCs w:val="21"/>
                <w:highlight w:val="none"/>
              </w:rPr>
            </w:pPr>
            <w:r>
              <w:rPr>
                <w:rFonts w:cs="Times New Roman"/>
                <w:color w:val="auto"/>
                <w:kern w:val="0"/>
                <w:sz w:val="21"/>
                <w:szCs w:val="21"/>
                <w:highlight w:val="none"/>
              </w:rPr>
              <w:t>实测值</w:t>
            </w:r>
          </w:p>
        </w:tc>
        <w:tc>
          <w:tcPr>
            <w:tcW w:w="565" w:type="dxa"/>
            <w:vAlign w:val="center"/>
          </w:tcPr>
          <w:p>
            <w:pPr>
              <w:widowControl/>
              <w:spacing w:line="240" w:lineRule="auto"/>
              <w:ind w:firstLineChars="0" w:firstLine="0"/>
              <w:jc w:val="center"/>
              <w:rPr>
                <w:rFonts w:cs="Times New Roman"/>
                <w:color w:val="auto"/>
                <w:kern w:val="0"/>
                <w:sz w:val="21"/>
                <w:szCs w:val="21"/>
                <w:highlight w:val="none"/>
              </w:rPr>
            </w:pPr>
          </w:p>
        </w:tc>
        <w:tc>
          <w:tcPr>
            <w:tcW w:w="542" w:type="dxa"/>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gridSpan w:val="2"/>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vAlign w:val="center"/>
          </w:tcPr>
          <w:p>
            <w:pPr>
              <w:widowControl/>
              <w:spacing w:line="240" w:lineRule="auto"/>
              <w:ind w:firstLineChars="0" w:firstLine="0"/>
              <w:jc w:val="center"/>
              <w:rPr>
                <w:rFonts w:cs="Times New Roman"/>
                <w:color w:val="auto"/>
                <w:kern w:val="0"/>
                <w:sz w:val="21"/>
                <w:szCs w:val="21"/>
                <w:highlight w:val="none"/>
              </w:rPr>
            </w:pPr>
          </w:p>
        </w:tc>
        <w:tc>
          <w:tcPr>
            <w:tcW w:w="670" w:type="dxa"/>
            <w:vAlign w:val="center"/>
          </w:tcPr>
          <w:p>
            <w:pPr>
              <w:widowControl/>
              <w:spacing w:line="240" w:lineRule="auto"/>
              <w:ind w:firstLineChars="0" w:firstLine="0"/>
              <w:jc w:val="center"/>
              <w:rPr>
                <w:rFonts w:cs="Times New Roman"/>
                <w:color w:val="auto"/>
                <w:kern w:val="0"/>
                <w:sz w:val="21"/>
                <w:szCs w:val="21"/>
                <w:highlight w:val="none"/>
              </w:rPr>
            </w:pPr>
          </w:p>
        </w:tc>
        <w:tc>
          <w:tcPr>
            <w:tcW w:w="710" w:type="dxa"/>
            <w:gridSpan w:val="2"/>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gridSpan w:val="2"/>
            <w:vAlign w:val="center"/>
          </w:tcPr>
          <w:p>
            <w:pPr>
              <w:widowControl/>
              <w:spacing w:line="240" w:lineRule="auto"/>
              <w:ind w:firstLineChars="0" w:firstLine="0"/>
              <w:jc w:val="center"/>
              <w:rPr>
                <w:rFonts w:cs="Times New Roman"/>
                <w:color w:val="auto"/>
                <w:kern w:val="0"/>
                <w:sz w:val="21"/>
                <w:szCs w:val="21"/>
                <w:highlight w:val="none"/>
              </w:rPr>
            </w:pPr>
          </w:p>
        </w:tc>
        <w:tc>
          <w:tcPr>
            <w:tcW w:w="672" w:type="dxa"/>
            <w:vAlign w:val="center"/>
          </w:tcPr>
          <w:p>
            <w:pPr>
              <w:widowControl/>
              <w:spacing w:line="240" w:lineRule="auto"/>
              <w:ind w:firstLineChars="0" w:firstLine="0"/>
              <w:jc w:val="center"/>
              <w:rPr>
                <w:rFonts w:cs="Times New Roman"/>
                <w:color w:val="auto"/>
                <w:kern w:val="0"/>
                <w:sz w:val="21"/>
                <w:szCs w:val="21"/>
                <w:highlight w:val="none"/>
              </w:rPr>
            </w:pPr>
          </w:p>
        </w:tc>
      </w:tr>
      <w:tr>
        <w:trPr>
          <w:trHeight w:val="397"/>
        </w:trPr>
        <w:tc>
          <w:tcPr>
            <w:tcW w:w="601" w:type="dxa"/>
            <w:vMerge w:val="restart"/>
            <w:tcBorders>
              <w:top w:val="single" w:sz="4" w:space="0" w:color="auto"/>
            </w:tcBorders>
            <w:vAlign w:val="center"/>
          </w:tcPr>
          <w:p>
            <w:pPr>
              <w:widowControl/>
              <w:spacing w:line="240" w:lineRule="auto"/>
              <w:ind w:firstLineChars="0" w:firstLine="0"/>
              <w:jc w:val="center"/>
              <w:rPr>
                <w:rFonts w:cs="Times New Roman"/>
                <w:color w:val="auto"/>
                <w:kern w:val="0"/>
                <w:sz w:val="21"/>
                <w:szCs w:val="21"/>
                <w:highlight w:val="none"/>
              </w:rPr>
            </w:pPr>
          </w:p>
        </w:tc>
        <w:tc>
          <w:tcPr>
            <w:tcW w:w="1126" w:type="dxa"/>
            <w:vAlign w:val="center"/>
          </w:tcPr>
          <w:p>
            <w:pPr>
              <w:widowControl/>
              <w:spacing w:line="240" w:lineRule="auto"/>
              <w:ind w:firstLineChars="0" w:firstLine="0"/>
              <w:jc w:val="center"/>
              <w:rPr>
                <w:rFonts w:cs="Times New Roman"/>
                <w:color w:val="auto"/>
                <w:kern w:val="0"/>
                <w:sz w:val="21"/>
                <w:szCs w:val="21"/>
                <w:highlight w:val="none"/>
              </w:rPr>
            </w:pPr>
            <w:r>
              <w:rPr>
                <w:rFonts w:cs="Times New Roman"/>
                <w:color w:val="auto"/>
                <w:kern w:val="0"/>
                <w:sz w:val="21"/>
                <w:szCs w:val="21"/>
                <w:highlight w:val="none"/>
              </w:rPr>
              <w:t>索号</w:t>
            </w:r>
          </w:p>
        </w:tc>
        <w:tc>
          <w:tcPr>
            <w:tcW w:w="565" w:type="dxa"/>
            <w:vAlign w:val="center"/>
          </w:tcPr>
          <w:p>
            <w:pPr>
              <w:widowControl/>
              <w:spacing w:line="240" w:lineRule="auto"/>
              <w:ind w:firstLineChars="0" w:firstLine="0"/>
              <w:jc w:val="center"/>
              <w:rPr>
                <w:rFonts w:cs="Times New Roman"/>
                <w:color w:val="auto"/>
                <w:kern w:val="0"/>
                <w:sz w:val="21"/>
                <w:szCs w:val="21"/>
                <w:highlight w:val="none"/>
              </w:rPr>
            </w:pPr>
          </w:p>
        </w:tc>
        <w:tc>
          <w:tcPr>
            <w:tcW w:w="542" w:type="dxa"/>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gridSpan w:val="2"/>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vAlign w:val="center"/>
          </w:tcPr>
          <w:p>
            <w:pPr>
              <w:widowControl/>
              <w:spacing w:line="240" w:lineRule="auto"/>
              <w:ind w:firstLineChars="0" w:firstLine="0"/>
              <w:jc w:val="center"/>
              <w:rPr>
                <w:rFonts w:cs="Times New Roman"/>
                <w:color w:val="auto"/>
                <w:kern w:val="0"/>
                <w:sz w:val="21"/>
                <w:szCs w:val="21"/>
                <w:highlight w:val="none"/>
              </w:rPr>
            </w:pPr>
          </w:p>
        </w:tc>
        <w:tc>
          <w:tcPr>
            <w:tcW w:w="670" w:type="dxa"/>
            <w:vAlign w:val="center"/>
          </w:tcPr>
          <w:p>
            <w:pPr>
              <w:widowControl/>
              <w:spacing w:line="240" w:lineRule="auto"/>
              <w:ind w:firstLineChars="0" w:firstLine="0"/>
              <w:jc w:val="center"/>
              <w:rPr>
                <w:rFonts w:cs="Times New Roman"/>
                <w:color w:val="auto"/>
                <w:kern w:val="0"/>
                <w:sz w:val="21"/>
                <w:szCs w:val="21"/>
                <w:highlight w:val="none"/>
              </w:rPr>
            </w:pPr>
          </w:p>
        </w:tc>
        <w:tc>
          <w:tcPr>
            <w:tcW w:w="710" w:type="dxa"/>
            <w:gridSpan w:val="2"/>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gridSpan w:val="2"/>
            <w:vAlign w:val="center"/>
          </w:tcPr>
          <w:p>
            <w:pPr>
              <w:widowControl/>
              <w:spacing w:line="240" w:lineRule="auto"/>
              <w:ind w:firstLineChars="0" w:firstLine="0"/>
              <w:jc w:val="center"/>
              <w:rPr>
                <w:rFonts w:cs="Times New Roman"/>
                <w:color w:val="auto"/>
                <w:kern w:val="0"/>
                <w:sz w:val="21"/>
                <w:szCs w:val="21"/>
                <w:highlight w:val="none"/>
              </w:rPr>
            </w:pPr>
          </w:p>
        </w:tc>
        <w:tc>
          <w:tcPr>
            <w:tcW w:w="672" w:type="dxa"/>
            <w:vAlign w:val="center"/>
          </w:tcPr>
          <w:p>
            <w:pPr>
              <w:widowControl/>
              <w:spacing w:line="240" w:lineRule="auto"/>
              <w:ind w:firstLineChars="0" w:firstLine="0"/>
              <w:jc w:val="center"/>
              <w:rPr>
                <w:rFonts w:cs="Times New Roman"/>
                <w:color w:val="auto"/>
                <w:kern w:val="0"/>
                <w:sz w:val="21"/>
                <w:szCs w:val="21"/>
                <w:highlight w:val="none"/>
              </w:rPr>
            </w:pPr>
          </w:p>
        </w:tc>
      </w:tr>
      <w:tr>
        <w:trPr>
          <w:trHeight w:val="397"/>
        </w:trPr>
        <w:tc>
          <w:tcPr>
            <w:tcW w:w="601" w:type="dxa"/>
            <w:vMerge/>
            <w:tcBorders>
              <w:bottom w:val="single" w:sz="4" w:space="0" w:color="auto"/>
            </w:tcBorders>
            <w:vAlign w:val="center"/>
          </w:tcPr>
          <w:p/>
        </w:tc>
        <w:tc>
          <w:tcPr>
            <w:tcW w:w="1126" w:type="dxa"/>
            <w:vAlign w:val="center"/>
          </w:tcPr>
          <w:p>
            <w:pPr>
              <w:widowControl/>
              <w:spacing w:line="240" w:lineRule="auto"/>
              <w:ind w:firstLineChars="0" w:firstLine="0"/>
              <w:jc w:val="center"/>
              <w:rPr>
                <w:rFonts w:cs="Times New Roman"/>
                <w:color w:val="auto"/>
                <w:kern w:val="0"/>
                <w:sz w:val="21"/>
                <w:szCs w:val="21"/>
                <w:highlight w:val="none"/>
              </w:rPr>
            </w:pPr>
            <w:r>
              <w:rPr>
                <w:rFonts w:cs="Times New Roman"/>
                <w:color w:val="auto"/>
                <w:kern w:val="0"/>
                <w:sz w:val="21"/>
                <w:szCs w:val="21"/>
                <w:highlight w:val="none"/>
              </w:rPr>
              <w:t>实测值</w:t>
            </w:r>
          </w:p>
        </w:tc>
        <w:tc>
          <w:tcPr>
            <w:tcW w:w="565" w:type="dxa"/>
            <w:vAlign w:val="center"/>
          </w:tcPr>
          <w:p>
            <w:pPr>
              <w:widowControl/>
              <w:spacing w:line="240" w:lineRule="auto"/>
              <w:ind w:firstLineChars="0" w:firstLine="0"/>
              <w:jc w:val="center"/>
              <w:rPr>
                <w:rFonts w:cs="Times New Roman"/>
                <w:color w:val="auto"/>
                <w:kern w:val="0"/>
                <w:sz w:val="21"/>
                <w:szCs w:val="21"/>
                <w:highlight w:val="none"/>
              </w:rPr>
            </w:pPr>
          </w:p>
        </w:tc>
        <w:tc>
          <w:tcPr>
            <w:tcW w:w="542" w:type="dxa"/>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gridSpan w:val="2"/>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vAlign w:val="center"/>
          </w:tcPr>
          <w:p>
            <w:pPr>
              <w:widowControl/>
              <w:spacing w:line="240" w:lineRule="auto"/>
              <w:ind w:firstLineChars="0" w:firstLine="0"/>
              <w:jc w:val="center"/>
              <w:rPr>
                <w:rFonts w:cs="Times New Roman"/>
                <w:color w:val="auto"/>
                <w:kern w:val="0"/>
                <w:sz w:val="21"/>
                <w:szCs w:val="21"/>
                <w:highlight w:val="none"/>
              </w:rPr>
            </w:pPr>
          </w:p>
        </w:tc>
        <w:tc>
          <w:tcPr>
            <w:tcW w:w="670" w:type="dxa"/>
            <w:vAlign w:val="center"/>
          </w:tcPr>
          <w:p>
            <w:pPr>
              <w:widowControl/>
              <w:spacing w:line="240" w:lineRule="auto"/>
              <w:ind w:firstLineChars="0" w:firstLine="0"/>
              <w:jc w:val="center"/>
              <w:rPr>
                <w:rFonts w:cs="Times New Roman"/>
                <w:color w:val="auto"/>
                <w:kern w:val="0"/>
                <w:sz w:val="21"/>
                <w:szCs w:val="21"/>
                <w:highlight w:val="none"/>
              </w:rPr>
            </w:pPr>
          </w:p>
        </w:tc>
        <w:tc>
          <w:tcPr>
            <w:tcW w:w="710" w:type="dxa"/>
            <w:gridSpan w:val="2"/>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gridSpan w:val="2"/>
            <w:vAlign w:val="center"/>
          </w:tcPr>
          <w:p>
            <w:pPr>
              <w:widowControl/>
              <w:spacing w:line="240" w:lineRule="auto"/>
              <w:ind w:firstLineChars="0" w:firstLine="0"/>
              <w:jc w:val="center"/>
              <w:rPr>
                <w:rFonts w:cs="Times New Roman"/>
                <w:color w:val="auto"/>
                <w:kern w:val="0"/>
                <w:sz w:val="21"/>
                <w:szCs w:val="21"/>
                <w:highlight w:val="none"/>
              </w:rPr>
            </w:pPr>
          </w:p>
        </w:tc>
        <w:tc>
          <w:tcPr>
            <w:tcW w:w="672" w:type="dxa"/>
            <w:vAlign w:val="center"/>
          </w:tcPr>
          <w:p>
            <w:pPr>
              <w:widowControl/>
              <w:spacing w:line="240" w:lineRule="auto"/>
              <w:ind w:firstLineChars="0" w:firstLine="0"/>
              <w:jc w:val="center"/>
              <w:rPr>
                <w:rFonts w:cs="Times New Roman"/>
                <w:color w:val="auto"/>
                <w:kern w:val="0"/>
                <w:sz w:val="21"/>
                <w:szCs w:val="21"/>
                <w:highlight w:val="none"/>
              </w:rPr>
            </w:pPr>
          </w:p>
        </w:tc>
      </w:tr>
      <w:tr>
        <w:trPr>
          <w:trHeight w:val="397"/>
        </w:trPr>
        <w:tc>
          <w:tcPr>
            <w:tcW w:w="601" w:type="dxa"/>
            <w:vMerge w:val="restart"/>
            <w:vAlign w:val="center"/>
          </w:tcPr>
          <w:p>
            <w:pPr>
              <w:widowControl/>
              <w:spacing w:line="240" w:lineRule="auto"/>
              <w:ind w:firstLineChars="0" w:firstLine="0"/>
              <w:jc w:val="center"/>
              <w:rPr>
                <w:rFonts w:cs="Times New Roman"/>
                <w:color w:val="auto"/>
                <w:kern w:val="0"/>
                <w:sz w:val="21"/>
                <w:szCs w:val="21"/>
                <w:highlight w:val="none"/>
              </w:rPr>
            </w:pPr>
          </w:p>
        </w:tc>
        <w:tc>
          <w:tcPr>
            <w:tcW w:w="1126" w:type="dxa"/>
            <w:vAlign w:val="center"/>
          </w:tcPr>
          <w:p>
            <w:pPr>
              <w:widowControl/>
              <w:spacing w:line="240" w:lineRule="auto"/>
              <w:ind w:firstLineChars="0" w:firstLine="0"/>
              <w:jc w:val="center"/>
              <w:rPr>
                <w:rFonts w:cs="Times New Roman"/>
                <w:color w:val="auto"/>
                <w:kern w:val="0"/>
                <w:sz w:val="21"/>
                <w:szCs w:val="21"/>
                <w:highlight w:val="none"/>
              </w:rPr>
            </w:pPr>
            <w:r>
              <w:rPr>
                <w:rFonts w:cs="Times New Roman"/>
                <w:color w:val="auto"/>
                <w:kern w:val="0"/>
                <w:sz w:val="21"/>
                <w:szCs w:val="21"/>
                <w:highlight w:val="none"/>
              </w:rPr>
              <w:t>索号</w:t>
            </w:r>
          </w:p>
        </w:tc>
        <w:tc>
          <w:tcPr>
            <w:tcW w:w="565" w:type="dxa"/>
            <w:vAlign w:val="center"/>
          </w:tcPr>
          <w:p>
            <w:pPr>
              <w:widowControl/>
              <w:spacing w:line="240" w:lineRule="auto"/>
              <w:ind w:firstLineChars="0" w:firstLine="0"/>
              <w:jc w:val="center"/>
              <w:rPr>
                <w:rFonts w:cs="Times New Roman"/>
                <w:color w:val="auto"/>
                <w:kern w:val="0"/>
                <w:sz w:val="21"/>
                <w:szCs w:val="21"/>
                <w:highlight w:val="none"/>
              </w:rPr>
            </w:pPr>
          </w:p>
        </w:tc>
        <w:tc>
          <w:tcPr>
            <w:tcW w:w="542" w:type="dxa"/>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gridSpan w:val="2"/>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vAlign w:val="center"/>
          </w:tcPr>
          <w:p>
            <w:pPr>
              <w:widowControl/>
              <w:spacing w:line="240" w:lineRule="auto"/>
              <w:ind w:firstLineChars="0" w:firstLine="0"/>
              <w:jc w:val="center"/>
              <w:rPr>
                <w:rFonts w:cs="Times New Roman"/>
                <w:color w:val="auto"/>
                <w:kern w:val="0"/>
                <w:sz w:val="21"/>
                <w:szCs w:val="21"/>
                <w:highlight w:val="none"/>
              </w:rPr>
            </w:pPr>
          </w:p>
        </w:tc>
        <w:tc>
          <w:tcPr>
            <w:tcW w:w="670" w:type="dxa"/>
            <w:vAlign w:val="center"/>
          </w:tcPr>
          <w:p>
            <w:pPr>
              <w:widowControl/>
              <w:spacing w:line="240" w:lineRule="auto"/>
              <w:ind w:firstLineChars="0" w:firstLine="0"/>
              <w:jc w:val="center"/>
              <w:rPr>
                <w:rFonts w:cs="Times New Roman"/>
                <w:color w:val="auto"/>
                <w:kern w:val="0"/>
                <w:sz w:val="21"/>
                <w:szCs w:val="21"/>
                <w:highlight w:val="none"/>
              </w:rPr>
            </w:pPr>
          </w:p>
        </w:tc>
        <w:tc>
          <w:tcPr>
            <w:tcW w:w="710" w:type="dxa"/>
            <w:gridSpan w:val="2"/>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gridSpan w:val="2"/>
            <w:vAlign w:val="center"/>
          </w:tcPr>
          <w:p>
            <w:pPr>
              <w:widowControl/>
              <w:spacing w:line="240" w:lineRule="auto"/>
              <w:ind w:firstLineChars="0" w:firstLine="0"/>
              <w:jc w:val="center"/>
              <w:rPr>
                <w:rFonts w:cs="Times New Roman"/>
                <w:color w:val="auto"/>
                <w:kern w:val="0"/>
                <w:sz w:val="21"/>
                <w:szCs w:val="21"/>
                <w:highlight w:val="none"/>
              </w:rPr>
            </w:pPr>
          </w:p>
        </w:tc>
        <w:tc>
          <w:tcPr>
            <w:tcW w:w="672" w:type="dxa"/>
            <w:vAlign w:val="center"/>
          </w:tcPr>
          <w:p>
            <w:pPr>
              <w:widowControl/>
              <w:spacing w:line="240" w:lineRule="auto"/>
              <w:ind w:firstLineChars="0" w:firstLine="0"/>
              <w:jc w:val="center"/>
              <w:rPr>
                <w:rFonts w:cs="Times New Roman"/>
                <w:color w:val="auto"/>
                <w:kern w:val="0"/>
                <w:sz w:val="21"/>
                <w:szCs w:val="21"/>
                <w:highlight w:val="none"/>
              </w:rPr>
            </w:pPr>
          </w:p>
        </w:tc>
      </w:tr>
      <w:tr>
        <w:trPr>
          <w:trHeight w:val="397"/>
        </w:trPr>
        <w:tc>
          <w:tcPr>
            <w:tcW w:w="601" w:type="dxa"/>
            <w:vMerge/>
            <w:tcBorders>
              <w:bottom w:val="single" w:sz="4" w:space="0" w:color="auto"/>
            </w:tcBorders>
            <w:vAlign w:val="center"/>
          </w:tcPr>
          <w:p/>
        </w:tc>
        <w:tc>
          <w:tcPr>
            <w:tcW w:w="1126" w:type="dxa"/>
            <w:vAlign w:val="center"/>
          </w:tcPr>
          <w:p>
            <w:pPr>
              <w:widowControl/>
              <w:spacing w:line="240" w:lineRule="auto"/>
              <w:ind w:firstLineChars="0" w:firstLine="0"/>
              <w:jc w:val="center"/>
              <w:rPr>
                <w:rFonts w:cs="Times New Roman"/>
                <w:color w:val="auto"/>
                <w:kern w:val="0"/>
                <w:sz w:val="21"/>
                <w:szCs w:val="21"/>
                <w:highlight w:val="none"/>
              </w:rPr>
            </w:pPr>
            <w:r>
              <w:rPr>
                <w:rFonts w:cs="Times New Roman"/>
                <w:color w:val="auto"/>
                <w:kern w:val="0"/>
                <w:sz w:val="21"/>
                <w:szCs w:val="21"/>
                <w:highlight w:val="none"/>
              </w:rPr>
              <w:t>实测值</w:t>
            </w:r>
          </w:p>
        </w:tc>
        <w:tc>
          <w:tcPr>
            <w:tcW w:w="565" w:type="dxa"/>
            <w:vAlign w:val="center"/>
          </w:tcPr>
          <w:p>
            <w:pPr>
              <w:widowControl/>
              <w:spacing w:line="240" w:lineRule="auto"/>
              <w:ind w:firstLineChars="0" w:firstLine="0"/>
              <w:jc w:val="center"/>
              <w:rPr>
                <w:rFonts w:cs="Times New Roman"/>
                <w:color w:val="auto"/>
                <w:kern w:val="0"/>
                <w:sz w:val="21"/>
                <w:szCs w:val="21"/>
                <w:highlight w:val="none"/>
              </w:rPr>
            </w:pPr>
          </w:p>
        </w:tc>
        <w:tc>
          <w:tcPr>
            <w:tcW w:w="542" w:type="dxa"/>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gridSpan w:val="2"/>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vAlign w:val="center"/>
          </w:tcPr>
          <w:p>
            <w:pPr>
              <w:widowControl/>
              <w:spacing w:line="240" w:lineRule="auto"/>
              <w:ind w:firstLineChars="0" w:firstLine="0"/>
              <w:jc w:val="center"/>
              <w:rPr>
                <w:rFonts w:cs="Times New Roman"/>
                <w:color w:val="auto"/>
                <w:kern w:val="0"/>
                <w:sz w:val="21"/>
                <w:szCs w:val="21"/>
                <w:highlight w:val="none"/>
              </w:rPr>
            </w:pPr>
          </w:p>
        </w:tc>
        <w:tc>
          <w:tcPr>
            <w:tcW w:w="670" w:type="dxa"/>
            <w:vAlign w:val="center"/>
          </w:tcPr>
          <w:p>
            <w:pPr>
              <w:widowControl/>
              <w:spacing w:line="240" w:lineRule="auto"/>
              <w:ind w:firstLineChars="0" w:firstLine="0"/>
              <w:jc w:val="center"/>
              <w:rPr>
                <w:rFonts w:cs="Times New Roman"/>
                <w:color w:val="auto"/>
                <w:kern w:val="0"/>
                <w:sz w:val="21"/>
                <w:szCs w:val="21"/>
                <w:highlight w:val="none"/>
              </w:rPr>
            </w:pPr>
          </w:p>
        </w:tc>
        <w:tc>
          <w:tcPr>
            <w:tcW w:w="710" w:type="dxa"/>
            <w:gridSpan w:val="2"/>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gridSpan w:val="2"/>
            <w:vAlign w:val="center"/>
          </w:tcPr>
          <w:p>
            <w:pPr>
              <w:widowControl/>
              <w:spacing w:line="240" w:lineRule="auto"/>
              <w:ind w:firstLineChars="0" w:firstLine="0"/>
              <w:jc w:val="center"/>
              <w:rPr>
                <w:rFonts w:cs="Times New Roman"/>
                <w:color w:val="auto"/>
                <w:kern w:val="0"/>
                <w:sz w:val="21"/>
                <w:szCs w:val="21"/>
                <w:highlight w:val="none"/>
              </w:rPr>
            </w:pPr>
          </w:p>
        </w:tc>
        <w:tc>
          <w:tcPr>
            <w:tcW w:w="672" w:type="dxa"/>
            <w:vAlign w:val="center"/>
          </w:tcPr>
          <w:p>
            <w:pPr>
              <w:widowControl/>
              <w:spacing w:line="240" w:lineRule="auto"/>
              <w:ind w:firstLineChars="0" w:firstLine="0"/>
              <w:jc w:val="center"/>
              <w:rPr>
                <w:rFonts w:cs="Times New Roman"/>
                <w:color w:val="auto"/>
                <w:kern w:val="0"/>
                <w:sz w:val="21"/>
                <w:szCs w:val="21"/>
                <w:highlight w:val="none"/>
              </w:rPr>
            </w:pPr>
          </w:p>
        </w:tc>
      </w:tr>
      <w:tr>
        <w:trPr>
          <w:trHeight w:val="397"/>
        </w:trPr>
        <w:tc>
          <w:tcPr>
            <w:tcW w:w="601" w:type="dxa"/>
            <w:vMerge w:val="restart"/>
            <w:vAlign w:val="center"/>
          </w:tcPr>
          <w:p>
            <w:pPr>
              <w:widowControl/>
              <w:spacing w:line="240" w:lineRule="auto"/>
              <w:ind w:firstLineChars="0" w:firstLine="0"/>
              <w:jc w:val="center"/>
              <w:rPr>
                <w:rFonts w:cs="Times New Roman"/>
                <w:color w:val="auto"/>
                <w:kern w:val="0"/>
                <w:sz w:val="21"/>
                <w:szCs w:val="21"/>
                <w:highlight w:val="none"/>
              </w:rPr>
            </w:pPr>
          </w:p>
        </w:tc>
        <w:tc>
          <w:tcPr>
            <w:tcW w:w="1126" w:type="dxa"/>
            <w:vAlign w:val="center"/>
          </w:tcPr>
          <w:p>
            <w:pPr>
              <w:widowControl/>
              <w:spacing w:line="240" w:lineRule="auto"/>
              <w:ind w:firstLineChars="0" w:firstLine="0"/>
              <w:jc w:val="center"/>
              <w:rPr>
                <w:rFonts w:cs="Times New Roman"/>
                <w:color w:val="auto"/>
                <w:kern w:val="0"/>
                <w:sz w:val="21"/>
                <w:szCs w:val="21"/>
                <w:highlight w:val="none"/>
              </w:rPr>
            </w:pPr>
            <w:r>
              <w:rPr>
                <w:rFonts w:cs="Times New Roman"/>
                <w:color w:val="auto"/>
                <w:kern w:val="0"/>
                <w:sz w:val="21"/>
                <w:szCs w:val="21"/>
                <w:highlight w:val="none"/>
              </w:rPr>
              <w:t>索号</w:t>
            </w:r>
          </w:p>
        </w:tc>
        <w:tc>
          <w:tcPr>
            <w:tcW w:w="565" w:type="dxa"/>
            <w:vAlign w:val="center"/>
          </w:tcPr>
          <w:p>
            <w:pPr>
              <w:widowControl/>
              <w:spacing w:line="240" w:lineRule="auto"/>
              <w:ind w:firstLineChars="0" w:firstLine="0"/>
              <w:jc w:val="center"/>
              <w:rPr>
                <w:rFonts w:cs="Times New Roman"/>
                <w:color w:val="auto"/>
                <w:kern w:val="0"/>
                <w:sz w:val="21"/>
                <w:szCs w:val="21"/>
                <w:highlight w:val="none"/>
              </w:rPr>
            </w:pPr>
          </w:p>
        </w:tc>
        <w:tc>
          <w:tcPr>
            <w:tcW w:w="542" w:type="dxa"/>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gridSpan w:val="2"/>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vAlign w:val="center"/>
          </w:tcPr>
          <w:p>
            <w:pPr>
              <w:widowControl/>
              <w:spacing w:line="240" w:lineRule="auto"/>
              <w:ind w:firstLineChars="0" w:firstLine="0"/>
              <w:jc w:val="center"/>
              <w:rPr>
                <w:rFonts w:cs="Times New Roman"/>
                <w:color w:val="auto"/>
                <w:kern w:val="0"/>
                <w:sz w:val="21"/>
                <w:szCs w:val="21"/>
                <w:highlight w:val="none"/>
              </w:rPr>
            </w:pPr>
          </w:p>
        </w:tc>
        <w:tc>
          <w:tcPr>
            <w:tcW w:w="670" w:type="dxa"/>
            <w:vAlign w:val="center"/>
          </w:tcPr>
          <w:p>
            <w:pPr>
              <w:widowControl/>
              <w:spacing w:line="240" w:lineRule="auto"/>
              <w:ind w:firstLineChars="0" w:firstLine="0"/>
              <w:jc w:val="center"/>
              <w:rPr>
                <w:rFonts w:cs="Times New Roman"/>
                <w:color w:val="auto"/>
                <w:kern w:val="0"/>
                <w:sz w:val="21"/>
                <w:szCs w:val="21"/>
                <w:highlight w:val="none"/>
              </w:rPr>
            </w:pPr>
          </w:p>
        </w:tc>
        <w:tc>
          <w:tcPr>
            <w:tcW w:w="710" w:type="dxa"/>
            <w:gridSpan w:val="2"/>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gridSpan w:val="2"/>
            <w:vAlign w:val="center"/>
          </w:tcPr>
          <w:p>
            <w:pPr>
              <w:widowControl/>
              <w:spacing w:line="240" w:lineRule="auto"/>
              <w:ind w:firstLineChars="0" w:firstLine="0"/>
              <w:jc w:val="center"/>
              <w:rPr>
                <w:rFonts w:cs="Times New Roman"/>
                <w:color w:val="auto"/>
                <w:kern w:val="0"/>
                <w:sz w:val="21"/>
                <w:szCs w:val="21"/>
                <w:highlight w:val="none"/>
              </w:rPr>
            </w:pPr>
          </w:p>
        </w:tc>
        <w:tc>
          <w:tcPr>
            <w:tcW w:w="672" w:type="dxa"/>
            <w:vAlign w:val="center"/>
          </w:tcPr>
          <w:p>
            <w:pPr>
              <w:widowControl/>
              <w:spacing w:line="240" w:lineRule="auto"/>
              <w:ind w:firstLineChars="0" w:firstLine="0"/>
              <w:jc w:val="center"/>
              <w:rPr>
                <w:rFonts w:cs="Times New Roman"/>
                <w:color w:val="auto"/>
                <w:kern w:val="0"/>
                <w:sz w:val="21"/>
                <w:szCs w:val="21"/>
                <w:highlight w:val="none"/>
              </w:rPr>
            </w:pPr>
          </w:p>
        </w:tc>
      </w:tr>
      <w:tr>
        <w:trPr>
          <w:trHeight w:val="397"/>
        </w:trPr>
        <w:tc>
          <w:tcPr>
            <w:tcW w:w="601" w:type="dxa"/>
            <w:vMerge/>
            <w:tcBorders>
              <w:bottom w:val="single" w:sz="4" w:space="0" w:color="auto"/>
            </w:tcBorders>
            <w:vAlign w:val="center"/>
          </w:tcPr>
          <w:p/>
        </w:tc>
        <w:tc>
          <w:tcPr>
            <w:tcW w:w="1126" w:type="dxa"/>
            <w:vAlign w:val="center"/>
          </w:tcPr>
          <w:p>
            <w:pPr>
              <w:widowControl/>
              <w:spacing w:line="240" w:lineRule="auto"/>
              <w:ind w:firstLineChars="0" w:firstLine="0"/>
              <w:jc w:val="center"/>
              <w:rPr>
                <w:rFonts w:cs="Times New Roman"/>
                <w:color w:val="auto"/>
                <w:kern w:val="0"/>
                <w:sz w:val="21"/>
                <w:szCs w:val="21"/>
                <w:highlight w:val="none"/>
              </w:rPr>
            </w:pPr>
            <w:r>
              <w:rPr>
                <w:rFonts w:cs="Times New Roman"/>
                <w:color w:val="auto"/>
                <w:kern w:val="0"/>
                <w:sz w:val="21"/>
                <w:szCs w:val="21"/>
                <w:highlight w:val="none"/>
              </w:rPr>
              <w:t>实测值</w:t>
            </w:r>
          </w:p>
        </w:tc>
        <w:tc>
          <w:tcPr>
            <w:tcW w:w="565" w:type="dxa"/>
            <w:vAlign w:val="center"/>
          </w:tcPr>
          <w:p>
            <w:pPr>
              <w:widowControl/>
              <w:spacing w:line="240" w:lineRule="auto"/>
              <w:ind w:firstLineChars="0" w:firstLine="0"/>
              <w:jc w:val="center"/>
              <w:rPr>
                <w:rFonts w:cs="Times New Roman"/>
                <w:color w:val="auto"/>
                <w:kern w:val="0"/>
                <w:sz w:val="21"/>
                <w:szCs w:val="21"/>
                <w:highlight w:val="none"/>
              </w:rPr>
            </w:pPr>
          </w:p>
        </w:tc>
        <w:tc>
          <w:tcPr>
            <w:tcW w:w="542" w:type="dxa"/>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gridSpan w:val="2"/>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vAlign w:val="center"/>
          </w:tcPr>
          <w:p>
            <w:pPr>
              <w:widowControl/>
              <w:spacing w:line="240" w:lineRule="auto"/>
              <w:ind w:firstLineChars="0" w:firstLine="0"/>
              <w:jc w:val="center"/>
              <w:rPr>
                <w:rFonts w:cs="Times New Roman"/>
                <w:color w:val="auto"/>
                <w:kern w:val="0"/>
                <w:sz w:val="21"/>
                <w:szCs w:val="21"/>
                <w:highlight w:val="none"/>
              </w:rPr>
            </w:pPr>
          </w:p>
        </w:tc>
        <w:tc>
          <w:tcPr>
            <w:tcW w:w="670" w:type="dxa"/>
            <w:vAlign w:val="center"/>
          </w:tcPr>
          <w:p>
            <w:pPr>
              <w:widowControl/>
              <w:spacing w:line="240" w:lineRule="auto"/>
              <w:ind w:firstLineChars="0" w:firstLine="0"/>
              <w:jc w:val="center"/>
              <w:rPr>
                <w:rFonts w:cs="Times New Roman"/>
                <w:color w:val="auto"/>
                <w:kern w:val="0"/>
                <w:sz w:val="21"/>
                <w:szCs w:val="21"/>
                <w:highlight w:val="none"/>
              </w:rPr>
            </w:pPr>
          </w:p>
        </w:tc>
        <w:tc>
          <w:tcPr>
            <w:tcW w:w="710" w:type="dxa"/>
            <w:gridSpan w:val="2"/>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gridSpan w:val="2"/>
            <w:vAlign w:val="center"/>
          </w:tcPr>
          <w:p>
            <w:pPr>
              <w:widowControl/>
              <w:spacing w:line="240" w:lineRule="auto"/>
              <w:ind w:firstLineChars="0" w:firstLine="0"/>
              <w:jc w:val="center"/>
              <w:rPr>
                <w:rFonts w:cs="Times New Roman"/>
                <w:color w:val="auto"/>
                <w:kern w:val="0"/>
                <w:sz w:val="21"/>
                <w:szCs w:val="21"/>
                <w:highlight w:val="none"/>
              </w:rPr>
            </w:pPr>
          </w:p>
        </w:tc>
        <w:tc>
          <w:tcPr>
            <w:tcW w:w="672" w:type="dxa"/>
            <w:vAlign w:val="center"/>
          </w:tcPr>
          <w:p>
            <w:pPr>
              <w:widowControl/>
              <w:spacing w:line="240" w:lineRule="auto"/>
              <w:ind w:firstLineChars="0" w:firstLine="0"/>
              <w:jc w:val="center"/>
              <w:rPr>
                <w:rFonts w:cs="Times New Roman"/>
                <w:color w:val="auto"/>
                <w:kern w:val="0"/>
                <w:sz w:val="21"/>
                <w:szCs w:val="21"/>
                <w:highlight w:val="none"/>
              </w:rPr>
            </w:pPr>
          </w:p>
        </w:tc>
      </w:tr>
      <w:tr>
        <w:trPr>
          <w:trHeight w:val="397"/>
        </w:trPr>
        <w:tc>
          <w:tcPr>
            <w:tcW w:w="601" w:type="dxa"/>
            <w:vMerge w:val="restart"/>
            <w:vAlign w:val="center"/>
          </w:tcPr>
          <w:p>
            <w:pPr>
              <w:widowControl/>
              <w:spacing w:line="240" w:lineRule="auto"/>
              <w:ind w:firstLineChars="0" w:firstLine="0"/>
              <w:jc w:val="center"/>
              <w:rPr>
                <w:rFonts w:cs="Times New Roman"/>
                <w:color w:val="auto"/>
                <w:kern w:val="0"/>
                <w:sz w:val="21"/>
                <w:szCs w:val="21"/>
                <w:highlight w:val="none"/>
              </w:rPr>
            </w:pPr>
          </w:p>
        </w:tc>
        <w:tc>
          <w:tcPr>
            <w:tcW w:w="1126" w:type="dxa"/>
            <w:vAlign w:val="center"/>
          </w:tcPr>
          <w:p>
            <w:pPr>
              <w:widowControl/>
              <w:spacing w:line="240" w:lineRule="auto"/>
              <w:ind w:firstLineChars="0" w:firstLine="0"/>
              <w:jc w:val="center"/>
              <w:rPr>
                <w:rFonts w:cs="Times New Roman"/>
                <w:color w:val="auto"/>
                <w:kern w:val="0"/>
                <w:sz w:val="21"/>
                <w:szCs w:val="21"/>
                <w:highlight w:val="none"/>
              </w:rPr>
            </w:pPr>
            <w:r>
              <w:rPr>
                <w:rFonts w:cs="Times New Roman"/>
                <w:color w:val="auto"/>
                <w:kern w:val="0"/>
                <w:sz w:val="21"/>
                <w:szCs w:val="21"/>
                <w:highlight w:val="none"/>
              </w:rPr>
              <w:t>索号</w:t>
            </w:r>
          </w:p>
        </w:tc>
        <w:tc>
          <w:tcPr>
            <w:tcW w:w="565" w:type="dxa"/>
            <w:vAlign w:val="center"/>
          </w:tcPr>
          <w:p>
            <w:pPr>
              <w:widowControl/>
              <w:spacing w:line="240" w:lineRule="auto"/>
              <w:ind w:firstLineChars="0" w:firstLine="0"/>
              <w:jc w:val="center"/>
              <w:rPr>
                <w:rFonts w:cs="Times New Roman"/>
                <w:color w:val="auto"/>
                <w:kern w:val="0"/>
                <w:sz w:val="21"/>
                <w:szCs w:val="21"/>
                <w:highlight w:val="none"/>
              </w:rPr>
            </w:pPr>
          </w:p>
        </w:tc>
        <w:tc>
          <w:tcPr>
            <w:tcW w:w="542" w:type="dxa"/>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gridSpan w:val="2"/>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vAlign w:val="center"/>
          </w:tcPr>
          <w:p>
            <w:pPr>
              <w:widowControl/>
              <w:spacing w:line="240" w:lineRule="auto"/>
              <w:ind w:firstLineChars="0" w:firstLine="0"/>
              <w:jc w:val="center"/>
              <w:rPr>
                <w:rFonts w:cs="Times New Roman"/>
                <w:color w:val="auto"/>
                <w:kern w:val="0"/>
                <w:sz w:val="21"/>
                <w:szCs w:val="21"/>
                <w:highlight w:val="none"/>
              </w:rPr>
            </w:pPr>
          </w:p>
        </w:tc>
        <w:tc>
          <w:tcPr>
            <w:tcW w:w="670" w:type="dxa"/>
            <w:vAlign w:val="center"/>
          </w:tcPr>
          <w:p>
            <w:pPr>
              <w:widowControl/>
              <w:spacing w:line="240" w:lineRule="auto"/>
              <w:ind w:firstLineChars="0" w:firstLine="0"/>
              <w:jc w:val="center"/>
              <w:rPr>
                <w:rFonts w:cs="Times New Roman"/>
                <w:color w:val="auto"/>
                <w:kern w:val="0"/>
                <w:sz w:val="21"/>
                <w:szCs w:val="21"/>
                <w:highlight w:val="none"/>
              </w:rPr>
            </w:pPr>
          </w:p>
        </w:tc>
        <w:tc>
          <w:tcPr>
            <w:tcW w:w="710" w:type="dxa"/>
            <w:gridSpan w:val="2"/>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gridSpan w:val="2"/>
            <w:vAlign w:val="center"/>
          </w:tcPr>
          <w:p>
            <w:pPr>
              <w:widowControl/>
              <w:spacing w:line="240" w:lineRule="auto"/>
              <w:ind w:firstLineChars="0" w:firstLine="0"/>
              <w:jc w:val="center"/>
              <w:rPr>
                <w:rFonts w:cs="Times New Roman"/>
                <w:color w:val="auto"/>
                <w:kern w:val="0"/>
                <w:sz w:val="21"/>
                <w:szCs w:val="21"/>
                <w:highlight w:val="none"/>
              </w:rPr>
            </w:pPr>
          </w:p>
        </w:tc>
        <w:tc>
          <w:tcPr>
            <w:tcW w:w="672" w:type="dxa"/>
            <w:vAlign w:val="center"/>
          </w:tcPr>
          <w:p>
            <w:pPr>
              <w:widowControl/>
              <w:spacing w:line="240" w:lineRule="auto"/>
              <w:ind w:firstLineChars="0" w:firstLine="0"/>
              <w:jc w:val="center"/>
              <w:rPr>
                <w:rFonts w:cs="Times New Roman"/>
                <w:color w:val="auto"/>
                <w:kern w:val="0"/>
                <w:sz w:val="21"/>
                <w:szCs w:val="21"/>
                <w:highlight w:val="none"/>
              </w:rPr>
            </w:pPr>
          </w:p>
        </w:tc>
      </w:tr>
      <w:tr>
        <w:trPr>
          <w:trHeight w:val="397"/>
        </w:trPr>
        <w:tc>
          <w:tcPr>
            <w:tcW w:w="601" w:type="dxa"/>
            <w:vMerge/>
            <w:tcBorders>
              <w:bottom w:val="single" w:sz="4" w:space="0" w:color="auto"/>
            </w:tcBorders>
            <w:vAlign w:val="center"/>
          </w:tcPr>
          <w:p/>
        </w:tc>
        <w:tc>
          <w:tcPr>
            <w:tcW w:w="1126" w:type="dxa"/>
            <w:vAlign w:val="center"/>
          </w:tcPr>
          <w:p>
            <w:pPr>
              <w:widowControl/>
              <w:spacing w:line="240" w:lineRule="auto"/>
              <w:ind w:firstLineChars="0" w:firstLine="0"/>
              <w:jc w:val="center"/>
              <w:rPr>
                <w:rFonts w:cs="Times New Roman"/>
                <w:color w:val="auto"/>
                <w:kern w:val="0"/>
                <w:sz w:val="21"/>
                <w:szCs w:val="21"/>
                <w:highlight w:val="none"/>
              </w:rPr>
            </w:pPr>
            <w:r>
              <w:rPr>
                <w:rFonts w:cs="Times New Roman"/>
                <w:color w:val="auto"/>
                <w:kern w:val="0"/>
                <w:sz w:val="21"/>
                <w:szCs w:val="21"/>
                <w:highlight w:val="none"/>
              </w:rPr>
              <w:t>实测值</w:t>
            </w:r>
          </w:p>
        </w:tc>
        <w:tc>
          <w:tcPr>
            <w:tcW w:w="565" w:type="dxa"/>
            <w:vAlign w:val="center"/>
          </w:tcPr>
          <w:p>
            <w:pPr>
              <w:widowControl/>
              <w:spacing w:line="240" w:lineRule="auto"/>
              <w:ind w:firstLineChars="0" w:firstLine="0"/>
              <w:jc w:val="center"/>
              <w:rPr>
                <w:rFonts w:cs="Times New Roman"/>
                <w:color w:val="auto"/>
                <w:kern w:val="0"/>
                <w:sz w:val="21"/>
                <w:szCs w:val="21"/>
                <w:highlight w:val="none"/>
              </w:rPr>
            </w:pPr>
          </w:p>
        </w:tc>
        <w:tc>
          <w:tcPr>
            <w:tcW w:w="542" w:type="dxa"/>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gridSpan w:val="2"/>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vAlign w:val="center"/>
          </w:tcPr>
          <w:p>
            <w:pPr>
              <w:widowControl/>
              <w:spacing w:line="240" w:lineRule="auto"/>
              <w:ind w:firstLineChars="0" w:firstLine="0"/>
              <w:jc w:val="center"/>
              <w:rPr>
                <w:rFonts w:cs="Times New Roman"/>
                <w:color w:val="auto"/>
                <w:kern w:val="0"/>
                <w:sz w:val="21"/>
                <w:szCs w:val="21"/>
                <w:highlight w:val="none"/>
              </w:rPr>
            </w:pPr>
          </w:p>
        </w:tc>
        <w:tc>
          <w:tcPr>
            <w:tcW w:w="670" w:type="dxa"/>
            <w:vAlign w:val="center"/>
          </w:tcPr>
          <w:p>
            <w:pPr>
              <w:widowControl/>
              <w:spacing w:line="240" w:lineRule="auto"/>
              <w:ind w:firstLineChars="0" w:firstLine="0"/>
              <w:jc w:val="center"/>
              <w:rPr>
                <w:rFonts w:cs="Times New Roman"/>
                <w:color w:val="auto"/>
                <w:kern w:val="0"/>
                <w:sz w:val="21"/>
                <w:szCs w:val="21"/>
                <w:highlight w:val="none"/>
              </w:rPr>
            </w:pPr>
          </w:p>
        </w:tc>
        <w:tc>
          <w:tcPr>
            <w:tcW w:w="710" w:type="dxa"/>
            <w:gridSpan w:val="2"/>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vAlign w:val="center"/>
          </w:tcPr>
          <w:p>
            <w:pPr>
              <w:widowControl/>
              <w:spacing w:line="240" w:lineRule="auto"/>
              <w:ind w:firstLineChars="0" w:firstLine="0"/>
              <w:jc w:val="center"/>
              <w:rPr>
                <w:rFonts w:cs="Times New Roman"/>
                <w:color w:val="auto"/>
                <w:kern w:val="0"/>
                <w:sz w:val="21"/>
                <w:szCs w:val="21"/>
                <w:highlight w:val="none"/>
              </w:rPr>
            </w:pPr>
          </w:p>
        </w:tc>
        <w:tc>
          <w:tcPr>
            <w:tcW w:w="690" w:type="dxa"/>
            <w:gridSpan w:val="2"/>
            <w:vAlign w:val="center"/>
          </w:tcPr>
          <w:p>
            <w:pPr>
              <w:widowControl/>
              <w:spacing w:line="240" w:lineRule="auto"/>
              <w:ind w:firstLineChars="0" w:firstLine="0"/>
              <w:jc w:val="center"/>
              <w:rPr>
                <w:rFonts w:cs="Times New Roman"/>
                <w:color w:val="auto"/>
                <w:kern w:val="0"/>
                <w:sz w:val="21"/>
                <w:szCs w:val="21"/>
                <w:highlight w:val="none"/>
              </w:rPr>
            </w:pPr>
          </w:p>
        </w:tc>
        <w:tc>
          <w:tcPr>
            <w:tcW w:w="672" w:type="dxa"/>
            <w:vAlign w:val="center"/>
          </w:tcPr>
          <w:p>
            <w:pPr>
              <w:widowControl/>
              <w:spacing w:line="240" w:lineRule="auto"/>
              <w:ind w:firstLineChars="0" w:firstLine="0"/>
              <w:jc w:val="center"/>
              <w:rPr>
                <w:rFonts w:cs="Times New Roman"/>
                <w:color w:val="auto"/>
                <w:kern w:val="0"/>
                <w:sz w:val="21"/>
                <w:szCs w:val="21"/>
                <w:highlight w:val="none"/>
              </w:rPr>
            </w:pPr>
          </w:p>
        </w:tc>
      </w:tr>
      <w:tr>
        <w:trPr>
          <w:trHeight w:val="340"/>
        </w:trPr>
        <w:tc>
          <w:tcPr>
            <w:tcW w:w="8336" w:type="dxa"/>
            <w:gridSpan w:val="15"/>
            <w:vMerge w:val="restart"/>
          </w:tcPr>
          <w:p>
            <w:pPr>
              <w:widowControl/>
              <w:spacing w:line="240" w:lineRule="auto"/>
              <w:ind w:firstLineChars="0" w:firstLine="0"/>
              <w:jc w:val="left"/>
              <w:rPr>
                <w:rFonts w:cs="Times New Roman"/>
                <w:color w:val="auto"/>
                <w:kern w:val="0"/>
                <w:sz w:val="21"/>
                <w:szCs w:val="21"/>
                <w:highlight w:val="none"/>
              </w:rPr>
            </w:pPr>
            <w:r>
              <w:rPr>
                <w:rFonts w:cs="Times New Roman"/>
                <w:color w:val="auto"/>
                <w:kern w:val="0"/>
                <w:sz w:val="21"/>
                <w:szCs w:val="21"/>
                <w:highlight w:val="none"/>
              </w:rPr>
              <w:t>备注：</w:t>
            </w:r>
          </w:p>
        </w:tc>
      </w:tr>
      <w:tr>
        <w:trPr>
          <w:trHeight w:val="340"/>
        </w:trPr>
        <w:tc>
          <w:tcPr>
            <w:tcW w:w="8336" w:type="dxa"/>
            <w:gridSpan w:val="15"/>
            <w:vMerge/>
          </w:tcPr>
          <w:p/>
        </w:tc>
      </w:tr>
      <w:tr>
        <w:trPr>
          <w:trHeight w:val="340"/>
        </w:trPr>
        <w:tc>
          <w:tcPr>
            <w:tcW w:w="8336" w:type="dxa"/>
            <w:gridSpan w:val="15"/>
            <w:vMerge/>
          </w:tcPr>
          <w:p/>
        </w:tc>
      </w:tr>
    </w:tbl>
    <w:p>
      <w:pPr>
        <w:ind w:firstLineChars="0" w:firstLine="0"/>
        <w:rPr>
          <w:rFonts w:cs="Times New Roman"/>
          <w:color w:val="auto"/>
          <w:highlight w:val="none"/>
        </w:rPr>
      </w:pPr>
      <w:r>
        <w:rPr>
          <w:rFonts w:cs="Times New Roman"/>
          <w:color w:val="auto"/>
          <w:sz w:val="21"/>
          <w:szCs w:val="21"/>
          <w:highlight w:val="none"/>
        </w:rPr>
        <w:t>检测</w:t>
      </w:r>
      <w:r>
        <w:rPr>
          <w:rFonts w:cs="Times New Roman" w:hint="eastAsia"/>
          <w:color w:val="auto"/>
          <w:sz w:val="21"/>
          <w:szCs w:val="21"/>
          <w:lang w:val="en-US" w:eastAsia="zh-CN"/>
          <w:highlight w:val="none"/>
        </w:rPr>
        <w:t>人员</w:t>
      </w:r>
      <w:r>
        <w:rPr>
          <w:rFonts w:cs="Times New Roman"/>
          <w:color w:val="auto"/>
          <w:sz w:val="21"/>
          <w:szCs w:val="21"/>
          <w:highlight w:val="none"/>
        </w:rPr>
        <w:t xml:space="preserve">：                            </w:t>
      </w:r>
      <w:r>
        <w:rPr>
          <w:rFonts w:cs="Times New Roman" w:hint="eastAsia"/>
          <w:color w:val="auto"/>
          <w:sz w:val="21"/>
          <w:szCs w:val="21"/>
          <w:lang w:val="en-US" w:eastAsia="zh-CN"/>
          <w:highlight w:val="none"/>
        </w:rPr>
        <w:t>审核人员</w:t>
      </w:r>
      <w:r>
        <w:rPr>
          <w:rFonts w:cs="Times New Roman"/>
          <w:color w:val="auto"/>
          <w:sz w:val="21"/>
          <w:szCs w:val="21"/>
          <w:highlight w:val="none"/>
        </w:rPr>
        <w:t xml:space="preserve">：        </w:t>
      </w:r>
      <w:r>
        <w:rPr>
          <w:rFonts w:cs="Times New Roman" w:hint="eastAsia"/>
          <w:color w:val="auto"/>
          <w:sz w:val="21"/>
          <w:szCs w:val="21"/>
          <w:lang w:val="en-US" w:eastAsia="zh-CN"/>
          <w:highlight w:val="none"/>
        </w:rPr>
        <w:t xml:space="preserve">   </w:t>
      </w:r>
      <w:r>
        <w:rPr>
          <w:rFonts w:cs="Times New Roman"/>
          <w:color w:val="auto"/>
          <w:sz w:val="21"/>
          <w:szCs w:val="21"/>
          <w:highlight w:val="none"/>
        </w:rPr>
        <w:t xml:space="preserve">  </w:t>
      </w:r>
      <w:r>
        <w:rPr>
          <w:rFonts w:cs="Times New Roman" w:hint="eastAsia"/>
          <w:color w:val="auto"/>
          <w:sz w:val="21"/>
          <w:szCs w:val="21"/>
          <w:lang w:val="en-US" w:eastAsia="zh-CN"/>
          <w:highlight w:val="none"/>
        </w:rPr>
        <w:t xml:space="preserve">  检测</w:t>
      </w:r>
      <w:r>
        <w:rPr>
          <w:rFonts w:cs="Times New Roman"/>
          <w:color w:val="auto"/>
          <w:sz w:val="21"/>
          <w:szCs w:val="21"/>
          <w:highlight w:val="none"/>
        </w:rPr>
        <w:t>日期：</w:t>
      </w:r>
    </w:p>
    <w:p>
      <w:pPr>
        <w:pStyle w:val="1"/>
        <w:ind w:rightChars="-24" w:right="-58" w:firstLineChars="0" w:firstLine="0"/>
        <w:rPr>
          <w:rFonts w:cs="Times New Roman"/>
          <w:color w:val="auto"/>
          <w:highlight w:val="none"/>
        </w:rPr>
      </w:pPr>
      <w:bookmarkStart w:id="549" w:name="_Toc7206"/>
      <w:bookmarkStart w:id="550" w:name="_Toc24360"/>
      <w:bookmarkStart w:id="551" w:name="_Toc29157"/>
      <w:bookmarkStart w:id="552" w:name="_Toc3177"/>
      <w:r>
        <w:rPr>
          <w:rFonts w:cs="Times New Roman"/>
          <w:color w:val="auto"/>
          <w:highlight w:val="none"/>
        </w:rPr>
        <w:t>附录M</w:t>
      </w:r>
      <w:r>
        <w:rPr>
          <w:rFonts w:cs="Times New Roman"/>
          <w:b w:val="0"/>
          <w:bCs w:val="0"/>
          <w:color w:val="auto"/>
          <w:szCs w:val="30"/>
          <w:highlight w:val="none"/>
        </w:rPr>
        <w:t>　</w:t>
      </w:r>
      <w:r>
        <w:rPr>
          <w:rFonts w:cs="Times New Roman"/>
          <w:color w:val="auto"/>
          <w:highlight w:val="none"/>
        </w:rPr>
        <w:t>射钉法</w:t>
      </w:r>
      <w:r>
        <w:rPr>
          <w:rFonts w:cs="Times New Roman" w:hint="eastAsia"/>
          <w:color w:val="auto"/>
          <w:highlight w:val="none"/>
        </w:rPr>
        <w:t>检测</w:t>
      </w:r>
      <w:r>
        <w:rPr>
          <w:rFonts w:cs="Times New Roman"/>
          <w:color w:val="auto"/>
          <w:highlight w:val="none"/>
        </w:rPr>
        <w:t>记录表</w:t>
      </w:r>
      <w:bookmarkEnd w:id="549"/>
      <w:bookmarkEnd w:id="550"/>
      <w:bookmarkEnd w:id="551"/>
      <w:bookmarkEnd w:id="552"/>
    </w:p>
    <w:p>
      <w:pPr>
        <w:pStyle w:val="16"/>
        <w:rPr>
          <w:rFonts w:cs="Times New Roman"/>
          <w:color w:val="auto"/>
          <w:highlight w:val="none"/>
        </w:rPr>
      </w:pPr>
      <w:r>
        <w:rPr>
          <w:rFonts w:cs="Times New Roman"/>
          <w:color w:val="auto"/>
          <w:highlight w:val="none"/>
        </w:rPr>
        <w:t>表M</w:t>
      </w:r>
      <w:r>
        <w:rPr>
          <w:rFonts w:cs="Times New Roman" w:hint="eastAsia"/>
          <w:color w:val="auto"/>
          <w:highlight w:val="none"/>
        </w:rPr>
        <w:t>　</w:t>
      </w:r>
      <w:r>
        <w:rPr>
          <w:rFonts w:cs="Times New Roman"/>
          <w:color w:val="auto"/>
          <w:highlight w:val="none"/>
        </w:rPr>
        <w:t>射钉法检测记录表</w:t>
      </w:r>
    </w:p>
    <w:p>
      <w:pPr>
        <w:spacing w:before="156" w:line="240" w:lineRule="auto"/>
        <w:ind w:firstLineChars="0" w:firstLine="0"/>
        <w:rPr>
          <w:rFonts w:cs="Times New Roman"/>
          <w:color w:val="auto"/>
          <w:sz w:val="21"/>
          <w:szCs w:val="21"/>
          <w:highlight w:val="none"/>
        </w:rPr>
      </w:pPr>
      <w:r>
        <w:rPr>
          <w:rFonts w:cs="Times New Roman"/>
          <w:color w:val="auto"/>
          <w:sz w:val="21"/>
          <w:szCs w:val="21"/>
          <w:highlight w:val="none"/>
        </w:rPr>
        <w:t xml:space="preserve">委托编号：                                          </w:t>
      </w:r>
      <w:r>
        <w:rPr>
          <w:rFonts w:cs="Times New Roman" w:hint="eastAsia"/>
          <w:color w:val="auto"/>
          <w:sz w:val="21"/>
          <w:szCs w:val="21"/>
          <w:lang w:val="en-US" w:eastAsia="zh-CN"/>
          <w:highlight w:val="none"/>
        </w:rPr>
        <w:t xml:space="preserve">                </w:t>
      </w:r>
      <w:r>
        <w:rPr>
          <w:rFonts w:cs="Times New Roman"/>
          <w:color w:val="auto"/>
          <w:sz w:val="21"/>
          <w:szCs w:val="21"/>
          <w:highlight w:val="none"/>
        </w:rPr>
        <w:t>共   页 / 第   页</w:t>
      </w:r>
    </w:p>
    <w:tbl>
      <w:tblPr>
        <w:jc w:val="center"/>
        <w:tblW w:w="9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600" w:firstRow="0" w:lastRow="0" w:firstColumn="0" w:lastColumn="0" w:noHBand="1" w:noVBand="1"/>
      </w:tblPr>
      <w:tblGrid>
        <w:gridCol w:w="1135"/>
        <w:gridCol w:w="709"/>
        <w:gridCol w:w="1276"/>
        <w:gridCol w:w="1459"/>
        <w:gridCol w:w="667"/>
        <w:gridCol w:w="992"/>
        <w:gridCol w:w="851"/>
        <w:gridCol w:w="2268"/>
      </w:tblGrid>
      <w:tr>
        <w:trPr>
          <w:trHeight w:val="170"/>
        </w:trPr>
        <w:tc>
          <w:tcPr>
            <w:tcW w:w="1844" w:type="dxa"/>
            <w:gridSpan w:val="2"/>
            <w:vAlign w:val="center"/>
          </w:tcPr>
          <w:p>
            <w:pPr>
              <w:spacing w:before="100" w:beforeAutospacing="1"/>
              <w:ind w:firstLineChars="0" w:firstLine="0"/>
              <w:jc w:val="center"/>
              <w:rPr>
                <w:rFonts w:cs="Times New Roman"/>
                <w:color w:val="auto"/>
                <w:sz w:val="21"/>
                <w:szCs w:val="20"/>
                <w:highlight w:val="none"/>
              </w:rPr>
            </w:pPr>
            <w:r>
              <w:rPr>
                <w:rFonts w:cs="Times New Roman"/>
                <w:color w:val="auto"/>
                <w:sz w:val="21"/>
                <w:szCs w:val="20"/>
                <w:highlight w:val="none"/>
              </w:rPr>
              <w:t>工程名称</w:t>
            </w:r>
          </w:p>
        </w:tc>
        <w:tc>
          <w:tcPr>
            <w:tcW w:w="7513" w:type="dxa"/>
            <w:gridSpan w:val="6"/>
            <w:vAlign w:val="center"/>
          </w:tcPr>
          <w:p>
            <w:pPr>
              <w:spacing w:before="100" w:beforeAutospacing="1"/>
              <w:ind w:firstLineChars="0" w:firstLine="0"/>
              <w:jc w:val="center"/>
              <w:rPr>
                <w:rFonts w:cs="Times New Roman"/>
                <w:color w:val="auto"/>
                <w:sz w:val="21"/>
                <w:szCs w:val="20"/>
                <w:highlight w:val="none"/>
              </w:rPr>
            </w:pPr>
          </w:p>
        </w:tc>
      </w:tr>
      <w:tr>
        <w:tc>
          <w:tcPr>
            <w:tcW w:w="1844" w:type="dxa"/>
            <w:gridSpan w:val="2"/>
            <w:vAlign w:val="center"/>
          </w:tcPr>
          <w:p>
            <w:pPr>
              <w:spacing w:before="100" w:beforeAutospacing="1"/>
              <w:ind w:firstLineChars="0" w:firstLine="0"/>
              <w:jc w:val="center"/>
              <w:rPr>
                <w:rFonts w:cs="Times New Roman"/>
                <w:color w:val="auto"/>
                <w:sz w:val="21"/>
                <w:szCs w:val="20"/>
                <w:highlight w:val="none"/>
              </w:rPr>
            </w:pPr>
            <w:r>
              <w:rPr>
                <w:rFonts w:cs="Times New Roman"/>
                <w:color w:val="auto"/>
                <w:sz w:val="21"/>
                <w:szCs w:val="20"/>
                <w:highlight w:val="none"/>
              </w:rPr>
              <w:t>执行标准</w:t>
            </w:r>
          </w:p>
        </w:tc>
        <w:tc>
          <w:tcPr>
            <w:tcW w:w="2735" w:type="dxa"/>
            <w:gridSpan w:val="2"/>
            <w:vAlign w:val="center"/>
          </w:tcPr>
          <w:p>
            <w:pPr>
              <w:spacing w:before="100" w:beforeAutospacing="1"/>
              <w:ind w:firstLineChars="0" w:firstLine="0"/>
              <w:jc w:val="center"/>
              <w:rPr>
                <w:rFonts w:cs="Times New Roman"/>
                <w:color w:val="auto"/>
                <w:sz w:val="21"/>
                <w:szCs w:val="20"/>
                <w:highlight w:val="none"/>
              </w:rPr>
            </w:pPr>
          </w:p>
        </w:tc>
        <w:tc>
          <w:tcPr>
            <w:tcW w:w="1659" w:type="dxa"/>
            <w:gridSpan w:val="2"/>
            <w:vAlign w:val="center"/>
          </w:tcPr>
          <w:p>
            <w:pPr>
              <w:spacing w:before="100" w:beforeAutospacing="1"/>
              <w:ind w:firstLineChars="0" w:firstLine="0"/>
              <w:jc w:val="center"/>
              <w:rPr>
                <w:rFonts w:cs="Times New Roman"/>
                <w:color w:val="auto"/>
                <w:sz w:val="21"/>
                <w:szCs w:val="20"/>
                <w:highlight w:val="none"/>
              </w:rPr>
            </w:pPr>
            <w:r>
              <w:rPr>
                <w:rFonts w:cs="Times New Roman"/>
                <w:color w:val="auto"/>
                <w:sz w:val="21"/>
                <w:szCs w:val="20"/>
                <w:highlight w:val="none"/>
              </w:rPr>
              <w:t>仪器型号/编号</w:t>
            </w:r>
          </w:p>
        </w:tc>
        <w:tc>
          <w:tcPr>
            <w:tcW w:w="3119" w:type="dxa"/>
            <w:gridSpan w:val="2"/>
            <w:vAlign w:val="center"/>
          </w:tcPr>
          <w:p>
            <w:pPr>
              <w:spacing w:before="100" w:beforeAutospacing="1"/>
              <w:ind w:firstLineChars="0" w:firstLine="0"/>
              <w:jc w:val="center"/>
              <w:rPr>
                <w:rFonts w:cs="Times New Roman"/>
                <w:color w:val="auto"/>
                <w:sz w:val="21"/>
                <w:szCs w:val="20"/>
                <w:highlight w:val="none"/>
              </w:rPr>
            </w:pPr>
          </w:p>
        </w:tc>
      </w:tr>
      <w:tr>
        <w:tc>
          <w:tcPr>
            <w:tcW w:w="1844" w:type="dxa"/>
            <w:gridSpan w:val="2"/>
            <w:vAlign w:val="center"/>
          </w:tcPr>
          <w:p>
            <w:pPr>
              <w:spacing w:before="100" w:beforeAutospacing="1"/>
              <w:ind w:firstLineChars="0" w:firstLine="0"/>
              <w:jc w:val="center"/>
              <w:rPr>
                <w:rFonts w:cs="Times New Roman"/>
                <w:color w:val="auto"/>
                <w:sz w:val="21"/>
                <w:szCs w:val="20"/>
                <w:highlight w:val="none"/>
              </w:rPr>
            </w:pPr>
            <w:r>
              <w:rPr>
                <w:rFonts w:cs="Times New Roman"/>
                <w:color w:val="auto"/>
                <w:sz w:val="21"/>
                <w:szCs w:val="20"/>
                <w:highlight w:val="none"/>
              </w:rPr>
              <w:t>浇筑日期</w:t>
            </w:r>
          </w:p>
        </w:tc>
        <w:tc>
          <w:tcPr>
            <w:tcW w:w="2735" w:type="dxa"/>
            <w:gridSpan w:val="2"/>
            <w:vAlign w:val="center"/>
          </w:tcPr>
          <w:p>
            <w:pPr>
              <w:spacing w:before="100" w:beforeAutospacing="1"/>
              <w:ind w:firstLineChars="0" w:firstLine="0"/>
              <w:jc w:val="center"/>
              <w:rPr>
                <w:rFonts w:cs="Times New Roman"/>
                <w:color w:val="auto"/>
                <w:sz w:val="21"/>
                <w:szCs w:val="20"/>
                <w:highlight w:val="none"/>
              </w:rPr>
            </w:pPr>
          </w:p>
        </w:tc>
        <w:tc>
          <w:tcPr>
            <w:tcW w:w="1659" w:type="dxa"/>
            <w:gridSpan w:val="2"/>
            <w:vAlign w:val="center"/>
          </w:tcPr>
          <w:p>
            <w:pPr>
              <w:spacing w:before="100" w:beforeAutospacing="1"/>
              <w:ind w:firstLineChars="0" w:firstLine="0"/>
              <w:jc w:val="center"/>
              <w:rPr>
                <w:rFonts w:cs="Times New Roman"/>
                <w:color w:val="auto"/>
                <w:sz w:val="21"/>
                <w:szCs w:val="20"/>
                <w:highlight w:val="none"/>
              </w:rPr>
            </w:pPr>
            <w:r>
              <w:rPr>
                <w:rFonts w:cs="Times New Roman"/>
                <w:color w:val="auto"/>
                <w:sz w:val="21"/>
                <w:szCs w:val="20"/>
                <w:highlight w:val="none"/>
              </w:rPr>
              <w:t>检测日期</w:t>
            </w:r>
          </w:p>
        </w:tc>
        <w:tc>
          <w:tcPr>
            <w:tcW w:w="3119" w:type="dxa"/>
            <w:gridSpan w:val="2"/>
            <w:vAlign w:val="center"/>
          </w:tcPr>
          <w:p>
            <w:pPr>
              <w:spacing w:before="100" w:beforeAutospacing="1"/>
              <w:ind w:firstLineChars="0" w:firstLine="0"/>
              <w:jc w:val="center"/>
              <w:rPr>
                <w:rFonts w:cs="Times New Roman"/>
                <w:color w:val="auto"/>
                <w:sz w:val="21"/>
                <w:szCs w:val="20"/>
                <w:highlight w:val="none"/>
              </w:rPr>
            </w:pPr>
          </w:p>
        </w:tc>
      </w:tr>
      <w:tr>
        <w:trPr>
          <w:trHeight w:val="323"/>
        </w:trPr>
        <w:tc>
          <w:tcPr>
            <w:tcW w:w="3120" w:type="dxa"/>
            <w:gridSpan w:val="3"/>
            <w:vAlign w:val="center"/>
          </w:tcPr>
          <w:p>
            <w:pPr>
              <w:spacing w:before="100" w:beforeAutospacing="1" w:line="240" w:lineRule="auto"/>
              <w:ind w:firstLineChars="0" w:firstLine="0"/>
              <w:jc w:val="center"/>
              <w:rPr>
                <w:rFonts w:cs="Times New Roman"/>
                <w:color w:val="auto"/>
                <w:sz w:val="21"/>
                <w:szCs w:val="20"/>
                <w:highlight w:val="none"/>
              </w:rPr>
            </w:pPr>
            <w:r>
              <w:rPr>
                <w:rFonts w:cs="Times New Roman"/>
                <w:color w:val="auto"/>
                <w:sz w:val="21"/>
                <w:szCs w:val="20"/>
                <w:highlight w:val="none"/>
              </w:rPr>
              <w:t>构件编号</w:t>
            </w:r>
          </w:p>
        </w:tc>
        <w:tc>
          <w:tcPr>
            <w:tcW w:w="6237" w:type="dxa"/>
            <w:gridSpan w:val="5"/>
            <w:vAlign w:val="center"/>
          </w:tcPr>
          <w:p>
            <w:pPr>
              <w:spacing w:before="100" w:beforeAutospacing="1" w:line="240" w:lineRule="auto"/>
              <w:ind w:firstLineChars="0" w:firstLine="0"/>
              <w:jc w:val="center"/>
              <w:rPr>
                <w:rFonts w:cs="Times New Roman"/>
                <w:color w:val="auto"/>
                <w:sz w:val="21"/>
                <w:szCs w:val="20"/>
                <w:highlight w:val="none"/>
              </w:rPr>
            </w:pPr>
          </w:p>
        </w:tc>
      </w:tr>
      <w:tr>
        <w:tc>
          <w:tcPr>
            <w:tcW w:w="1135" w:type="dxa"/>
            <w:vAlign w:val="center"/>
          </w:tcPr>
          <w:p>
            <w:pPr>
              <w:spacing w:before="100" w:beforeAutospacing="1"/>
              <w:ind w:firstLineChars="0" w:firstLine="0"/>
              <w:jc w:val="center"/>
              <w:rPr>
                <w:rFonts w:cs="Times New Roman"/>
                <w:color w:val="auto"/>
                <w:sz w:val="21"/>
                <w:szCs w:val="20"/>
                <w:highlight w:val="none"/>
              </w:rPr>
            </w:pPr>
            <w:r>
              <w:rPr>
                <w:rFonts w:cs="Times New Roman"/>
                <w:color w:val="auto"/>
                <w:sz w:val="21"/>
                <w:szCs w:val="20"/>
                <w:highlight w:val="none"/>
              </w:rPr>
              <w:t>测区</w:t>
            </w:r>
          </w:p>
        </w:tc>
        <w:tc>
          <w:tcPr>
            <w:tcW w:w="1985" w:type="dxa"/>
            <w:gridSpan w:val="2"/>
            <w:vAlign w:val="center"/>
          </w:tcPr>
          <w:p>
            <w:pPr>
              <w:spacing w:before="100" w:beforeAutospacing="1"/>
              <w:ind w:firstLineChars="0" w:firstLine="0"/>
              <w:jc w:val="center"/>
              <w:rPr>
                <w:rFonts w:cs="Times New Roman"/>
                <w:color w:val="auto"/>
                <w:sz w:val="21"/>
                <w:szCs w:val="20"/>
                <w:highlight w:val="none"/>
              </w:rPr>
            </w:pPr>
            <w:r>
              <w:rPr>
                <w:rFonts w:cs="Times New Roman"/>
                <w:color w:val="auto"/>
                <w:sz w:val="21"/>
                <w:szCs w:val="20"/>
                <w:highlight w:val="none"/>
              </w:rPr>
              <w:t>贯入深度值/mm</w:t>
            </w:r>
          </w:p>
        </w:tc>
        <w:tc>
          <w:tcPr>
            <w:tcW w:w="2126" w:type="dxa"/>
            <w:gridSpan w:val="2"/>
            <w:vAlign w:val="center"/>
          </w:tcPr>
          <w:p>
            <w:pPr>
              <w:spacing w:before="100" w:beforeAutospacing="1"/>
              <w:ind w:firstLineChars="0" w:firstLine="0"/>
              <w:jc w:val="center"/>
              <w:rPr>
                <w:rFonts w:cs="Times New Roman"/>
                <w:color w:val="auto"/>
                <w:sz w:val="21"/>
                <w:szCs w:val="20"/>
                <w:highlight w:val="none"/>
              </w:rPr>
            </w:pPr>
            <w:r>
              <w:rPr>
                <w:rFonts w:cs="Times New Roman"/>
                <w:color w:val="auto"/>
                <w:sz w:val="21"/>
                <w:szCs w:val="20"/>
                <w:highlight w:val="none"/>
              </w:rPr>
              <w:t>贯入深度平均值/mm</w:t>
            </w:r>
          </w:p>
        </w:tc>
        <w:tc>
          <w:tcPr>
            <w:tcW w:w="1843" w:type="dxa"/>
            <w:gridSpan w:val="2"/>
            <w:vAlign w:val="center"/>
          </w:tcPr>
          <w:p>
            <w:pPr>
              <w:spacing w:before="100" w:beforeAutospacing="1"/>
              <w:ind w:firstLineChars="0" w:firstLine="0"/>
              <w:jc w:val="center"/>
              <w:rPr>
                <w:rFonts w:cs="Times New Roman"/>
                <w:color w:val="auto"/>
                <w:sz w:val="21"/>
                <w:szCs w:val="20"/>
                <w:highlight w:val="none"/>
              </w:rPr>
            </w:pPr>
            <w:r>
              <w:rPr>
                <w:rFonts w:cs="Times New Roman"/>
                <w:color w:val="auto"/>
                <w:sz w:val="21"/>
                <w:szCs w:val="20"/>
                <w:highlight w:val="none"/>
              </w:rPr>
              <w:t>抗压强度值/MPa</w:t>
            </w:r>
          </w:p>
        </w:tc>
        <w:tc>
          <w:tcPr>
            <w:tcW w:w="2268" w:type="dxa"/>
            <w:vAlign w:val="center"/>
          </w:tcPr>
          <w:p>
            <w:pPr>
              <w:spacing w:before="100" w:beforeAutospacing="1"/>
              <w:ind w:firstLineChars="0" w:firstLine="0"/>
              <w:jc w:val="center"/>
              <w:rPr>
                <w:rFonts w:cs="Times New Roman"/>
                <w:color w:val="auto"/>
                <w:sz w:val="21"/>
                <w:szCs w:val="20"/>
                <w:highlight w:val="none"/>
              </w:rPr>
            </w:pPr>
            <w:r>
              <w:rPr>
                <w:rFonts w:cs="Times New Roman"/>
                <w:color w:val="auto"/>
                <w:sz w:val="21"/>
                <w:szCs w:val="20"/>
                <w:highlight w:val="none"/>
              </w:rPr>
              <w:t>抗压强度平均值/MPa</w:t>
            </w:r>
          </w:p>
        </w:tc>
      </w:tr>
      <w:tr>
        <w:tc>
          <w:tcPr>
            <w:tcW w:w="1135" w:type="dxa"/>
            <w:vMerge w:val="restart"/>
            <w:vAlign w:val="center"/>
          </w:tcPr>
          <w:p>
            <w:pPr>
              <w:spacing w:before="100" w:beforeAutospacing="1"/>
              <w:ind w:firstLineChars="0" w:firstLine="0"/>
              <w:jc w:val="center"/>
              <w:rPr>
                <w:rFonts w:cs="Times New Roman"/>
                <w:color w:val="auto"/>
                <w:sz w:val="21"/>
                <w:szCs w:val="20"/>
                <w:highlight w:val="none"/>
              </w:rPr>
            </w:pPr>
            <w:r>
              <w:rPr>
                <w:rFonts w:cs="Times New Roman"/>
                <w:color w:val="auto"/>
                <w:sz w:val="21"/>
                <w:szCs w:val="20"/>
                <w:highlight w:val="none"/>
              </w:rPr>
              <w:t>测区1</w:t>
            </w:r>
          </w:p>
        </w:tc>
        <w:tc>
          <w:tcPr>
            <w:tcW w:w="1985" w:type="dxa"/>
            <w:gridSpan w:val="2"/>
            <w:vAlign w:val="center"/>
          </w:tcPr>
          <w:p>
            <w:pPr>
              <w:spacing w:before="100" w:beforeAutospacing="1"/>
              <w:ind w:firstLineChars="0" w:firstLine="0"/>
              <w:jc w:val="center"/>
              <w:rPr>
                <w:rFonts w:cs="Times New Roman"/>
                <w:color w:val="auto"/>
                <w:sz w:val="21"/>
                <w:szCs w:val="20"/>
                <w:highlight w:val="none"/>
              </w:rPr>
            </w:pPr>
          </w:p>
        </w:tc>
        <w:tc>
          <w:tcPr>
            <w:tcW w:w="2126" w:type="dxa"/>
            <w:gridSpan w:val="2"/>
            <w:vMerge w:val="restart"/>
            <w:vAlign w:val="center"/>
          </w:tcPr>
          <w:p>
            <w:pPr>
              <w:spacing w:before="100" w:beforeAutospacing="1"/>
              <w:ind w:firstLineChars="0" w:firstLine="0"/>
              <w:jc w:val="center"/>
              <w:rPr>
                <w:rFonts w:cs="Times New Roman"/>
                <w:color w:val="auto"/>
                <w:sz w:val="21"/>
                <w:szCs w:val="20"/>
                <w:highlight w:val="none"/>
              </w:rPr>
            </w:pPr>
          </w:p>
        </w:tc>
        <w:tc>
          <w:tcPr>
            <w:tcW w:w="1843" w:type="dxa"/>
            <w:gridSpan w:val="2"/>
            <w:vMerge w:val="restart"/>
            <w:vAlign w:val="center"/>
          </w:tcPr>
          <w:p>
            <w:pPr>
              <w:spacing w:before="100" w:beforeAutospacing="1"/>
              <w:ind w:firstLineChars="0" w:firstLine="0"/>
              <w:jc w:val="center"/>
              <w:rPr>
                <w:rFonts w:cs="Times New Roman"/>
                <w:color w:val="auto"/>
                <w:sz w:val="21"/>
                <w:szCs w:val="20"/>
                <w:highlight w:val="none"/>
              </w:rPr>
            </w:pPr>
          </w:p>
        </w:tc>
        <w:tc>
          <w:tcPr>
            <w:tcW w:w="2268" w:type="dxa"/>
            <w:vMerge w:val="restart"/>
            <w:vAlign w:val="center"/>
          </w:tcPr>
          <w:p>
            <w:pPr>
              <w:spacing w:before="100" w:beforeAutospacing="1"/>
              <w:ind w:firstLineChars="0" w:firstLine="0"/>
              <w:jc w:val="center"/>
              <w:rPr>
                <w:rFonts w:cs="Times New Roman"/>
                <w:color w:val="auto"/>
                <w:sz w:val="21"/>
                <w:szCs w:val="20"/>
                <w:highlight w:val="none"/>
              </w:rPr>
            </w:pPr>
          </w:p>
        </w:tc>
      </w:tr>
      <w:tr>
        <w:tc>
          <w:tcPr>
            <w:tcW w:w="1135" w:type="dxa"/>
            <w:vMerge/>
            <w:vAlign w:val="center"/>
          </w:tcPr>
          <w:p/>
        </w:tc>
        <w:tc>
          <w:tcPr>
            <w:tcW w:w="1985" w:type="dxa"/>
            <w:gridSpan w:val="2"/>
            <w:vAlign w:val="center"/>
          </w:tcPr>
          <w:p>
            <w:pPr>
              <w:spacing w:before="100" w:beforeAutospacing="1"/>
              <w:ind w:firstLineChars="0" w:firstLine="0"/>
              <w:jc w:val="center"/>
              <w:rPr>
                <w:rFonts w:cs="Times New Roman"/>
                <w:color w:val="auto"/>
                <w:sz w:val="21"/>
                <w:szCs w:val="20"/>
                <w:highlight w:val="none"/>
              </w:rPr>
            </w:pPr>
          </w:p>
        </w:tc>
        <w:tc>
          <w:tcPr>
            <w:tcW w:w="2126" w:type="dxa"/>
            <w:gridSpan w:val="2"/>
            <w:vMerge/>
            <w:vAlign w:val="center"/>
          </w:tcPr>
          <w:p/>
        </w:tc>
        <w:tc>
          <w:tcPr>
            <w:tcW w:w="1843" w:type="dxa"/>
            <w:gridSpan w:val="2"/>
            <w:vMerge/>
            <w:vAlign w:val="center"/>
          </w:tcPr>
          <w:p/>
        </w:tc>
        <w:tc>
          <w:tcPr>
            <w:tcW w:w="2268" w:type="dxa"/>
            <w:vMerge/>
            <w:vAlign w:val="center"/>
          </w:tcPr>
          <w:p/>
        </w:tc>
      </w:tr>
      <w:tr>
        <w:tc>
          <w:tcPr>
            <w:tcW w:w="1135" w:type="dxa"/>
            <w:vMerge/>
            <w:vAlign w:val="center"/>
          </w:tcPr>
          <w:p/>
        </w:tc>
        <w:tc>
          <w:tcPr>
            <w:tcW w:w="1985" w:type="dxa"/>
            <w:gridSpan w:val="2"/>
            <w:vAlign w:val="center"/>
          </w:tcPr>
          <w:p>
            <w:pPr>
              <w:spacing w:before="100" w:beforeAutospacing="1"/>
              <w:ind w:firstLineChars="0" w:firstLine="0"/>
              <w:jc w:val="center"/>
              <w:rPr>
                <w:rFonts w:cs="Times New Roman"/>
                <w:color w:val="auto"/>
                <w:sz w:val="21"/>
                <w:szCs w:val="20"/>
                <w:highlight w:val="none"/>
              </w:rPr>
            </w:pPr>
          </w:p>
        </w:tc>
        <w:tc>
          <w:tcPr>
            <w:tcW w:w="2126" w:type="dxa"/>
            <w:gridSpan w:val="2"/>
            <w:vMerge/>
            <w:vAlign w:val="center"/>
          </w:tcPr>
          <w:p/>
        </w:tc>
        <w:tc>
          <w:tcPr>
            <w:tcW w:w="1843" w:type="dxa"/>
            <w:gridSpan w:val="2"/>
            <w:vMerge/>
            <w:vAlign w:val="center"/>
          </w:tcPr>
          <w:p/>
        </w:tc>
        <w:tc>
          <w:tcPr>
            <w:tcW w:w="2268" w:type="dxa"/>
            <w:vMerge/>
            <w:vAlign w:val="center"/>
          </w:tcPr>
          <w:p/>
        </w:tc>
      </w:tr>
      <w:tr>
        <w:tc>
          <w:tcPr>
            <w:tcW w:w="1135" w:type="dxa"/>
            <w:vMerge w:val="restart"/>
            <w:vAlign w:val="center"/>
          </w:tcPr>
          <w:p>
            <w:pPr>
              <w:spacing w:before="100" w:beforeAutospacing="1"/>
              <w:ind w:firstLineChars="0" w:firstLine="0"/>
              <w:jc w:val="center"/>
              <w:rPr>
                <w:rFonts w:cs="Times New Roman"/>
                <w:color w:val="auto"/>
                <w:sz w:val="21"/>
                <w:szCs w:val="20"/>
                <w:highlight w:val="none"/>
              </w:rPr>
            </w:pPr>
            <w:r>
              <w:rPr>
                <w:rFonts w:cs="Times New Roman"/>
                <w:color w:val="auto"/>
                <w:sz w:val="21"/>
                <w:szCs w:val="20"/>
                <w:highlight w:val="none"/>
              </w:rPr>
              <w:t>测区2</w:t>
            </w:r>
          </w:p>
        </w:tc>
        <w:tc>
          <w:tcPr>
            <w:tcW w:w="1985" w:type="dxa"/>
            <w:gridSpan w:val="2"/>
            <w:vAlign w:val="center"/>
          </w:tcPr>
          <w:p>
            <w:pPr>
              <w:spacing w:before="100" w:beforeAutospacing="1"/>
              <w:ind w:firstLineChars="0" w:firstLine="0"/>
              <w:jc w:val="center"/>
              <w:rPr>
                <w:rFonts w:cs="Times New Roman"/>
                <w:color w:val="auto"/>
                <w:sz w:val="21"/>
                <w:szCs w:val="20"/>
                <w:highlight w:val="none"/>
              </w:rPr>
            </w:pPr>
          </w:p>
        </w:tc>
        <w:tc>
          <w:tcPr>
            <w:tcW w:w="2126" w:type="dxa"/>
            <w:gridSpan w:val="2"/>
            <w:vMerge w:val="restart"/>
            <w:vAlign w:val="center"/>
          </w:tcPr>
          <w:p>
            <w:pPr>
              <w:spacing w:before="100" w:beforeAutospacing="1"/>
              <w:ind w:firstLineChars="0" w:firstLine="0"/>
              <w:jc w:val="center"/>
              <w:rPr>
                <w:rFonts w:cs="Times New Roman"/>
                <w:color w:val="auto"/>
                <w:sz w:val="21"/>
                <w:szCs w:val="20"/>
                <w:highlight w:val="none"/>
              </w:rPr>
            </w:pPr>
          </w:p>
        </w:tc>
        <w:tc>
          <w:tcPr>
            <w:tcW w:w="1843" w:type="dxa"/>
            <w:gridSpan w:val="2"/>
            <w:vMerge w:val="restart"/>
            <w:vAlign w:val="center"/>
          </w:tcPr>
          <w:p>
            <w:pPr>
              <w:spacing w:before="100" w:beforeAutospacing="1"/>
              <w:ind w:firstLineChars="0" w:firstLine="0"/>
              <w:jc w:val="center"/>
              <w:rPr>
                <w:rFonts w:cs="Times New Roman"/>
                <w:color w:val="auto"/>
                <w:sz w:val="21"/>
                <w:szCs w:val="20"/>
                <w:highlight w:val="none"/>
              </w:rPr>
            </w:pPr>
          </w:p>
        </w:tc>
        <w:tc>
          <w:tcPr>
            <w:tcW w:w="2268" w:type="dxa"/>
            <w:vMerge/>
            <w:vAlign w:val="center"/>
          </w:tcPr>
          <w:p/>
        </w:tc>
      </w:tr>
      <w:tr>
        <w:tc>
          <w:tcPr>
            <w:tcW w:w="1135" w:type="dxa"/>
            <w:vMerge/>
            <w:vAlign w:val="center"/>
          </w:tcPr>
          <w:p/>
        </w:tc>
        <w:tc>
          <w:tcPr>
            <w:tcW w:w="1985" w:type="dxa"/>
            <w:gridSpan w:val="2"/>
            <w:vAlign w:val="center"/>
          </w:tcPr>
          <w:p>
            <w:pPr>
              <w:spacing w:before="100" w:beforeAutospacing="1"/>
              <w:ind w:firstLineChars="0" w:firstLine="0"/>
              <w:jc w:val="center"/>
              <w:rPr>
                <w:rFonts w:cs="Times New Roman"/>
                <w:color w:val="auto"/>
                <w:sz w:val="21"/>
                <w:szCs w:val="20"/>
                <w:highlight w:val="none"/>
              </w:rPr>
            </w:pPr>
          </w:p>
        </w:tc>
        <w:tc>
          <w:tcPr>
            <w:tcW w:w="2126" w:type="dxa"/>
            <w:gridSpan w:val="2"/>
            <w:vMerge/>
            <w:vAlign w:val="center"/>
          </w:tcPr>
          <w:p/>
        </w:tc>
        <w:tc>
          <w:tcPr>
            <w:tcW w:w="1843" w:type="dxa"/>
            <w:gridSpan w:val="2"/>
            <w:vMerge/>
            <w:vAlign w:val="center"/>
          </w:tcPr>
          <w:p/>
        </w:tc>
        <w:tc>
          <w:tcPr>
            <w:tcW w:w="2268" w:type="dxa"/>
            <w:vMerge/>
            <w:vAlign w:val="center"/>
          </w:tcPr>
          <w:p/>
        </w:tc>
      </w:tr>
      <w:tr>
        <w:tc>
          <w:tcPr>
            <w:tcW w:w="1135" w:type="dxa"/>
            <w:vMerge/>
            <w:vAlign w:val="center"/>
          </w:tcPr>
          <w:p/>
        </w:tc>
        <w:tc>
          <w:tcPr>
            <w:tcW w:w="1985" w:type="dxa"/>
            <w:gridSpan w:val="2"/>
            <w:vAlign w:val="center"/>
          </w:tcPr>
          <w:p>
            <w:pPr>
              <w:spacing w:before="100" w:beforeAutospacing="1"/>
              <w:ind w:firstLineChars="0" w:firstLine="0"/>
              <w:jc w:val="center"/>
              <w:rPr>
                <w:rFonts w:cs="Times New Roman"/>
                <w:color w:val="auto"/>
                <w:sz w:val="21"/>
                <w:szCs w:val="20"/>
                <w:highlight w:val="none"/>
              </w:rPr>
            </w:pPr>
          </w:p>
        </w:tc>
        <w:tc>
          <w:tcPr>
            <w:tcW w:w="2126" w:type="dxa"/>
            <w:gridSpan w:val="2"/>
            <w:vMerge/>
            <w:vAlign w:val="center"/>
          </w:tcPr>
          <w:p/>
        </w:tc>
        <w:tc>
          <w:tcPr>
            <w:tcW w:w="1843" w:type="dxa"/>
            <w:gridSpan w:val="2"/>
            <w:vMerge/>
            <w:vAlign w:val="center"/>
          </w:tcPr>
          <w:p/>
        </w:tc>
        <w:tc>
          <w:tcPr>
            <w:tcW w:w="2268" w:type="dxa"/>
            <w:vMerge/>
            <w:vAlign w:val="center"/>
          </w:tcPr>
          <w:p/>
        </w:tc>
      </w:tr>
      <w:tr>
        <w:tc>
          <w:tcPr>
            <w:tcW w:w="1135" w:type="dxa"/>
            <w:vMerge w:val="restart"/>
            <w:vAlign w:val="center"/>
          </w:tcPr>
          <w:p>
            <w:pPr>
              <w:spacing w:before="100" w:beforeAutospacing="1"/>
              <w:ind w:firstLineChars="0" w:firstLine="0"/>
              <w:jc w:val="center"/>
              <w:rPr>
                <w:rFonts w:cs="Times New Roman"/>
                <w:color w:val="auto"/>
                <w:sz w:val="21"/>
                <w:szCs w:val="20"/>
                <w:highlight w:val="none"/>
              </w:rPr>
            </w:pPr>
            <w:r>
              <w:rPr>
                <w:rFonts w:cs="Times New Roman"/>
                <w:color w:val="auto"/>
                <w:sz w:val="21"/>
                <w:szCs w:val="20"/>
                <w:highlight w:val="none"/>
              </w:rPr>
              <w:t>测区3</w:t>
            </w:r>
          </w:p>
        </w:tc>
        <w:tc>
          <w:tcPr>
            <w:tcW w:w="1985" w:type="dxa"/>
            <w:gridSpan w:val="2"/>
            <w:vAlign w:val="center"/>
          </w:tcPr>
          <w:p>
            <w:pPr>
              <w:spacing w:before="100" w:beforeAutospacing="1"/>
              <w:ind w:firstLineChars="0" w:firstLine="0"/>
              <w:jc w:val="center"/>
              <w:rPr>
                <w:rFonts w:cs="Times New Roman"/>
                <w:color w:val="auto"/>
                <w:sz w:val="21"/>
                <w:szCs w:val="20"/>
                <w:highlight w:val="none"/>
              </w:rPr>
            </w:pPr>
          </w:p>
        </w:tc>
        <w:tc>
          <w:tcPr>
            <w:tcW w:w="2126" w:type="dxa"/>
            <w:gridSpan w:val="2"/>
            <w:vMerge w:val="restart"/>
            <w:vAlign w:val="center"/>
          </w:tcPr>
          <w:p>
            <w:pPr>
              <w:spacing w:before="100" w:beforeAutospacing="1"/>
              <w:ind w:firstLineChars="0" w:firstLine="0"/>
              <w:jc w:val="center"/>
              <w:rPr>
                <w:rFonts w:cs="Times New Roman"/>
                <w:color w:val="auto"/>
                <w:sz w:val="21"/>
                <w:szCs w:val="20"/>
                <w:highlight w:val="none"/>
              </w:rPr>
            </w:pPr>
          </w:p>
        </w:tc>
        <w:tc>
          <w:tcPr>
            <w:tcW w:w="1843" w:type="dxa"/>
            <w:gridSpan w:val="2"/>
            <w:vMerge w:val="restart"/>
            <w:vAlign w:val="center"/>
          </w:tcPr>
          <w:p>
            <w:pPr>
              <w:spacing w:before="100" w:beforeAutospacing="1"/>
              <w:ind w:firstLineChars="0" w:firstLine="0"/>
              <w:jc w:val="center"/>
              <w:rPr>
                <w:rFonts w:cs="Times New Roman"/>
                <w:color w:val="auto"/>
                <w:sz w:val="21"/>
                <w:szCs w:val="20"/>
                <w:highlight w:val="none"/>
              </w:rPr>
            </w:pPr>
          </w:p>
        </w:tc>
        <w:tc>
          <w:tcPr>
            <w:tcW w:w="2268" w:type="dxa"/>
            <w:vMerge/>
            <w:vAlign w:val="center"/>
          </w:tcPr>
          <w:p/>
        </w:tc>
      </w:tr>
      <w:tr>
        <w:tc>
          <w:tcPr>
            <w:tcW w:w="1135" w:type="dxa"/>
            <w:vMerge/>
            <w:vAlign w:val="center"/>
          </w:tcPr>
          <w:p/>
        </w:tc>
        <w:tc>
          <w:tcPr>
            <w:tcW w:w="1985" w:type="dxa"/>
            <w:gridSpan w:val="2"/>
            <w:vAlign w:val="center"/>
          </w:tcPr>
          <w:p>
            <w:pPr>
              <w:spacing w:before="100" w:beforeAutospacing="1"/>
              <w:ind w:firstLineChars="0" w:firstLine="0"/>
              <w:jc w:val="center"/>
              <w:rPr>
                <w:rFonts w:cs="Times New Roman"/>
                <w:color w:val="auto"/>
                <w:sz w:val="21"/>
                <w:szCs w:val="20"/>
                <w:highlight w:val="none"/>
              </w:rPr>
            </w:pPr>
          </w:p>
        </w:tc>
        <w:tc>
          <w:tcPr>
            <w:tcW w:w="2126" w:type="dxa"/>
            <w:gridSpan w:val="2"/>
            <w:vMerge/>
            <w:vAlign w:val="center"/>
          </w:tcPr>
          <w:p/>
        </w:tc>
        <w:tc>
          <w:tcPr>
            <w:tcW w:w="1843" w:type="dxa"/>
            <w:gridSpan w:val="2"/>
            <w:vMerge/>
            <w:vAlign w:val="center"/>
          </w:tcPr>
          <w:p/>
        </w:tc>
        <w:tc>
          <w:tcPr>
            <w:tcW w:w="2268" w:type="dxa"/>
            <w:vMerge/>
            <w:vAlign w:val="center"/>
          </w:tcPr>
          <w:p/>
        </w:tc>
      </w:tr>
      <w:tr>
        <w:trPr>
          <w:trHeight w:val="297"/>
        </w:trPr>
        <w:tc>
          <w:tcPr>
            <w:tcW w:w="1135" w:type="dxa"/>
            <w:vMerge/>
            <w:vAlign w:val="center"/>
          </w:tcPr>
          <w:p/>
        </w:tc>
        <w:tc>
          <w:tcPr>
            <w:tcW w:w="1985" w:type="dxa"/>
            <w:gridSpan w:val="2"/>
            <w:vAlign w:val="center"/>
          </w:tcPr>
          <w:p>
            <w:pPr>
              <w:spacing w:before="100" w:beforeAutospacing="1"/>
              <w:ind w:firstLineChars="0" w:firstLine="0"/>
              <w:jc w:val="center"/>
              <w:rPr>
                <w:rFonts w:cs="Times New Roman"/>
                <w:color w:val="auto"/>
                <w:sz w:val="21"/>
                <w:szCs w:val="20"/>
                <w:highlight w:val="none"/>
              </w:rPr>
            </w:pPr>
          </w:p>
        </w:tc>
        <w:tc>
          <w:tcPr>
            <w:tcW w:w="2126" w:type="dxa"/>
            <w:gridSpan w:val="2"/>
            <w:vMerge/>
            <w:vAlign w:val="center"/>
          </w:tcPr>
          <w:p/>
        </w:tc>
        <w:tc>
          <w:tcPr>
            <w:tcW w:w="1843" w:type="dxa"/>
            <w:gridSpan w:val="2"/>
            <w:vMerge/>
            <w:vAlign w:val="center"/>
          </w:tcPr>
          <w:p/>
        </w:tc>
        <w:tc>
          <w:tcPr>
            <w:tcW w:w="2268" w:type="dxa"/>
            <w:vMerge/>
            <w:vAlign w:val="center"/>
          </w:tcPr>
          <w:p/>
        </w:tc>
      </w:tr>
      <w:tr>
        <w:tc>
          <w:tcPr>
            <w:tcW w:w="3120" w:type="dxa"/>
            <w:gridSpan w:val="3"/>
            <w:vAlign w:val="center"/>
          </w:tcPr>
          <w:p>
            <w:pPr>
              <w:spacing w:before="100" w:beforeAutospacing="1"/>
              <w:ind w:firstLineChars="0" w:firstLine="0"/>
              <w:jc w:val="center"/>
              <w:rPr>
                <w:rFonts w:cs="Times New Roman"/>
                <w:color w:val="auto"/>
                <w:sz w:val="21"/>
                <w:szCs w:val="20"/>
                <w:highlight w:val="none"/>
              </w:rPr>
            </w:pPr>
            <w:r>
              <w:rPr>
                <w:rFonts w:cs="Times New Roman"/>
                <w:color w:val="auto"/>
                <w:sz w:val="21"/>
                <w:szCs w:val="20"/>
                <w:highlight w:val="none"/>
              </w:rPr>
              <w:t>构件编号</w:t>
            </w:r>
          </w:p>
        </w:tc>
        <w:tc>
          <w:tcPr>
            <w:tcW w:w="6237" w:type="dxa"/>
            <w:gridSpan w:val="5"/>
            <w:vAlign w:val="center"/>
          </w:tcPr>
          <w:p>
            <w:pPr>
              <w:spacing w:before="100" w:beforeAutospacing="1"/>
              <w:ind w:firstLineChars="0" w:firstLine="0"/>
              <w:jc w:val="center"/>
              <w:rPr>
                <w:rFonts w:cs="Times New Roman"/>
                <w:color w:val="auto"/>
                <w:sz w:val="21"/>
                <w:szCs w:val="20"/>
                <w:highlight w:val="none"/>
              </w:rPr>
            </w:pPr>
          </w:p>
        </w:tc>
      </w:tr>
      <w:tr>
        <w:tc>
          <w:tcPr>
            <w:tcW w:w="1135" w:type="dxa"/>
            <w:vAlign w:val="center"/>
          </w:tcPr>
          <w:p>
            <w:pPr>
              <w:spacing w:before="100" w:beforeAutospacing="1"/>
              <w:ind w:firstLineChars="0" w:firstLine="0"/>
              <w:jc w:val="center"/>
              <w:rPr>
                <w:rFonts w:cs="Times New Roman"/>
                <w:color w:val="auto"/>
                <w:sz w:val="21"/>
                <w:szCs w:val="20"/>
                <w:highlight w:val="none"/>
              </w:rPr>
            </w:pPr>
            <w:r>
              <w:rPr>
                <w:rFonts w:cs="Times New Roman"/>
                <w:color w:val="auto"/>
                <w:sz w:val="21"/>
                <w:szCs w:val="20"/>
                <w:highlight w:val="none"/>
              </w:rPr>
              <w:t>测区</w:t>
            </w:r>
          </w:p>
        </w:tc>
        <w:tc>
          <w:tcPr>
            <w:tcW w:w="1985" w:type="dxa"/>
            <w:gridSpan w:val="2"/>
            <w:vAlign w:val="center"/>
          </w:tcPr>
          <w:p>
            <w:pPr>
              <w:spacing w:before="100" w:beforeAutospacing="1"/>
              <w:ind w:firstLineChars="0" w:firstLine="0"/>
              <w:jc w:val="center"/>
              <w:rPr>
                <w:rFonts w:cs="Times New Roman"/>
                <w:color w:val="auto"/>
                <w:sz w:val="21"/>
                <w:szCs w:val="20"/>
                <w:highlight w:val="none"/>
              </w:rPr>
            </w:pPr>
            <w:r>
              <w:rPr>
                <w:rFonts w:cs="Times New Roman"/>
                <w:color w:val="auto"/>
                <w:sz w:val="21"/>
                <w:szCs w:val="20"/>
                <w:highlight w:val="none"/>
              </w:rPr>
              <w:t>贯入深度值/mm</w:t>
            </w:r>
          </w:p>
        </w:tc>
        <w:tc>
          <w:tcPr>
            <w:tcW w:w="2126" w:type="dxa"/>
            <w:gridSpan w:val="2"/>
            <w:vAlign w:val="center"/>
          </w:tcPr>
          <w:p>
            <w:pPr>
              <w:spacing w:before="100" w:beforeAutospacing="1"/>
              <w:ind w:firstLineChars="0" w:firstLine="0"/>
              <w:jc w:val="center"/>
              <w:rPr>
                <w:rFonts w:cs="Times New Roman"/>
                <w:color w:val="auto"/>
                <w:sz w:val="21"/>
                <w:szCs w:val="20"/>
                <w:highlight w:val="none"/>
              </w:rPr>
            </w:pPr>
            <w:r>
              <w:rPr>
                <w:rFonts w:cs="Times New Roman"/>
                <w:color w:val="auto"/>
                <w:sz w:val="21"/>
                <w:szCs w:val="20"/>
                <w:highlight w:val="none"/>
              </w:rPr>
              <w:t>贯入深度平均值/mm</w:t>
            </w:r>
          </w:p>
        </w:tc>
        <w:tc>
          <w:tcPr>
            <w:tcW w:w="1843" w:type="dxa"/>
            <w:gridSpan w:val="2"/>
            <w:vAlign w:val="center"/>
          </w:tcPr>
          <w:p>
            <w:pPr>
              <w:spacing w:before="100" w:beforeAutospacing="1"/>
              <w:ind w:firstLineChars="0" w:firstLine="0"/>
              <w:jc w:val="center"/>
              <w:rPr>
                <w:rFonts w:cs="Times New Roman"/>
                <w:color w:val="auto"/>
                <w:sz w:val="21"/>
                <w:szCs w:val="20"/>
                <w:highlight w:val="none"/>
              </w:rPr>
            </w:pPr>
            <w:r>
              <w:rPr>
                <w:rFonts w:cs="Times New Roman"/>
                <w:color w:val="auto"/>
                <w:sz w:val="21"/>
                <w:szCs w:val="20"/>
                <w:highlight w:val="none"/>
              </w:rPr>
              <w:t>抗压强度值/MPa</w:t>
            </w:r>
          </w:p>
        </w:tc>
        <w:tc>
          <w:tcPr>
            <w:tcW w:w="2268" w:type="dxa"/>
            <w:vAlign w:val="center"/>
          </w:tcPr>
          <w:p>
            <w:pPr>
              <w:spacing w:before="100" w:beforeAutospacing="1"/>
              <w:ind w:firstLineChars="0" w:firstLine="0"/>
              <w:jc w:val="center"/>
              <w:rPr>
                <w:rFonts w:cs="Times New Roman"/>
                <w:color w:val="auto"/>
                <w:sz w:val="21"/>
                <w:szCs w:val="20"/>
                <w:highlight w:val="none"/>
              </w:rPr>
            </w:pPr>
            <w:r>
              <w:rPr>
                <w:rFonts w:cs="Times New Roman"/>
                <w:color w:val="auto"/>
                <w:sz w:val="21"/>
                <w:szCs w:val="20"/>
                <w:highlight w:val="none"/>
              </w:rPr>
              <w:t>抗压强度平均值/MPa</w:t>
            </w:r>
          </w:p>
        </w:tc>
      </w:tr>
      <w:tr>
        <w:trPr>
          <w:trHeight w:val="57"/>
        </w:trPr>
        <w:tc>
          <w:tcPr>
            <w:tcW w:w="1135" w:type="dxa"/>
            <w:vMerge w:val="restart"/>
            <w:vAlign w:val="center"/>
          </w:tcPr>
          <w:p>
            <w:pPr>
              <w:spacing w:before="100" w:beforeAutospacing="1"/>
              <w:ind w:firstLineChars="0" w:firstLine="0"/>
              <w:jc w:val="center"/>
              <w:rPr>
                <w:rFonts w:cs="Times New Roman"/>
                <w:color w:val="auto"/>
                <w:sz w:val="21"/>
                <w:szCs w:val="20"/>
                <w:highlight w:val="none"/>
              </w:rPr>
            </w:pPr>
            <w:r>
              <w:rPr>
                <w:rFonts w:cs="Times New Roman"/>
                <w:color w:val="auto"/>
                <w:sz w:val="21"/>
                <w:szCs w:val="20"/>
                <w:highlight w:val="none"/>
              </w:rPr>
              <w:t>测区1</w:t>
            </w:r>
          </w:p>
        </w:tc>
        <w:tc>
          <w:tcPr>
            <w:tcW w:w="1985" w:type="dxa"/>
            <w:gridSpan w:val="2"/>
            <w:vAlign w:val="center"/>
          </w:tcPr>
          <w:p>
            <w:pPr>
              <w:spacing w:before="100" w:beforeAutospacing="1"/>
              <w:ind w:firstLineChars="0" w:firstLine="0"/>
              <w:jc w:val="center"/>
              <w:rPr>
                <w:rFonts w:cs="Times New Roman"/>
                <w:color w:val="auto"/>
                <w:sz w:val="21"/>
                <w:szCs w:val="20"/>
                <w:highlight w:val="none"/>
              </w:rPr>
            </w:pPr>
          </w:p>
        </w:tc>
        <w:tc>
          <w:tcPr>
            <w:tcW w:w="2126" w:type="dxa"/>
            <w:gridSpan w:val="2"/>
            <w:vMerge w:val="restart"/>
            <w:vAlign w:val="center"/>
          </w:tcPr>
          <w:p>
            <w:pPr>
              <w:spacing w:before="100" w:beforeAutospacing="1"/>
              <w:ind w:firstLineChars="0" w:firstLine="0"/>
              <w:jc w:val="center"/>
              <w:rPr>
                <w:rFonts w:cs="Times New Roman"/>
                <w:color w:val="auto"/>
                <w:sz w:val="21"/>
                <w:szCs w:val="20"/>
                <w:highlight w:val="none"/>
              </w:rPr>
            </w:pPr>
          </w:p>
        </w:tc>
        <w:tc>
          <w:tcPr>
            <w:tcW w:w="1843" w:type="dxa"/>
            <w:gridSpan w:val="2"/>
            <w:vMerge w:val="restart"/>
            <w:vAlign w:val="center"/>
          </w:tcPr>
          <w:p>
            <w:pPr>
              <w:spacing w:before="100" w:beforeAutospacing="1"/>
              <w:ind w:firstLineChars="0" w:firstLine="0"/>
              <w:jc w:val="center"/>
              <w:rPr>
                <w:rFonts w:cs="Times New Roman"/>
                <w:color w:val="auto"/>
                <w:sz w:val="21"/>
                <w:szCs w:val="20"/>
                <w:highlight w:val="none"/>
              </w:rPr>
            </w:pPr>
          </w:p>
        </w:tc>
        <w:tc>
          <w:tcPr>
            <w:tcW w:w="2268" w:type="dxa"/>
            <w:vMerge w:val="restart"/>
            <w:vAlign w:val="center"/>
          </w:tcPr>
          <w:p>
            <w:pPr>
              <w:spacing w:before="100" w:beforeAutospacing="1"/>
              <w:ind w:firstLineChars="0" w:firstLine="0"/>
              <w:jc w:val="center"/>
              <w:rPr>
                <w:rFonts w:cs="Times New Roman"/>
                <w:color w:val="auto"/>
                <w:sz w:val="21"/>
                <w:szCs w:val="20"/>
                <w:highlight w:val="none"/>
              </w:rPr>
            </w:pPr>
          </w:p>
        </w:tc>
      </w:tr>
      <w:tr>
        <w:trPr>
          <w:trHeight w:val="57"/>
        </w:trPr>
        <w:tc>
          <w:tcPr>
            <w:tcW w:w="1135" w:type="dxa"/>
            <w:vMerge/>
            <w:vAlign w:val="center"/>
          </w:tcPr>
          <w:p/>
        </w:tc>
        <w:tc>
          <w:tcPr>
            <w:tcW w:w="1985" w:type="dxa"/>
            <w:gridSpan w:val="2"/>
            <w:vAlign w:val="center"/>
          </w:tcPr>
          <w:p>
            <w:pPr>
              <w:spacing w:before="100" w:beforeAutospacing="1"/>
              <w:ind w:firstLineChars="0" w:firstLine="0"/>
              <w:jc w:val="center"/>
              <w:rPr>
                <w:rFonts w:cs="Times New Roman"/>
                <w:color w:val="auto"/>
                <w:sz w:val="21"/>
                <w:szCs w:val="20"/>
                <w:highlight w:val="none"/>
              </w:rPr>
            </w:pPr>
          </w:p>
        </w:tc>
        <w:tc>
          <w:tcPr>
            <w:tcW w:w="2126" w:type="dxa"/>
            <w:gridSpan w:val="2"/>
            <w:vMerge/>
            <w:vAlign w:val="center"/>
          </w:tcPr>
          <w:p/>
        </w:tc>
        <w:tc>
          <w:tcPr>
            <w:tcW w:w="1843" w:type="dxa"/>
            <w:gridSpan w:val="2"/>
            <w:vMerge/>
            <w:vAlign w:val="center"/>
          </w:tcPr>
          <w:p/>
        </w:tc>
        <w:tc>
          <w:tcPr>
            <w:tcW w:w="2268" w:type="dxa"/>
            <w:vMerge/>
            <w:vAlign w:val="center"/>
          </w:tcPr>
          <w:p/>
        </w:tc>
      </w:tr>
      <w:tr>
        <w:trPr>
          <w:trHeight w:val="57"/>
        </w:trPr>
        <w:tc>
          <w:tcPr>
            <w:tcW w:w="1135" w:type="dxa"/>
            <w:vMerge/>
            <w:vAlign w:val="center"/>
          </w:tcPr>
          <w:p/>
        </w:tc>
        <w:tc>
          <w:tcPr>
            <w:tcW w:w="1985" w:type="dxa"/>
            <w:gridSpan w:val="2"/>
            <w:vAlign w:val="center"/>
          </w:tcPr>
          <w:p>
            <w:pPr>
              <w:spacing w:before="100" w:beforeAutospacing="1"/>
              <w:ind w:firstLineChars="0" w:firstLine="0"/>
              <w:jc w:val="center"/>
              <w:rPr>
                <w:rFonts w:cs="Times New Roman"/>
                <w:color w:val="auto"/>
                <w:sz w:val="21"/>
                <w:szCs w:val="20"/>
                <w:highlight w:val="none"/>
              </w:rPr>
            </w:pPr>
          </w:p>
        </w:tc>
        <w:tc>
          <w:tcPr>
            <w:tcW w:w="2126" w:type="dxa"/>
            <w:gridSpan w:val="2"/>
            <w:vMerge/>
            <w:vAlign w:val="center"/>
          </w:tcPr>
          <w:p/>
        </w:tc>
        <w:tc>
          <w:tcPr>
            <w:tcW w:w="1843" w:type="dxa"/>
            <w:gridSpan w:val="2"/>
            <w:vMerge/>
            <w:vAlign w:val="center"/>
          </w:tcPr>
          <w:p/>
        </w:tc>
        <w:tc>
          <w:tcPr>
            <w:tcW w:w="2268" w:type="dxa"/>
            <w:vMerge/>
            <w:vAlign w:val="center"/>
          </w:tcPr>
          <w:p/>
        </w:tc>
      </w:tr>
      <w:tr>
        <w:trPr>
          <w:trHeight w:val="57"/>
        </w:trPr>
        <w:tc>
          <w:tcPr>
            <w:tcW w:w="1135" w:type="dxa"/>
            <w:vMerge w:val="restart"/>
            <w:vAlign w:val="center"/>
          </w:tcPr>
          <w:p>
            <w:pPr>
              <w:spacing w:before="100" w:beforeAutospacing="1"/>
              <w:ind w:firstLineChars="0" w:firstLine="0"/>
              <w:jc w:val="center"/>
              <w:rPr>
                <w:rFonts w:cs="Times New Roman"/>
                <w:color w:val="auto"/>
                <w:sz w:val="21"/>
                <w:szCs w:val="20"/>
                <w:highlight w:val="none"/>
              </w:rPr>
            </w:pPr>
            <w:r>
              <w:rPr>
                <w:rFonts w:cs="Times New Roman"/>
                <w:color w:val="auto"/>
                <w:sz w:val="21"/>
                <w:szCs w:val="20"/>
                <w:highlight w:val="none"/>
              </w:rPr>
              <w:t>测区2</w:t>
            </w:r>
          </w:p>
        </w:tc>
        <w:tc>
          <w:tcPr>
            <w:tcW w:w="1985" w:type="dxa"/>
            <w:gridSpan w:val="2"/>
            <w:vAlign w:val="center"/>
          </w:tcPr>
          <w:p>
            <w:pPr>
              <w:spacing w:before="100" w:beforeAutospacing="1"/>
              <w:ind w:firstLineChars="0" w:firstLine="0"/>
              <w:jc w:val="center"/>
              <w:rPr>
                <w:rFonts w:cs="Times New Roman"/>
                <w:color w:val="auto"/>
                <w:sz w:val="21"/>
                <w:szCs w:val="20"/>
                <w:highlight w:val="none"/>
              </w:rPr>
            </w:pPr>
          </w:p>
        </w:tc>
        <w:tc>
          <w:tcPr>
            <w:tcW w:w="2126" w:type="dxa"/>
            <w:gridSpan w:val="2"/>
            <w:vMerge w:val="restart"/>
            <w:vAlign w:val="center"/>
          </w:tcPr>
          <w:p>
            <w:pPr>
              <w:spacing w:before="100" w:beforeAutospacing="1"/>
              <w:ind w:firstLineChars="0" w:firstLine="0"/>
              <w:jc w:val="center"/>
              <w:rPr>
                <w:rFonts w:cs="Times New Roman"/>
                <w:color w:val="auto"/>
                <w:sz w:val="21"/>
                <w:szCs w:val="20"/>
                <w:highlight w:val="none"/>
              </w:rPr>
            </w:pPr>
          </w:p>
        </w:tc>
        <w:tc>
          <w:tcPr>
            <w:tcW w:w="1843" w:type="dxa"/>
            <w:gridSpan w:val="2"/>
            <w:vMerge w:val="restart"/>
            <w:vAlign w:val="center"/>
          </w:tcPr>
          <w:p>
            <w:pPr>
              <w:spacing w:before="100" w:beforeAutospacing="1"/>
              <w:ind w:firstLineChars="0" w:firstLine="0"/>
              <w:jc w:val="center"/>
              <w:rPr>
                <w:rFonts w:cs="Times New Roman"/>
                <w:color w:val="auto"/>
                <w:sz w:val="21"/>
                <w:szCs w:val="20"/>
                <w:highlight w:val="none"/>
              </w:rPr>
            </w:pPr>
          </w:p>
        </w:tc>
        <w:tc>
          <w:tcPr>
            <w:tcW w:w="2268" w:type="dxa"/>
            <w:vMerge/>
            <w:vAlign w:val="center"/>
          </w:tcPr>
          <w:p/>
        </w:tc>
      </w:tr>
      <w:tr>
        <w:trPr>
          <w:trHeight w:val="57"/>
        </w:trPr>
        <w:tc>
          <w:tcPr>
            <w:tcW w:w="1135" w:type="dxa"/>
            <w:vMerge/>
            <w:vAlign w:val="center"/>
          </w:tcPr>
          <w:p/>
        </w:tc>
        <w:tc>
          <w:tcPr>
            <w:tcW w:w="1985" w:type="dxa"/>
            <w:gridSpan w:val="2"/>
            <w:vAlign w:val="center"/>
          </w:tcPr>
          <w:p>
            <w:pPr>
              <w:spacing w:before="100" w:beforeAutospacing="1"/>
              <w:ind w:firstLineChars="0" w:firstLine="0"/>
              <w:jc w:val="center"/>
              <w:rPr>
                <w:rFonts w:cs="Times New Roman"/>
                <w:color w:val="auto"/>
                <w:sz w:val="21"/>
                <w:szCs w:val="20"/>
                <w:highlight w:val="none"/>
              </w:rPr>
            </w:pPr>
          </w:p>
        </w:tc>
        <w:tc>
          <w:tcPr>
            <w:tcW w:w="2126" w:type="dxa"/>
            <w:gridSpan w:val="2"/>
            <w:vMerge/>
            <w:vAlign w:val="center"/>
          </w:tcPr>
          <w:p/>
        </w:tc>
        <w:tc>
          <w:tcPr>
            <w:tcW w:w="1843" w:type="dxa"/>
            <w:gridSpan w:val="2"/>
            <w:vMerge/>
            <w:vAlign w:val="center"/>
          </w:tcPr>
          <w:p/>
        </w:tc>
        <w:tc>
          <w:tcPr>
            <w:tcW w:w="2268" w:type="dxa"/>
            <w:vMerge/>
            <w:vAlign w:val="center"/>
          </w:tcPr>
          <w:p/>
        </w:tc>
      </w:tr>
      <w:tr>
        <w:trPr>
          <w:trHeight w:val="57"/>
        </w:trPr>
        <w:tc>
          <w:tcPr>
            <w:tcW w:w="1135" w:type="dxa"/>
            <w:vMerge/>
            <w:vAlign w:val="center"/>
          </w:tcPr>
          <w:p/>
        </w:tc>
        <w:tc>
          <w:tcPr>
            <w:tcW w:w="1985" w:type="dxa"/>
            <w:gridSpan w:val="2"/>
            <w:vAlign w:val="center"/>
          </w:tcPr>
          <w:p>
            <w:pPr>
              <w:spacing w:before="100" w:beforeAutospacing="1"/>
              <w:ind w:firstLineChars="0" w:firstLine="0"/>
              <w:jc w:val="center"/>
              <w:rPr>
                <w:rFonts w:cs="Times New Roman"/>
                <w:color w:val="auto"/>
                <w:sz w:val="21"/>
                <w:szCs w:val="20"/>
                <w:highlight w:val="none"/>
              </w:rPr>
            </w:pPr>
          </w:p>
        </w:tc>
        <w:tc>
          <w:tcPr>
            <w:tcW w:w="2126" w:type="dxa"/>
            <w:gridSpan w:val="2"/>
            <w:vMerge/>
            <w:vAlign w:val="center"/>
          </w:tcPr>
          <w:p/>
        </w:tc>
        <w:tc>
          <w:tcPr>
            <w:tcW w:w="1843" w:type="dxa"/>
            <w:gridSpan w:val="2"/>
            <w:vMerge/>
            <w:vAlign w:val="center"/>
          </w:tcPr>
          <w:p/>
        </w:tc>
        <w:tc>
          <w:tcPr>
            <w:tcW w:w="2268" w:type="dxa"/>
            <w:vMerge/>
            <w:vAlign w:val="center"/>
          </w:tcPr>
          <w:p/>
        </w:tc>
      </w:tr>
      <w:tr>
        <w:trPr>
          <w:trHeight w:val="57"/>
        </w:trPr>
        <w:tc>
          <w:tcPr>
            <w:tcW w:w="1135" w:type="dxa"/>
            <w:vMerge w:val="restart"/>
            <w:vAlign w:val="center"/>
          </w:tcPr>
          <w:p>
            <w:pPr>
              <w:spacing w:before="100" w:beforeAutospacing="1"/>
              <w:ind w:firstLineChars="0" w:firstLine="0"/>
              <w:jc w:val="center"/>
              <w:rPr>
                <w:rFonts w:cs="Times New Roman"/>
                <w:color w:val="auto"/>
                <w:sz w:val="21"/>
                <w:szCs w:val="20"/>
                <w:highlight w:val="none"/>
              </w:rPr>
            </w:pPr>
            <w:r>
              <w:rPr>
                <w:rFonts w:cs="Times New Roman"/>
                <w:color w:val="auto"/>
                <w:sz w:val="21"/>
                <w:szCs w:val="20"/>
                <w:highlight w:val="none"/>
              </w:rPr>
              <w:t>测区3</w:t>
            </w:r>
          </w:p>
        </w:tc>
        <w:tc>
          <w:tcPr>
            <w:tcW w:w="1985" w:type="dxa"/>
            <w:gridSpan w:val="2"/>
            <w:vAlign w:val="center"/>
          </w:tcPr>
          <w:p>
            <w:pPr>
              <w:spacing w:before="100" w:beforeAutospacing="1"/>
              <w:ind w:firstLineChars="0" w:firstLine="0"/>
              <w:jc w:val="center"/>
              <w:rPr>
                <w:rFonts w:cs="Times New Roman"/>
                <w:color w:val="auto"/>
                <w:sz w:val="21"/>
                <w:szCs w:val="20"/>
                <w:highlight w:val="none"/>
              </w:rPr>
            </w:pPr>
          </w:p>
        </w:tc>
        <w:tc>
          <w:tcPr>
            <w:tcW w:w="2126" w:type="dxa"/>
            <w:gridSpan w:val="2"/>
            <w:vMerge w:val="restart"/>
            <w:vAlign w:val="center"/>
          </w:tcPr>
          <w:p>
            <w:pPr>
              <w:spacing w:before="100" w:beforeAutospacing="1"/>
              <w:ind w:firstLineChars="0" w:firstLine="0"/>
              <w:jc w:val="center"/>
              <w:rPr>
                <w:rFonts w:cs="Times New Roman"/>
                <w:color w:val="auto"/>
                <w:sz w:val="21"/>
                <w:szCs w:val="20"/>
                <w:highlight w:val="none"/>
              </w:rPr>
            </w:pPr>
          </w:p>
        </w:tc>
        <w:tc>
          <w:tcPr>
            <w:tcW w:w="1843" w:type="dxa"/>
            <w:gridSpan w:val="2"/>
            <w:vMerge w:val="restart"/>
            <w:vAlign w:val="center"/>
          </w:tcPr>
          <w:p>
            <w:pPr>
              <w:spacing w:before="100" w:beforeAutospacing="1"/>
              <w:ind w:firstLineChars="0" w:firstLine="0"/>
              <w:jc w:val="center"/>
              <w:rPr>
                <w:rFonts w:cs="Times New Roman"/>
                <w:color w:val="auto"/>
                <w:sz w:val="21"/>
                <w:szCs w:val="20"/>
                <w:highlight w:val="none"/>
              </w:rPr>
            </w:pPr>
          </w:p>
        </w:tc>
        <w:tc>
          <w:tcPr>
            <w:tcW w:w="2268" w:type="dxa"/>
            <w:vMerge/>
            <w:vAlign w:val="center"/>
          </w:tcPr>
          <w:p/>
        </w:tc>
      </w:tr>
      <w:tr>
        <w:trPr>
          <w:trHeight w:val="57"/>
        </w:trPr>
        <w:tc>
          <w:tcPr>
            <w:tcW w:w="1135" w:type="dxa"/>
            <w:vMerge/>
            <w:vAlign w:val="center"/>
          </w:tcPr>
          <w:p/>
        </w:tc>
        <w:tc>
          <w:tcPr>
            <w:tcW w:w="1985" w:type="dxa"/>
            <w:gridSpan w:val="2"/>
            <w:vAlign w:val="center"/>
          </w:tcPr>
          <w:p>
            <w:pPr>
              <w:spacing w:before="100" w:beforeAutospacing="1"/>
              <w:ind w:firstLineChars="0" w:firstLine="0"/>
              <w:jc w:val="center"/>
              <w:rPr>
                <w:rFonts w:cs="Times New Roman"/>
                <w:color w:val="auto"/>
                <w:sz w:val="21"/>
                <w:szCs w:val="20"/>
                <w:highlight w:val="none"/>
              </w:rPr>
            </w:pPr>
          </w:p>
        </w:tc>
        <w:tc>
          <w:tcPr>
            <w:tcW w:w="2126" w:type="dxa"/>
            <w:gridSpan w:val="2"/>
            <w:vMerge/>
            <w:vAlign w:val="center"/>
          </w:tcPr>
          <w:p/>
        </w:tc>
        <w:tc>
          <w:tcPr>
            <w:tcW w:w="1843" w:type="dxa"/>
            <w:gridSpan w:val="2"/>
            <w:vMerge/>
            <w:vAlign w:val="center"/>
          </w:tcPr>
          <w:p/>
        </w:tc>
        <w:tc>
          <w:tcPr>
            <w:tcW w:w="2268" w:type="dxa"/>
            <w:vMerge/>
            <w:vAlign w:val="center"/>
          </w:tcPr>
          <w:p/>
        </w:tc>
      </w:tr>
      <w:tr>
        <w:trPr>
          <w:trHeight w:val="57"/>
        </w:trPr>
        <w:tc>
          <w:tcPr>
            <w:tcW w:w="1135" w:type="dxa"/>
            <w:vMerge/>
            <w:vAlign w:val="center"/>
          </w:tcPr>
          <w:p/>
        </w:tc>
        <w:tc>
          <w:tcPr>
            <w:tcW w:w="1985" w:type="dxa"/>
            <w:gridSpan w:val="2"/>
            <w:vAlign w:val="center"/>
          </w:tcPr>
          <w:p>
            <w:pPr>
              <w:spacing w:before="100" w:beforeAutospacing="1"/>
              <w:ind w:firstLineChars="0" w:firstLine="0"/>
              <w:jc w:val="center"/>
              <w:rPr>
                <w:rFonts w:cs="Times New Roman"/>
                <w:color w:val="auto"/>
                <w:sz w:val="21"/>
                <w:szCs w:val="20"/>
                <w:highlight w:val="none"/>
              </w:rPr>
            </w:pPr>
          </w:p>
        </w:tc>
        <w:tc>
          <w:tcPr>
            <w:tcW w:w="2126" w:type="dxa"/>
            <w:gridSpan w:val="2"/>
            <w:vMerge/>
            <w:vAlign w:val="center"/>
          </w:tcPr>
          <w:p/>
        </w:tc>
        <w:tc>
          <w:tcPr>
            <w:tcW w:w="1843" w:type="dxa"/>
            <w:gridSpan w:val="2"/>
            <w:vMerge/>
            <w:vAlign w:val="center"/>
          </w:tcPr>
          <w:p/>
        </w:tc>
        <w:tc>
          <w:tcPr>
            <w:tcW w:w="2268" w:type="dxa"/>
            <w:vMerge/>
            <w:vAlign w:val="center"/>
          </w:tcPr>
          <w:p/>
        </w:tc>
      </w:tr>
    </w:tbl>
    <w:p>
      <w:pPr>
        <w:ind w:firstLineChars="0" w:firstLine="0"/>
        <w:rPr>
          <w:rFonts w:cs="Times New Roman"/>
          <w:color w:val="auto"/>
          <w:sz w:val="21"/>
          <w:szCs w:val="21"/>
          <w:highlight w:val="none"/>
        </w:rPr>
      </w:pPr>
      <w:r>
        <w:rPr>
          <w:rFonts w:cs="Times New Roman"/>
          <w:color w:val="auto"/>
          <w:sz w:val="21"/>
          <w:szCs w:val="21"/>
          <w:highlight w:val="none"/>
        </w:rPr>
        <w:t>检测</w:t>
      </w:r>
      <w:r>
        <w:rPr>
          <w:rFonts w:cs="Times New Roman" w:hint="eastAsia"/>
          <w:color w:val="auto"/>
          <w:sz w:val="21"/>
          <w:szCs w:val="21"/>
          <w:lang w:val="en-US" w:eastAsia="zh-CN"/>
          <w:highlight w:val="none"/>
        </w:rPr>
        <w:t>人员</w:t>
      </w:r>
      <w:r>
        <w:rPr>
          <w:rFonts w:cs="Times New Roman"/>
          <w:color w:val="auto"/>
          <w:sz w:val="21"/>
          <w:szCs w:val="21"/>
          <w:highlight w:val="none"/>
        </w:rPr>
        <w:t xml:space="preserve">：                            </w:t>
      </w:r>
      <w:r>
        <w:rPr>
          <w:rFonts w:cs="Times New Roman" w:hint="eastAsia"/>
          <w:color w:val="auto"/>
          <w:sz w:val="21"/>
          <w:szCs w:val="21"/>
          <w:lang w:val="en-US" w:eastAsia="zh-CN"/>
          <w:highlight w:val="none"/>
        </w:rPr>
        <w:t>审核人员</w:t>
      </w:r>
      <w:r>
        <w:rPr>
          <w:rFonts w:cs="Times New Roman"/>
          <w:color w:val="auto"/>
          <w:sz w:val="21"/>
          <w:szCs w:val="21"/>
          <w:highlight w:val="none"/>
        </w:rPr>
        <w:t xml:space="preserve">：        </w:t>
      </w:r>
      <w:r>
        <w:rPr>
          <w:rFonts w:cs="Times New Roman" w:hint="eastAsia"/>
          <w:color w:val="auto"/>
          <w:sz w:val="21"/>
          <w:szCs w:val="21"/>
          <w:lang w:val="en-US" w:eastAsia="zh-CN"/>
          <w:highlight w:val="none"/>
        </w:rPr>
        <w:t xml:space="preserve">   </w:t>
      </w:r>
      <w:r>
        <w:rPr>
          <w:rFonts w:cs="Times New Roman"/>
          <w:color w:val="auto"/>
          <w:sz w:val="21"/>
          <w:szCs w:val="21"/>
          <w:highlight w:val="none"/>
        </w:rPr>
        <w:t xml:space="preserve">  </w:t>
      </w:r>
      <w:r>
        <w:rPr>
          <w:rFonts w:cs="Times New Roman" w:hint="eastAsia"/>
          <w:color w:val="auto"/>
          <w:sz w:val="21"/>
          <w:szCs w:val="21"/>
          <w:lang w:val="en-US" w:eastAsia="zh-CN"/>
          <w:highlight w:val="none"/>
        </w:rPr>
        <w:t xml:space="preserve">  检测</w:t>
      </w:r>
      <w:r>
        <w:rPr>
          <w:rFonts w:cs="Times New Roman"/>
          <w:color w:val="auto"/>
          <w:sz w:val="21"/>
          <w:szCs w:val="21"/>
          <w:highlight w:val="none"/>
        </w:rPr>
        <w:t>日期：</w:t>
      </w:r>
    </w:p>
    <w:p>
      <w:pPr>
        <w:ind w:firstLineChars="0" w:firstLine="0"/>
        <w:rPr>
          <w:rFonts w:cs="Times New Roman"/>
          <w:color w:val="auto"/>
          <w:sz w:val="21"/>
          <w:szCs w:val="21"/>
          <w:highlight w:val="none"/>
        </w:rPr>
      </w:pPr>
    </w:p>
    <w:p>
      <w:pPr>
        <w:pStyle w:val="1"/>
        <w:ind w:rightChars="-24" w:right="-58" w:firstLineChars="0" w:firstLine="0"/>
        <w:rPr>
          <w:rFonts w:cs="Times New Roman"/>
          <w:color w:val="auto"/>
          <w:highlight w:val="none"/>
        </w:rPr>
      </w:pPr>
      <w:bookmarkStart w:id="553" w:name="_Toc1747"/>
      <w:bookmarkStart w:id="554" w:name="_Toc6316"/>
      <w:bookmarkStart w:id="555" w:name="_Toc5012"/>
      <w:bookmarkStart w:id="556" w:name="_Toc2342"/>
      <w:r>
        <w:rPr>
          <w:rFonts w:cs="Times New Roman"/>
          <w:color w:val="auto"/>
          <w:highlight w:val="none"/>
        </w:rPr>
        <w:t>附录N</w:t>
      </w:r>
      <w:r>
        <w:rPr>
          <w:rFonts w:cs="Times New Roman"/>
          <w:b w:val="0"/>
          <w:bCs w:val="0"/>
          <w:color w:val="auto"/>
          <w:szCs w:val="30"/>
          <w:highlight w:val="none"/>
        </w:rPr>
        <w:t>　</w:t>
      </w:r>
      <w:r>
        <w:rPr>
          <w:rFonts w:cs="Times New Roman"/>
          <w:color w:val="auto"/>
          <w:highlight w:val="none"/>
        </w:rPr>
        <w:t>射钉法装置标定记录表</w:t>
      </w:r>
      <w:bookmarkEnd w:id="553"/>
      <w:bookmarkEnd w:id="554"/>
      <w:bookmarkEnd w:id="555"/>
      <w:bookmarkEnd w:id="556"/>
    </w:p>
    <w:p>
      <w:pPr>
        <w:pStyle w:val="16"/>
        <w:rPr>
          <w:rFonts w:cs="Times New Roman"/>
          <w:color w:val="auto"/>
          <w:highlight w:val="none"/>
        </w:rPr>
      </w:pPr>
      <w:r>
        <w:rPr>
          <w:rFonts w:cs="Times New Roman"/>
          <w:color w:val="auto"/>
          <w:highlight w:val="none"/>
        </w:rPr>
        <w:t>表N</w:t>
      </w:r>
      <w:r>
        <w:rPr>
          <w:rFonts w:cs="Times New Roman" w:hint="eastAsia"/>
          <w:color w:val="auto"/>
          <w:highlight w:val="none"/>
        </w:rPr>
        <w:t>　</w:t>
      </w:r>
      <w:r>
        <w:rPr>
          <w:rFonts w:cs="Times New Roman"/>
          <w:color w:val="auto"/>
          <w:highlight w:val="none"/>
        </w:rPr>
        <w:t>射钉法装置标定记录表</w:t>
      </w:r>
    </w:p>
    <w:p>
      <w:pPr>
        <w:spacing w:before="156" w:line="240" w:lineRule="auto"/>
        <w:ind w:firstLineChars="0" w:firstLine="0"/>
        <w:rPr>
          <w:rFonts w:cs="Times New Roman"/>
          <w:color w:val="auto"/>
          <w:sz w:val="21"/>
          <w:szCs w:val="21"/>
          <w:highlight w:val="none"/>
        </w:rPr>
      </w:pPr>
      <w:r>
        <w:rPr>
          <w:rFonts w:cs="Times New Roman"/>
          <w:color w:val="auto"/>
          <w:sz w:val="21"/>
          <w:szCs w:val="21"/>
          <w:highlight w:val="none"/>
        </w:rPr>
        <w:t xml:space="preserve">委托编号：                                          </w:t>
      </w:r>
      <w:r>
        <w:rPr>
          <w:rFonts w:cs="Times New Roman" w:hint="eastAsia"/>
          <w:color w:val="auto"/>
          <w:sz w:val="21"/>
          <w:szCs w:val="21"/>
          <w:lang w:val="en-US" w:eastAsia="zh-CN"/>
          <w:highlight w:val="none"/>
        </w:rPr>
        <w:t xml:space="preserve">                </w:t>
      </w:r>
      <w:r>
        <w:rPr>
          <w:rFonts w:cs="Times New Roman"/>
          <w:color w:val="auto"/>
          <w:sz w:val="21"/>
          <w:szCs w:val="21"/>
          <w:highlight w:val="none"/>
        </w:rPr>
        <w:t>共   页 / 第   页</w:t>
      </w:r>
    </w:p>
    <w:tbl>
      <w:tblPr>
        <w:jc w:val="center"/>
        <w:tblW w:w="82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600" w:firstRow="0" w:lastRow="0" w:firstColumn="0" w:lastColumn="0" w:noHBand="1" w:noVBand="1"/>
      </w:tblPr>
      <w:tblGrid>
        <w:gridCol w:w="774"/>
        <w:gridCol w:w="1300"/>
        <w:gridCol w:w="1313"/>
        <w:gridCol w:w="761"/>
        <w:gridCol w:w="932"/>
        <w:gridCol w:w="1142"/>
        <w:gridCol w:w="497"/>
        <w:gridCol w:w="1577"/>
      </w:tblGrid>
      <w:tr>
        <w:tc>
          <w:tcPr>
            <w:tcW w:w="2074" w:type="dxa"/>
            <w:gridSpan w:val="2"/>
            <w:vAlign w:val="center"/>
          </w:tcPr>
          <w:p>
            <w:pPr>
              <w:spacing w:before="156"/>
              <w:ind w:firstLineChars="0" w:firstLine="0"/>
              <w:jc w:val="center"/>
              <w:rPr>
                <w:rFonts w:cs="Times New Roman"/>
                <w:color w:val="auto"/>
                <w:highlight w:val="none"/>
              </w:rPr>
            </w:pPr>
            <w:r>
              <w:rPr>
                <w:rFonts w:cs="Times New Roman"/>
                <w:color w:val="auto"/>
                <w:highlight w:val="none"/>
              </w:rPr>
              <w:t>设备名称/编号</w:t>
            </w:r>
          </w:p>
        </w:tc>
        <w:tc>
          <w:tcPr>
            <w:tcW w:w="2074" w:type="dxa"/>
            <w:gridSpan w:val="2"/>
            <w:vAlign w:val="center"/>
          </w:tcPr>
          <w:p>
            <w:pPr>
              <w:spacing w:before="156"/>
              <w:ind w:firstLineChars="0" w:firstLine="0"/>
              <w:jc w:val="center"/>
              <w:rPr>
                <w:rFonts w:cs="Times New Roman"/>
                <w:color w:val="auto"/>
                <w:highlight w:val="none"/>
              </w:rPr>
            </w:pPr>
          </w:p>
        </w:tc>
        <w:tc>
          <w:tcPr>
            <w:tcW w:w="2074" w:type="dxa"/>
            <w:gridSpan w:val="2"/>
            <w:vAlign w:val="center"/>
          </w:tcPr>
          <w:p>
            <w:pPr>
              <w:spacing w:before="156"/>
              <w:ind w:firstLineChars="0" w:firstLine="0"/>
              <w:jc w:val="center"/>
              <w:rPr>
                <w:rFonts w:cs="Times New Roman"/>
                <w:color w:val="auto"/>
                <w:highlight w:val="none"/>
              </w:rPr>
            </w:pPr>
            <w:r>
              <w:rPr>
                <w:rFonts w:cs="Times New Roman"/>
                <w:color w:val="auto"/>
                <w:highlight w:val="none"/>
              </w:rPr>
              <w:t>检测日期</w:t>
            </w:r>
          </w:p>
        </w:tc>
        <w:tc>
          <w:tcPr>
            <w:tcW w:w="2074" w:type="dxa"/>
            <w:gridSpan w:val="2"/>
            <w:vAlign w:val="center"/>
          </w:tcPr>
          <w:p>
            <w:pPr>
              <w:spacing w:before="156"/>
              <w:ind w:firstLineChars="0" w:firstLine="0"/>
              <w:jc w:val="center"/>
              <w:rPr>
                <w:rFonts w:cs="Times New Roman"/>
                <w:color w:val="auto"/>
                <w:highlight w:val="none"/>
              </w:rPr>
            </w:pPr>
          </w:p>
        </w:tc>
      </w:tr>
      <w:tr>
        <w:tc>
          <w:tcPr>
            <w:tcW w:w="2074" w:type="dxa"/>
            <w:gridSpan w:val="2"/>
            <w:vAlign w:val="center"/>
          </w:tcPr>
          <w:p>
            <w:pPr>
              <w:spacing w:before="156"/>
              <w:ind w:firstLineChars="0" w:firstLine="0"/>
              <w:jc w:val="center"/>
              <w:rPr>
                <w:rFonts w:cs="Times New Roman"/>
                <w:color w:val="auto"/>
                <w:highlight w:val="none"/>
              </w:rPr>
            </w:pPr>
            <w:r>
              <w:rPr>
                <w:rFonts w:cs="Times New Roman"/>
                <w:color w:val="auto"/>
                <w:highlight w:val="none"/>
              </w:rPr>
              <w:t>铝板尺寸/mm</w:t>
            </w:r>
          </w:p>
        </w:tc>
        <w:tc>
          <w:tcPr>
            <w:tcW w:w="2074" w:type="dxa"/>
            <w:gridSpan w:val="2"/>
            <w:vAlign w:val="center"/>
          </w:tcPr>
          <w:p>
            <w:pPr>
              <w:spacing w:before="156"/>
              <w:ind w:firstLineChars="0" w:firstLine="0"/>
              <w:jc w:val="center"/>
              <w:rPr>
                <w:rFonts w:cs="Times New Roman"/>
                <w:color w:val="auto"/>
                <w:highlight w:val="none"/>
              </w:rPr>
            </w:pPr>
          </w:p>
        </w:tc>
        <w:tc>
          <w:tcPr>
            <w:tcW w:w="2074" w:type="dxa"/>
            <w:gridSpan w:val="2"/>
            <w:vAlign w:val="center"/>
          </w:tcPr>
          <w:p>
            <w:pPr>
              <w:spacing w:before="156"/>
              <w:ind w:firstLineChars="0" w:firstLine="0"/>
              <w:jc w:val="center"/>
              <w:rPr>
                <w:rFonts w:cs="Times New Roman"/>
                <w:color w:val="auto"/>
                <w:highlight w:val="none"/>
              </w:rPr>
            </w:pPr>
            <w:r>
              <w:rPr>
                <w:rFonts w:cs="Times New Roman"/>
                <w:color w:val="auto"/>
                <w:highlight w:val="none"/>
              </w:rPr>
              <w:t>标定原因</w:t>
            </w:r>
          </w:p>
        </w:tc>
        <w:tc>
          <w:tcPr>
            <w:tcW w:w="2074" w:type="dxa"/>
            <w:gridSpan w:val="2"/>
            <w:vAlign w:val="center"/>
          </w:tcPr>
          <w:p>
            <w:pPr>
              <w:spacing w:before="156"/>
              <w:ind w:firstLineChars="0" w:firstLine="0"/>
              <w:jc w:val="center"/>
              <w:rPr>
                <w:rFonts w:cs="Times New Roman"/>
                <w:color w:val="auto"/>
                <w:highlight w:val="none"/>
              </w:rPr>
            </w:pPr>
          </w:p>
        </w:tc>
      </w:tr>
      <w:tr>
        <w:tc>
          <w:tcPr>
            <w:tcW w:w="774" w:type="dxa"/>
            <w:vAlign w:val="center"/>
          </w:tcPr>
          <w:p>
            <w:pPr>
              <w:spacing w:before="156"/>
              <w:ind w:firstLineChars="0" w:firstLine="0"/>
              <w:jc w:val="center"/>
              <w:rPr>
                <w:rFonts w:cs="Times New Roman"/>
                <w:color w:val="auto"/>
                <w:highlight w:val="none"/>
              </w:rPr>
            </w:pPr>
            <w:r>
              <w:rPr>
                <w:rFonts w:cs="Times New Roman"/>
                <w:color w:val="auto"/>
                <w:highlight w:val="none"/>
              </w:rPr>
              <w:t>序号</w:t>
            </w:r>
          </w:p>
        </w:tc>
        <w:tc>
          <w:tcPr>
            <w:tcW w:w="2613" w:type="dxa"/>
            <w:gridSpan w:val="2"/>
            <w:vAlign w:val="center"/>
          </w:tcPr>
          <w:p>
            <w:pPr>
              <w:spacing w:before="156"/>
              <w:ind w:firstLineChars="0" w:firstLine="0"/>
              <w:jc w:val="center"/>
              <w:rPr>
                <w:rFonts w:cs="Times New Roman"/>
                <w:color w:val="auto"/>
                <w:highlight w:val="none"/>
              </w:rPr>
            </w:pPr>
            <w:r>
              <w:rPr>
                <w:rFonts w:cs="Times New Roman"/>
                <w:color w:val="auto"/>
                <w:highlight w:val="none"/>
              </w:rPr>
              <w:t>射钉外露长度/mm</w:t>
            </w:r>
          </w:p>
        </w:tc>
        <w:tc>
          <w:tcPr>
            <w:tcW w:w="1693" w:type="dxa"/>
            <w:gridSpan w:val="2"/>
            <w:vAlign w:val="center"/>
          </w:tcPr>
          <w:p>
            <w:pPr>
              <w:spacing w:before="156"/>
              <w:ind w:firstLineChars="0" w:firstLine="0"/>
              <w:jc w:val="center"/>
              <w:rPr>
                <w:rFonts w:cs="Times New Roman"/>
                <w:color w:val="auto"/>
                <w:highlight w:val="none"/>
              </w:rPr>
            </w:pPr>
            <w:r>
              <w:rPr>
                <w:rFonts w:cs="Times New Roman"/>
                <w:color w:val="auto"/>
                <w:highlight w:val="none"/>
              </w:rPr>
              <w:t>平均外露长度/mm</w:t>
            </w:r>
          </w:p>
        </w:tc>
        <w:tc>
          <w:tcPr>
            <w:tcW w:w="1639" w:type="dxa"/>
            <w:gridSpan w:val="2"/>
            <w:vAlign w:val="center"/>
          </w:tcPr>
          <w:p>
            <w:pPr>
              <w:spacing w:before="156"/>
              <w:ind w:firstLineChars="0" w:firstLine="0"/>
              <w:jc w:val="center"/>
              <w:rPr>
                <w:rFonts w:cs="Times New Roman"/>
                <w:color w:val="auto"/>
                <w:highlight w:val="none"/>
              </w:rPr>
            </w:pPr>
            <w:r>
              <w:rPr>
                <w:rFonts w:cs="Times New Roman"/>
                <w:color w:val="auto"/>
                <w:highlight w:val="none"/>
              </w:rPr>
              <w:t>外露长度标准差/mm</w:t>
            </w:r>
          </w:p>
        </w:tc>
        <w:tc>
          <w:tcPr>
            <w:tcW w:w="1577" w:type="dxa"/>
            <w:vAlign w:val="center"/>
          </w:tcPr>
          <w:p>
            <w:pPr>
              <w:spacing w:before="156"/>
              <w:ind w:firstLineChars="0" w:firstLine="0"/>
              <w:jc w:val="center"/>
              <w:rPr>
                <w:rFonts w:cs="Times New Roman"/>
                <w:color w:val="auto"/>
                <w:highlight w:val="none"/>
              </w:rPr>
            </w:pPr>
            <w:r>
              <w:rPr>
                <w:rFonts w:cs="Times New Roman"/>
                <w:color w:val="auto"/>
                <w:highlight w:val="none"/>
              </w:rPr>
              <w:t>变异系数</w:t>
            </w:r>
          </w:p>
        </w:tc>
      </w:tr>
      <w:tr>
        <w:tc>
          <w:tcPr>
            <w:tcW w:w="774" w:type="dxa"/>
            <w:vAlign w:val="center"/>
          </w:tcPr>
          <w:p>
            <w:pPr>
              <w:spacing w:before="156"/>
              <w:ind w:firstLineChars="0" w:firstLine="0"/>
              <w:jc w:val="center"/>
              <w:rPr>
                <w:rFonts w:cs="Times New Roman"/>
                <w:color w:val="auto"/>
                <w:highlight w:val="none"/>
              </w:rPr>
            </w:pPr>
            <w:r>
              <w:rPr>
                <w:rFonts w:cs="Times New Roman"/>
                <w:color w:val="auto"/>
                <w:highlight w:val="none"/>
              </w:rPr>
              <w:t>1</w:t>
            </w:r>
          </w:p>
        </w:tc>
        <w:tc>
          <w:tcPr>
            <w:tcW w:w="2613" w:type="dxa"/>
            <w:gridSpan w:val="2"/>
            <w:vAlign w:val="center"/>
          </w:tcPr>
          <w:p>
            <w:pPr>
              <w:spacing w:before="156"/>
              <w:ind w:firstLineChars="0" w:firstLine="0"/>
              <w:jc w:val="center"/>
              <w:rPr>
                <w:rFonts w:cs="Times New Roman"/>
                <w:color w:val="auto"/>
                <w:highlight w:val="none"/>
              </w:rPr>
            </w:pPr>
          </w:p>
        </w:tc>
        <w:tc>
          <w:tcPr>
            <w:tcW w:w="1693" w:type="dxa"/>
            <w:gridSpan w:val="2"/>
            <w:vMerge w:val="restart"/>
            <w:vAlign w:val="center"/>
          </w:tcPr>
          <w:p>
            <w:pPr>
              <w:spacing w:before="156"/>
              <w:ind w:firstLineChars="0" w:firstLine="0"/>
              <w:jc w:val="center"/>
              <w:rPr>
                <w:rFonts w:cs="Times New Roman"/>
                <w:color w:val="auto"/>
                <w:highlight w:val="none"/>
              </w:rPr>
            </w:pPr>
          </w:p>
        </w:tc>
        <w:tc>
          <w:tcPr>
            <w:tcW w:w="1639" w:type="dxa"/>
            <w:gridSpan w:val="2"/>
            <w:vMerge w:val="restart"/>
            <w:vAlign w:val="center"/>
          </w:tcPr>
          <w:p>
            <w:pPr>
              <w:spacing w:before="156"/>
              <w:ind w:firstLineChars="0" w:firstLine="0"/>
              <w:jc w:val="center"/>
              <w:rPr>
                <w:rFonts w:cs="Times New Roman"/>
                <w:color w:val="auto"/>
                <w:highlight w:val="none"/>
              </w:rPr>
            </w:pPr>
          </w:p>
        </w:tc>
        <w:tc>
          <w:tcPr>
            <w:tcW w:w="1577" w:type="dxa"/>
            <w:vMerge w:val="restart"/>
            <w:vAlign w:val="center"/>
          </w:tcPr>
          <w:p>
            <w:pPr>
              <w:spacing w:before="156"/>
              <w:ind w:firstLineChars="0" w:firstLine="0"/>
              <w:jc w:val="center"/>
              <w:rPr>
                <w:rFonts w:cs="Times New Roman"/>
                <w:color w:val="auto"/>
                <w:highlight w:val="none"/>
              </w:rPr>
            </w:pPr>
          </w:p>
        </w:tc>
      </w:tr>
      <w:tr>
        <w:tc>
          <w:tcPr>
            <w:tcW w:w="774" w:type="dxa"/>
            <w:vAlign w:val="center"/>
          </w:tcPr>
          <w:p>
            <w:pPr>
              <w:spacing w:before="156"/>
              <w:ind w:firstLineChars="0" w:firstLine="0"/>
              <w:jc w:val="center"/>
              <w:rPr>
                <w:rFonts w:cs="Times New Roman"/>
                <w:color w:val="auto"/>
                <w:highlight w:val="none"/>
              </w:rPr>
            </w:pPr>
            <w:r>
              <w:rPr>
                <w:rFonts w:cs="Times New Roman"/>
                <w:color w:val="auto"/>
                <w:highlight w:val="none"/>
              </w:rPr>
              <w:t>2</w:t>
            </w:r>
          </w:p>
        </w:tc>
        <w:tc>
          <w:tcPr>
            <w:tcW w:w="2613" w:type="dxa"/>
            <w:gridSpan w:val="2"/>
            <w:vAlign w:val="center"/>
          </w:tcPr>
          <w:p>
            <w:pPr>
              <w:spacing w:before="156"/>
              <w:ind w:firstLineChars="0" w:firstLine="0"/>
              <w:jc w:val="center"/>
              <w:rPr>
                <w:rFonts w:cs="Times New Roman"/>
                <w:color w:val="auto"/>
                <w:highlight w:val="none"/>
              </w:rPr>
            </w:pPr>
          </w:p>
        </w:tc>
        <w:tc>
          <w:tcPr>
            <w:tcW w:w="1693" w:type="dxa"/>
            <w:gridSpan w:val="2"/>
            <w:vMerge/>
            <w:vAlign w:val="center"/>
          </w:tcPr>
          <w:p/>
        </w:tc>
        <w:tc>
          <w:tcPr>
            <w:tcW w:w="1639" w:type="dxa"/>
            <w:gridSpan w:val="2"/>
            <w:vMerge/>
            <w:vAlign w:val="center"/>
          </w:tcPr>
          <w:p/>
        </w:tc>
        <w:tc>
          <w:tcPr>
            <w:tcW w:w="1577" w:type="dxa"/>
            <w:vMerge/>
            <w:vAlign w:val="center"/>
          </w:tcPr>
          <w:p/>
        </w:tc>
      </w:tr>
      <w:tr>
        <w:tc>
          <w:tcPr>
            <w:tcW w:w="774" w:type="dxa"/>
            <w:vAlign w:val="center"/>
          </w:tcPr>
          <w:p>
            <w:pPr>
              <w:spacing w:before="156"/>
              <w:ind w:firstLineChars="0" w:firstLine="0"/>
              <w:jc w:val="center"/>
              <w:rPr>
                <w:rFonts w:cs="Times New Roman"/>
                <w:color w:val="auto"/>
                <w:highlight w:val="none"/>
              </w:rPr>
            </w:pPr>
            <w:r>
              <w:rPr>
                <w:rFonts w:cs="Times New Roman"/>
                <w:color w:val="auto"/>
                <w:highlight w:val="none"/>
              </w:rPr>
              <w:t>3</w:t>
            </w:r>
          </w:p>
        </w:tc>
        <w:tc>
          <w:tcPr>
            <w:tcW w:w="2613" w:type="dxa"/>
            <w:gridSpan w:val="2"/>
            <w:vAlign w:val="center"/>
          </w:tcPr>
          <w:p>
            <w:pPr>
              <w:spacing w:before="156"/>
              <w:ind w:firstLineChars="0" w:firstLine="0"/>
              <w:jc w:val="center"/>
              <w:rPr>
                <w:rFonts w:cs="Times New Roman"/>
                <w:color w:val="auto"/>
                <w:highlight w:val="none"/>
              </w:rPr>
            </w:pPr>
          </w:p>
        </w:tc>
        <w:tc>
          <w:tcPr>
            <w:tcW w:w="1693" w:type="dxa"/>
            <w:gridSpan w:val="2"/>
            <w:vMerge/>
            <w:vAlign w:val="center"/>
          </w:tcPr>
          <w:p/>
        </w:tc>
        <w:tc>
          <w:tcPr>
            <w:tcW w:w="1639" w:type="dxa"/>
            <w:gridSpan w:val="2"/>
            <w:vMerge/>
            <w:vAlign w:val="center"/>
          </w:tcPr>
          <w:p/>
        </w:tc>
        <w:tc>
          <w:tcPr>
            <w:tcW w:w="1577" w:type="dxa"/>
            <w:vMerge/>
            <w:vAlign w:val="center"/>
          </w:tcPr>
          <w:p/>
        </w:tc>
      </w:tr>
      <w:tr>
        <w:tc>
          <w:tcPr>
            <w:tcW w:w="774" w:type="dxa"/>
            <w:vAlign w:val="center"/>
          </w:tcPr>
          <w:p>
            <w:pPr>
              <w:spacing w:before="156"/>
              <w:ind w:firstLineChars="0" w:firstLine="0"/>
              <w:jc w:val="center"/>
              <w:rPr>
                <w:rFonts w:cs="Times New Roman"/>
                <w:color w:val="auto"/>
                <w:highlight w:val="none"/>
              </w:rPr>
            </w:pPr>
            <w:r>
              <w:rPr>
                <w:rFonts w:cs="Times New Roman"/>
                <w:color w:val="auto"/>
                <w:highlight w:val="none"/>
              </w:rPr>
              <w:t>4</w:t>
            </w:r>
          </w:p>
        </w:tc>
        <w:tc>
          <w:tcPr>
            <w:tcW w:w="2613" w:type="dxa"/>
            <w:gridSpan w:val="2"/>
            <w:vAlign w:val="center"/>
          </w:tcPr>
          <w:p>
            <w:pPr>
              <w:spacing w:before="156"/>
              <w:ind w:firstLineChars="0" w:firstLine="0"/>
              <w:jc w:val="center"/>
              <w:rPr>
                <w:rFonts w:cs="Times New Roman"/>
                <w:color w:val="auto"/>
                <w:highlight w:val="none"/>
              </w:rPr>
            </w:pPr>
          </w:p>
        </w:tc>
        <w:tc>
          <w:tcPr>
            <w:tcW w:w="1693" w:type="dxa"/>
            <w:gridSpan w:val="2"/>
            <w:vMerge/>
            <w:vAlign w:val="center"/>
          </w:tcPr>
          <w:p/>
        </w:tc>
        <w:tc>
          <w:tcPr>
            <w:tcW w:w="1639" w:type="dxa"/>
            <w:gridSpan w:val="2"/>
            <w:vMerge/>
            <w:vAlign w:val="center"/>
          </w:tcPr>
          <w:p/>
        </w:tc>
        <w:tc>
          <w:tcPr>
            <w:tcW w:w="1577" w:type="dxa"/>
            <w:vMerge/>
            <w:vAlign w:val="center"/>
          </w:tcPr>
          <w:p/>
        </w:tc>
      </w:tr>
      <w:tr>
        <w:tc>
          <w:tcPr>
            <w:tcW w:w="774" w:type="dxa"/>
            <w:vAlign w:val="center"/>
          </w:tcPr>
          <w:p>
            <w:pPr>
              <w:spacing w:before="156"/>
              <w:ind w:firstLineChars="0" w:firstLine="0"/>
              <w:jc w:val="center"/>
              <w:rPr>
                <w:rFonts w:cs="Times New Roman"/>
                <w:color w:val="auto"/>
                <w:highlight w:val="none"/>
              </w:rPr>
            </w:pPr>
            <w:r>
              <w:rPr>
                <w:rFonts w:cs="Times New Roman"/>
                <w:color w:val="auto"/>
                <w:highlight w:val="none"/>
              </w:rPr>
              <w:t>5</w:t>
            </w:r>
          </w:p>
        </w:tc>
        <w:tc>
          <w:tcPr>
            <w:tcW w:w="2613" w:type="dxa"/>
            <w:gridSpan w:val="2"/>
            <w:vAlign w:val="center"/>
          </w:tcPr>
          <w:p>
            <w:pPr>
              <w:spacing w:before="156"/>
              <w:ind w:firstLineChars="0" w:firstLine="0"/>
              <w:jc w:val="center"/>
              <w:rPr>
                <w:rFonts w:cs="Times New Roman"/>
                <w:color w:val="auto"/>
                <w:highlight w:val="none"/>
              </w:rPr>
            </w:pPr>
          </w:p>
        </w:tc>
        <w:tc>
          <w:tcPr>
            <w:tcW w:w="1693" w:type="dxa"/>
            <w:gridSpan w:val="2"/>
            <w:vMerge/>
            <w:vAlign w:val="center"/>
          </w:tcPr>
          <w:p/>
        </w:tc>
        <w:tc>
          <w:tcPr>
            <w:tcW w:w="1639" w:type="dxa"/>
            <w:gridSpan w:val="2"/>
            <w:vMerge/>
            <w:vAlign w:val="center"/>
          </w:tcPr>
          <w:p/>
        </w:tc>
        <w:tc>
          <w:tcPr>
            <w:tcW w:w="1577" w:type="dxa"/>
            <w:vMerge/>
            <w:vAlign w:val="center"/>
          </w:tcPr>
          <w:p/>
        </w:tc>
      </w:tr>
      <w:tr>
        <w:tc>
          <w:tcPr>
            <w:tcW w:w="774" w:type="dxa"/>
            <w:vAlign w:val="center"/>
          </w:tcPr>
          <w:p>
            <w:pPr>
              <w:spacing w:before="156"/>
              <w:ind w:firstLineChars="0" w:firstLine="0"/>
              <w:jc w:val="center"/>
              <w:rPr>
                <w:rFonts w:cs="Times New Roman"/>
                <w:color w:val="auto"/>
                <w:highlight w:val="none"/>
              </w:rPr>
            </w:pPr>
            <w:r>
              <w:rPr>
                <w:rFonts w:cs="Times New Roman"/>
                <w:color w:val="auto"/>
                <w:highlight w:val="none"/>
              </w:rPr>
              <w:t>6</w:t>
            </w:r>
          </w:p>
        </w:tc>
        <w:tc>
          <w:tcPr>
            <w:tcW w:w="2613" w:type="dxa"/>
            <w:gridSpan w:val="2"/>
            <w:vAlign w:val="center"/>
          </w:tcPr>
          <w:p>
            <w:pPr>
              <w:spacing w:before="156"/>
              <w:ind w:firstLineChars="0" w:firstLine="0"/>
              <w:jc w:val="center"/>
              <w:rPr>
                <w:rFonts w:cs="Times New Roman"/>
                <w:color w:val="auto"/>
                <w:highlight w:val="none"/>
              </w:rPr>
            </w:pPr>
          </w:p>
        </w:tc>
        <w:tc>
          <w:tcPr>
            <w:tcW w:w="1693" w:type="dxa"/>
            <w:gridSpan w:val="2"/>
            <w:vMerge/>
            <w:vAlign w:val="center"/>
          </w:tcPr>
          <w:p/>
        </w:tc>
        <w:tc>
          <w:tcPr>
            <w:tcW w:w="1639" w:type="dxa"/>
            <w:gridSpan w:val="2"/>
            <w:vMerge/>
            <w:vAlign w:val="center"/>
          </w:tcPr>
          <w:p/>
        </w:tc>
        <w:tc>
          <w:tcPr>
            <w:tcW w:w="1577" w:type="dxa"/>
            <w:vMerge/>
            <w:vAlign w:val="center"/>
          </w:tcPr>
          <w:p/>
        </w:tc>
      </w:tr>
      <w:tr>
        <w:trPr>
          <w:trHeight w:val="963"/>
        </w:trPr>
        <w:tc>
          <w:tcPr>
            <w:tcW w:w="8296" w:type="dxa"/>
            <w:gridSpan w:val="8"/>
            <w:vAlign w:val="center"/>
          </w:tcPr>
          <w:p>
            <w:pPr>
              <w:spacing w:before="156"/>
              <w:ind w:firstLineChars="0" w:firstLine="0"/>
              <w:rPr>
                <w:rFonts w:cs="Times New Roman"/>
                <w:color w:val="auto"/>
                <w:highlight w:val="none"/>
              </w:rPr>
            </w:pPr>
            <w:r>
              <w:rPr>
                <w:rFonts w:cs="Times New Roman"/>
                <w:b/>
                <w:bCs/>
                <w:color w:val="auto"/>
                <w:sz w:val="18"/>
                <w:szCs w:val="18"/>
                <w:highlight w:val="none"/>
              </w:rPr>
              <w:t>备注：</w:t>
            </w:r>
            <w:r>
              <w:rPr>
                <w:rFonts w:cs="Times New Roman"/>
                <w:color w:val="auto"/>
                <w:sz w:val="18"/>
                <w:szCs w:val="18"/>
                <w:highlight w:val="none"/>
              </w:rPr>
              <w:t>首次启用射钉装置时测试6个射钉；启用新购同型号射钉、工程试验检测前和累计射钉100次均采用3个射钉验证。</w:t>
            </w:r>
          </w:p>
        </w:tc>
      </w:tr>
    </w:tbl>
    <w:p>
      <w:pPr>
        <w:widowControl/>
        <w:spacing w:line="240" w:lineRule="auto"/>
        <w:ind w:firstLineChars="200" w:firstLine="420"/>
        <w:jc w:val="left"/>
        <w:textAlignment w:val="auto"/>
        <w:rPr>
          <w:rFonts w:cs="Times New Roman"/>
          <w:color w:val="auto"/>
          <w:highlight w:val="none"/>
        </w:rPr>
      </w:pPr>
      <w:r>
        <w:rPr>
          <w:rFonts w:cs="Times New Roman"/>
          <w:color w:val="auto"/>
          <w:sz w:val="21"/>
          <w:szCs w:val="21"/>
          <w:highlight w:val="none"/>
        </w:rPr>
        <w:t>检测</w:t>
      </w:r>
      <w:r>
        <w:rPr>
          <w:rFonts w:cs="Times New Roman" w:hint="eastAsia"/>
          <w:color w:val="auto"/>
          <w:sz w:val="21"/>
          <w:szCs w:val="21"/>
          <w:lang w:val="en-US" w:eastAsia="zh-CN"/>
          <w:highlight w:val="none"/>
        </w:rPr>
        <w:t>人员</w:t>
      </w:r>
      <w:r>
        <w:rPr>
          <w:rFonts w:cs="Times New Roman"/>
          <w:color w:val="auto"/>
          <w:sz w:val="21"/>
          <w:szCs w:val="21"/>
          <w:highlight w:val="none"/>
        </w:rPr>
        <w:t xml:space="preserve">：                      </w:t>
      </w:r>
      <w:r>
        <w:rPr>
          <w:rFonts w:cs="Times New Roman" w:hint="eastAsia"/>
          <w:color w:val="auto"/>
          <w:sz w:val="21"/>
          <w:szCs w:val="21"/>
          <w:lang w:val="en-US" w:eastAsia="zh-CN"/>
          <w:highlight w:val="none"/>
        </w:rPr>
        <w:t>审核人员</w:t>
      </w:r>
      <w:r>
        <w:rPr>
          <w:rFonts w:cs="Times New Roman"/>
          <w:color w:val="auto"/>
          <w:sz w:val="21"/>
          <w:szCs w:val="21"/>
          <w:highlight w:val="none"/>
        </w:rPr>
        <w:t xml:space="preserve">：        </w:t>
      </w:r>
      <w:r>
        <w:rPr>
          <w:rFonts w:cs="Times New Roman" w:hint="eastAsia"/>
          <w:color w:val="auto"/>
          <w:sz w:val="21"/>
          <w:szCs w:val="21"/>
          <w:lang w:val="en-US" w:eastAsia="zh-CN"/>
          <w:highlight w:val="none"/>
        </w:rPr>
        <w:t xml:space="preserve">   </w:t>
      </w:r>
      <w:r>
        <w:rPr>
          <w:rFonts w:cs="Times New Roman"/>
          <w:color w:val="auto"/>
          <w:sz w:val="21"/>
          <w:szCs w:val="21"/>
          <w:highlight w:val="none"/>
        </w:rPr>
        <w:t xml:space="preserve">  </w:t>
      </w:r>
      <w:r>
        <w:rPr>
          <w:rFonts w:cs="Times New Roman" w:hint="eastAsia"/>
          <w:color w:val="auto"/>
          <w:sz w:val="21"/>
          <w:szCs w:val="21"/>
          <w:lang w:val="en-US" w:eastAsia="zh-CN"/>
          <w:highlight w:val="none"/>
        </w:rPr>
        <w:t xml:space="preserve">  检测</w:t>
      </w:r>
      <w:r>
        <w:rPr>
          <w:rFonts w:cs="Times New Roman"/>
          <w:color w:val="auto"/>
          <w:sz w:val="21"/>
          <w:szCs w:val="21"/>
          <w:highlight w:val="none"/>
        </w:rPr>
        <w:t>日期：</w:t>
      </w:r>
      <w:bookmarkEnd w:id="543"/>
      <w:bookmarkEnd w:id="544"/>
      <w:r>
        <w:rPr>
          <w:rFonts w:cs="Times New Roman"/>
          <w:color w:val="auto"/>
          <w:highlight w:val="none"/>
        </w:rPr>
        <w:br w:type="page"/>
      </w:r>
    </w:p>
    <w:p>
      <w:pPr>
        <w:pStyle w:val="38"/>
        <w:ind w:firstLineChars="0" w:firstLine="0"/>
        <w:rPr>
          <w:rFonts w:cs="Times New Roman"/>
          <w:color w:val="auto"/>
          <w:highlight w:val="none"/>
        </w:rPr>
      </w:pPr>
    </w:p>
    <w:p>
      <w:pPr>
        <w:pStyle w:val="1"/>
        <w:rPr>
          <w:rFonts w:cs="Times New Roman"/>
          <w:color w:val="auto"/>
          <w:highlight w:val="none"/>
        </w:rPr>
      </w:pPr>
      <w:bookmarkStart w:id="557" w:name="_Toc11192"/>
      <w:bookmarkStart w:id="558" w:name="_Toc2075"/>
      <w:bookmarkStart w:id="559" w:name="_Toc38546218"/>
      <w:bookmarkStart w:id="560" w:name="_Toc35004236"/>
      <w:bookmarkStart w:id="561" w:name="_Toc8041"/>
      <w:bookmarkStart w:id="562" w:name="_Toc34312175"/>
      <w:bookmarkStart w:id="563" w:name="_Toc30177624"/>
      <w:bookmarkStart w:id="564" w:name="_Toc2567"/>
      <w:bookmarkStart w:id="565" w:name="_Toc19710"/>
      <w:bookmarkStart w:id="566" w:name="_Toc35004569"/>
      <w:bookmarkStart w:id="567" w:name="_Toc2673"/>
      <w:bookmarkStart w:id="568" w:name="_GoBack"/>
      <w:bookmarkEnd w:id="568"/>
      <w:r>
        <w:rPr>
          <w:rFonts w:cs="Times New Roman" w:hint="eastAsia"/>
          <w:color w:val="auto"/>
          <w:lang w:val="en-US" w:eastAsia="zh-CN"/>
          <w:highlight w:val="none"/>
        </w:rPr>
        <w:t>本标准</w:t>
      </w:r>
      <w:r>
        <w:rPr>
          <w:rFonts w:cs="Times New Roman"/>
          <w:color w:val="auto"/>
          <w:highlight w:val="none"/>
        </w:rPr>
        <w:t>用词说明</w:t>
      </w:r>
      <w:bookmarkEnd w:id="557"/>
      <w:bookmarkEnd w:id="558"/>
      <w:bookmarkEnd w:id="559"/>
      <w:bookmarkEnd w:id="560"/>
      <w:bookmarkEnd w:id="561"/>
      <w:bookmarkEnd w:id="562"/>
      <w:bookmarkEnd w:id="563"/>
      <w:bookmarkEnd w:id="564"/>
      <w:bookmarkEnd w:id="565"/>
      <w:bookmarkEnd w:id="566"/>
      <w:bookmarkEnd w:id="567"/>
    </w:p>
    <w:p>
      <w:pPr>
        <w:rPr>
          <w:rFonts w:cs="Times New Roman"/>
          <w:color w:val="auto"/>
          <w:highlight w:val="none"/>
        </w:rPr>
      </w:pPr>
      <w:bookmarkStart w:id="569" w:name="_Toc363222529"/>
      <w:bookmarkStart w:id="570" w:name="_Toc311553896"/>
    </w:p>
    <w:p>
      <w:pPr>
        <w:rPr>
          <w:rFonts w:cs="Times New Roman"/>
          <w:color w:val="auto"/>
          <w:highlight w:val="none"/>
        </w:rPr>
      </w:pPr>
      <w:r>
        <w:rPr>
          <w:rFonts w:cs="Times New Roman" w:hint="eastAsia"/>
          <w:color w:val="auto"/>
          <w:lang w:val="en-US" w:eastAsia="zh-CN"/>
          <w:highlight w:val="none"/>
        </w:rPr>
        <w:t>1</w:t>
      </w:r>
      <w:r>
        <w:rPr>
          <w:rFonts w:cs="Times New Roman"/>
          <w:color w:val="auto"/>
          <w:highlight w:val="none"/>
        </w:rPr>
        <w:t>为便于在执行本标准条文时区别对待，对要求严格程度不同的用词说明如下：</w:t>
      </w:r>
      <w:bookmarkEnd w:id="569"/>
      <w:bookmarkEnd w:id="570"/>
    </w:p>
    <w:p>
      <w:pPr>
        <w:ind w:firstLineChars="235" w:firstLine="566"/>
        <w:rPr>
          <w:rFonts w:cs="Times New Roman"/>
          <w:b w:val="0"/>
          <w:bCs/>
          <w:color w:val="auto"/>
          <w:highlight w:val="none"/>
        </w:rPr>
      </w:pPr>
      <w:r>
        <w:rPr>
          <w:rFonts w:cs="Times New Roman"/>
          <w:b w:val="0"/>
          <w:bCs/>
          <w:color w:val="auto"/>
          <w:highlight w:val="none"/>
        </w:rPr>
        <w:t>1</w:t>
      </w:r>
      <w:r>
        <w:rPr>
          <w:rFonts w:cs="Times New Roman" w:hint="eastAsia"/>
          <w:b w:val="0"/>
          <w:bCs/>
          <w:color w:val="auto"/>
          <w:lang w:eastAsia="zh-CN"/>
          <w:highlight w:val="none"/>
        </w:rPr>
        <w:t>）</w:t>
      </w:r>
      <w:r>
        <w:rPr>
          <w:rFonts w:cs="Times New Roman"/>
          <w:b w:val="0"/>
          <w:bCs/>
          <w:color w:val="auto"/>
          <w:highlight w:val="none"/>
        </w:rPr>
        <w:t>表示很严格，非这样做不可的：</w:t>
      </w:r>
    </w:p>
    <w:p>
      <w:pPr>
        <w:ind w:firstLineChars="386" w:firstLine="926"/>
        <w:rPr>
          <w:rFonts w:cs="Times New Roman"/>
          <w:b w:val="0"/>
          <w:bCs/>
          <w:color w:val="auto"/>
          <w:highlight w:val="none"/>
        </w:rPr>
      </w:pPr>
      <w:r>
        <w:rPr>
          <w:rFonts w:cs="Times New Roman"/>
          <w:b w:val="0"/>
          <w:bCs/>
          <w:color w:val="auto"/>
          <w:highlight w:val="none"/>
        </w:rPr>
        <w:t>正面词采用“必须”，反面词采用“严禁”；</w:t>
      </w:r>
    </w:p>
    <w:p>
      <w:pPr>
        <w:ind w:firstLineChars="235" w:firstLine="566"/>
        <w:rPr>
          <w:rFonts w:cs="Times New Roman"/>
          <w:b w:val="0"/>
          <w:bCs/>
          <w:color w:val="auto"/>
          <w:highlight w:val="none"/>
        </w:rPr>
      </w:pPr>
      <w:r>
        <w:rPr>
          <w:rFonts w:cs="Times New Roman"/>
          <w:b w:val="0"/>
          <w:bCs/>
          <w:color w:val="auto"/>
          <w:highlight w:val="none"/>
        </w:rPr>
        <w:t>2</w:t>
      </w:r>
      <w:r>
        <w:rPr>
          <w:rFonts w:cs="Times New Roman" w:hint="eastAsia"/>
          <w:b w:val="0"/>
          <w:bCs/>
          <w:color w:val="auto"/>
          <w:lang w:eastAsia="zh-CN"/>
          <w:highlight w:val="none"/>
        </w:rPr>
        <w:t>）</w:t>
      </w:r>
      <w:r>
        <w:rPr>
          <w:rFonts w:cs="Times New Roman"/>
          <w:b w:val="0"/>
          <w:bCs/>
          <w:color w:val="auto"/>
          <w:highlight w:val="none"/>
        </w:rPr>
        <w:t>表示严格，在正常情况下均应这样做的：</w:t>
      </w:r>
    </w:p>
    <w:p>
      <w:pPr>
        <w:ind w:firstLineChars="386" w:firstLine="926"/>
        <w:rPr>
          <w:rFonts w:cs="Times New Roman"/>
          <w:b w:val="0"/>
          <w:bCs/>
          <w:color w:val="auto"/>
          <w:highlight w:val="none"/>
        </w:rPr>
      </w:pPr>
      <w:r>
        <w:rPr>
          <w:rFonts w:cs="Times New Roman"/>
          <w:b w:val="0"/>
          <w:bCs/>
          <w:color w:val="auto"/>
          <w:highlight w:val="none"/>
        </w:rPr>
        <w:t>正面词采用“应”，反面词采用“不应”或“不得”；</w:t>
      </w:r>
    </w:p>
    <w:p>
      <w:pPr>
        <w:ind w:firstLineChars="235" w:firstLine="566"/>
        <w:rPr>
          <w:rFonts w:cs="Times New Roman"/>
          <w:b w:val="0"/>
          <w:bCs/>
          <w:color w:val="auto"/>
          <w:highlight w:val="none"/>
        </w:rPr>
      </w:pPr>
      <w:r>
        <w:rPr>
          <w:rFonts w:cs="Times New Roman"/>
          <w:b w:val="0"/>
          <w:bCs/>
          <w:color w:val="auto"/>
          <w:highlight w:val="none"/>
        </w:rPr>
        <w:t>3</w:t>
      </w:r>
      <w:r>
        <w:rPr>
          <w:rFonts w:cs="Times New Roman" w:hint="eastAsia"/>
          <w:b w:val="0"/>
          <w:bCs/>
          <w:color w:val="auto"/>
          <w:lang w:eastAsia="zh-CN"/>
          <w:highlight w:val="none"/>
        </w:rPr>
        <w:t>）</w:t>
      </w:r>
      <w:r>
        <w:rPr>
          <w:rFonts w:cs="Times New Roman"/>
          <w:b w:val="0"/>
          <w:bCs/>
          <w:color w:val="auto"/>
          <w:highlight w:val="none"/>
        </w:rPr>
        <w:t>表示允许稍有选择，在条件许可时首先应这样做的：</w:t>
      </w:r>
    </w:p>
    <w:p>
      <w:pPr>
        <w:ind w:firstLineChars="386" w:firstLine="926"/>
        <w:rPr>
          <w:rFonts w:cs="Times New Roman"/>
          <w:b w:val="0"/>
          <w:bCs/>
          <w:color w:val="auto"/>
          <w:highlight w:val="none"/>
        </w:rPr>
      </w:pPr>
      <w:r>
        <w:rPr>
          <w:rFonts w:cs="Times New Roman"/>
          <w:b w:val="0"/>
          <w:bCs/>
          <w:color w:val="auto"/>
          <w:highlight w:val="none"/>
        </w:rPr>
        <w:t>正面词采用“宜”，反面词采用“不宜”；</w:t>
      </w:r>
    </w:p>
    <w:p>
      <w:pPr>
        <w:ind w:firstLineChars="235" w:firstLine="566"/>
        <w:rPr>
          <w:rFonts w:cs="Times New Roman"/>
          <w:b w:val="0"/>
          <w:bCs/>
          <w:color w:val="auto"/>
          <w:highlight w:val="none"/>
        </w:rPr>
      </w:pPr>
      <w:r>
        <w:rPr>
          <w:rFonts w:cs="Times New Roman"/>
          <w:b w:val="0"/>
          <w:bCs/>
          <w:color w:val="auto"/>
          <w:highlight w:val="none"/>
        </w:rPr>
        <w:t>4</w:t>
      </w:r>
      <w:r>
        <w:rPr>
          <w:rFonts w:cs="Times New Roman" w:hint="eastAsia"/>
          <w:b w:val="0"/>
          <w:bCs/>
          <w:color w:val="auto"/>
          <w:lang w:eastAsia="zh-CN"/>
          <w:highlight w:val="none"/>
        </w:rPr>
        <w:t>）</w:t>
      </w:r>
      <w:r>
        <w:rPr>
          <w:rFonts w:cs="Times New Roman"/>
          <w:b w:val="0"/>
          <w:bCs/>
          <w:color w:val="auto"/>
          <w:highlight w:val="none"/>
        </w:rPr>
        <w:t>表示有选择，在一定条件下可以这样做的，采用“可”。</w:t>
      </w:r>
    </w:p>
    <w:p>
      <w:pPr>
        <w:ind w:firstLineChars="235" w:firstLine="566"/>
        <w:rPr>
          <w:rFonts w:cs="Times New Roman"/>
          <w:color w:val="auto"/>
          <w:highlight w:val="none"/>
        </w:rPr>
      </w:pPr>
    </w:p>
    <w:p>
      <w:pPr>
        <w:ind w:firstLineChars="235" w:firstLine="566"/>
        <w:rPr>
          <w:rFonts w:cs="Times New Roman"/>
          <w:color w:val="auto"/>
          <w:highlight w:val="none"/>
        </w:rPr>
      </w:pPr>
      <w:r>
        <w:rPr>
          <w:rFonts w:ascii="宋体" w:eastAsia="宋体" w:cs="宋体" w:hAnsi="宋体"/>
          <w:b/>
          <w:bCs/>
          <w:sz w:val="24"/>
          <w:szCs w:val="24"/>
          <w:highlight w:val="none"/>
        </w:rPr>
        <w:t>2</w:t>
      </w:r>
      <w:r>
        <w:rPr>
          <w:rFonts w:ascii="宋体" w:eastAsia="宋体" w:cs="宋体" w:hAnsi="宋体"/>
          <w:sz w:val="24"/>
          <w:szCs w:val="24"/>
          <w:highlight w:val="none"/>
        </w:rPr>
        <w:t xml:space="preserve"> 条文中指明应按其他有关标准执行的写法为：“应符合……的规定”或 “应按……执行（或要求）”</w:t>
      </w:r>
    </w:p>
    <w:p>
      <w:pPr>
        <w:ind w:firstLineChars="0" w:firstLine="0"/>
        <w:rPr>
          <w:rFonts w:cs="Times New Roman"/>
          <w:color w:val="auto"/>
          <w:szCs w:val="28"/>
          <w:highlight w:val="none"/>
        </w:rPr>
      </w:pPr>
      <w:r>
        <w:rPr>
          <w:rFonts w:cs="Times New Roman"/>
          <w:color w:val="auto"/>
          <w:szCs w:val="28"/>
          <w:highlight w:val="none"/>
        </w:rPr>
        <w:br w:type="page"/>
      </w:r>
    </w:p>
    <w:p>
      <w:pPr>
        <w:pStyle w:val="1"/>
        <w:rPr>
          <w:rFonts w:cs="Times New Roman"/>
          <w:color w:val="auto"/>
          <w:lang w:val="el-GR"/>
          <w:highlight w:val="none"/>
        </w:rPr>
      </w:pPr>
      <w:bookmarkStart w:id="571" w:name="_Toc3523"/>
      <w:bookmarkStart w:id="572" w:name="_Toc35004570"/>
      <w:bookmarkStart w:id="573" w:name="_Toc27959"/>
      <w:bookmarkStart w:id="574" w:name="_Toc14708"/>
      <w:bookmarkStart w:id="575" w:name="_Toc34312176"/>
      <w:bookmarkStart w:id="576" w:name="_Toc9401"/>
      <w:bookmarkStart w:id="577" w:name="_Toc38546219"/>
      <w:bookmarkStart w:id="578" w:name="_Toc35004237"/>
      <w:bookmarkStart w:id="579" w:name="_Toc16215"/>
      <w:bookmarkStart w:id="580" w:name="_Toc23026"/>
      <w:bookmarkStart w:id="581" w:name="_Toc7998"/>
      <w:bookmarkStart w:id="582" w:name="_Toc30177625"/>
      <w:bookmarkStart w:id="583" w:name="_Toc9057"/>
      <w:bookmarkStart w:id="584" w:name="_Toc16954"/>
      <w:r>
        <w:rPr>
          <w:rFonts w:cs="Times New Roman"/>
          <w:color w:val="auto"/>
          <w:lang w:val="el-GR"/>
          <w:highlight w:val="none"/>
        </w:rPr>
        <w:t>引用标准名录</w:t>
      </w:r>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p>
    <w:p>
      <w:pPr>
        <w:rPr>
          <w:rFonts w:cs="Times New Roman"/>
          <w:color w:val="auto"/>
          <w:highlight w:val="none"/>
        </w:rPr>
      </w:pPr>
      <w:r>
        <w:rPr>
          <w:rFonts w:cs="Times New Roman"/>
          <w:color w:val="auto"/>
          <w:highlight w:val="none"/>
        </w:rPr>
        <w:t>《钢结构工程施工质量验收标准》GB 50205</w:t>
      </w:r>
    </w:p>
    <w:p>
      <w:pPr>
        <w:rPr>
          <w:rFonts w:cs="Times New Roman"/>
          <w:color w:val="auto"/>
          <w:highlight w:val="none"/>
        </w:rPr>
      </w:pPr>
      <w:r>
        <w:rPr>
          <w:rFonts w:cs="Times New Roman"/>
          <w:color w:val="auto"/>
          <w:highlight w:val="none"/>
        </w:rPr>
        <w:t>《混凝土结构现场检测技术标准》GB/T 50784</w:t>
      </w:r>
    </w:p>
    <w:p>
      <w:pPr>
        <w:rPr>
          <w:rFonts w:cs="Times New Roman"/>
          <w:color w:val="auto"/>
          <w:highlight w:val="none"/>
        </w:rPr>
      </w:pPr>
      <w:r>
        <w:rPr>
          <w:rFonts w:cs="Times New Roman"/>
          <w:color w:val="auto"/>
          <w:highlight w:val="none"/>
        </w:rPr>
        <w:t>《钢结构用高强</w:t>
      </w:r>
      <w:r>
        <w:rPr>
          <w:rFonts w:cs="Times New Roman" w:hint="eastAsia"/>
          <w:color w:val="auto"/>
          <w:highlight w:val="none"/>
        </w:rPr>
        <w:t>度</w:t>
      </w:r>
      <w:r>
        <w:rPr>
          <w:rFonts w:cs="Times New Roman"/>
          <w:color w:val="auto"/>
          <w:highlight w:val="none"/>
        </w:rPr>
        <w:t>大六角头螺栓、大六角螺母、垫圈技术条件》GB/T 1231</w:t>
      </w:r>
    </w:p>
    <w:p>
      <w:pPr>
        <w:rPr>
          <w:rFonts w:cs="Times New Roman"/>
          <w:color w:val="auto"/>
          <w:highlight w:val="none"/>
        </w:rPr>
      </w:pPr>
      <w:r>
        <w:rPr>
          <w:rFonts w:cs="Times New Roman"/>
          <w:color w:val="auto"/>
          <w:highlight w:val="none"/>
        </w:rPr>
        <w:t>《焊缝无损检测 射线检测 第1部分：X和伽玛射线的胶片技术》GB/T 3323.1</w:t>
      </w:r>
    </w:p>
    <w:p>
      <w:pPr>
        <w:rPr>
          <w:rFonts w:cs="Times New Roman"/>
          <w:color w:val="auto"/>
          <w:highlight w:val="none"/>
        </w:rPr>
      </w:pPr>
      <w:r>
        <w:rPr>
          <w:rFonts w:cs="Times New Roman"/>
          <w:color w:val="auto"/>
          <w:highlight w:val="none"/>
        </w:rPr>
        <w:t>《焊缝无损检测 超声检测 技术、检测等级和评定》GB/T 11345</w:t>
      </w:r>
    </w:p>
    <w:p>
      <w:pPr>
        <w:rPr>
          <w:rFonts w:cs="Times New Roman"/>
          <w:color w:val="auto"/>
          <w:highlight w:val="none"/>
        </w:rPr>
      </w:pPr>
      <w:r>
        <w:rPr>
          <w:rFonts w:cs="Times New Roman"/>
          <w:color w:val="auto"/>
          <w:highlight w:val="none"/>
        </w:rPr>
        <w:t>《无损检测 磁粉检测 第2部分：检测介质》GB/T 15822.2</w:t>
      </w:r>
    </w:p>
    <w:p>
      <w:pPr>
        <w:rPr>
          <w:rFonts w:cs="Times New Roman"/>
          <w:color w:val="auto"/>
          <w:highlight w:val="none"/>
        </w:rPr>
      </w:pPr>
      <w:r>
        <w:rPr>
          <w:rFonts w:cs="Times New Roman"/>
          <w:color w:val="auto"/>
          <w:highlight w:val="none"/>
        </w:rPr>
        <w:t>《无损检测 磁粉检测 第3部分：设备》GB/T 15822.3</w:t>
      </w:r>
    </w:p>
    <w:p>
      <w:pPr>
        <w:rPr>
          <w:rFonts w:cs="Times New Roman"/>
          <w:color w:val="auto"/>
          <w:highlight w:val="none"/>
        </w:rPr>
      </w:pPr>
      <w:r>
        <w:rPr>
          <w:rFonts w:cs="Times New Roman"/>
          <w:color w:val="auto"/>
          <w:highlight w:val="none"/>
        </w:rPr>
        <w:t>《无损检测 渗透检测 第1部分：总则》GB/T 18851.1</w:t>
      </w:r>
    </w:p>
    <w:p>
      <w:pPr>
        <w:rPr>
          <w:rFonts w:cs="Times New Roman"/>
          <w:color w:val="auto"/>
          <w:highlight w:val="none"/>
        </w:rPr>
      </w:pPr>
      <w:r>
        <w:rPr>
          <w:rFonts w:cs="Times New Roman"/>
          <w:color w:val="auto"/>
          <w:highlight w:val="none"/>
        </w:rPr>
        <w:t>《无损检测 渗透检测 第2部分：渗透材料的检验》GB/T 18851.2</w:t>
      </w:r>
    </w:p>
    <w:p>
      <w:pPr>
        <w:rPr>
          <w:rFonts w:cs="Times New Roman"/>
          <w:color w:val="auto"/>
          <w:highlight w:val="none"/>
        </w:rPr>
      </w:pPr>
      <w:r>
        <w:rPr>
          <w:rFonts w:cs="Times New Roman"/>
          <w:color w:val="auto"/>
          <w:highlight w:val="none"/>
        </w:rPr>
        <w:t>《无损检测 渗透检测 第3部分：参考试块》GB/T 18851.3</w:t>
      </w:r>
    </w:p>
    <w:p>
      <w:pPr>
        <w:rPr>
          <w:rFonts w:cs="Times New Roman"/>
          <w:color w:val="auto"/>
          <w:highlight w:val="none"/>
        </w:rPr>
      </w:pPr>
      <w:r>
        <w:rPr>
          <w:rFonts w:cs="Times New Roman"/>
          <w:color w:val="auto"/>
          <w:highlight w:val="none"/>
        </w:rPr>
        <w:t>《无损检测 渗透检测 第4部分：设备》GB/T 18851.4</w:t>
      </w:r>
    </w:p>
    <w:p>
      <w:pPr>
        <w:rPr>
          <w:rFonts w:cs="Times New Roman"/>
          <w:color w:val="auto"/>
          <w:highlight w:val="none"/>
        </w:rPr>
      </w:pPr>
      <w:r>
        <w:rPr>
          <w:rFonts w:cs="Times New Roman"/>
          <w:color w:val="auto"/>
          <w:highlight w:val="none"/>
        </w:rPr>
        <w:t>《无损检测 渗透检测 第5部分：温度高于50℃的渗透检测》GB/T 18851.5</w:t>
      </w:r>
    </w:p>
    <w:p>
      <w:pPr>
        <w:rPr>
          <w:rFonts w:cs="Times New Roman"/>
          <w:color w:val="auto"/>
          <w:highlight w:val="none"/>
        </w:rPr>
      </w:pPr>
      <w:r>
        <w:rPr>
          <w:rFonts w:cs="Times New Roman"/>
          <w:color w:val="auto"/>
          <w:highlight w:val="none"/>
        </w:rPr>
        <w:t>《无损检测 渗透检测 第6部分：温度低于10℃的渗透检测》GB/T 18851.6</w:t>
      </w:r>
    </w:p>
    <w:p>
      <w:pPr>
        <w:rPr>
          <w:rFonts w:cs="Times New Roman"/>
          <w:color w:val="auto"/>
          <w:highlight w:val="none"/>
        </w:rPr>
      </w:pPr>
      <w:r>
        <w:rPr>
          <w:rFonts w:cs="Times New Roman"/>
          <w:color w:val="auto"/>
          <w:highlight w:val="none"/>
        </w:rPr>
        <w:t>《钢的弧焊接头</w:t>
      </w:r>
      <w:r>
        <w:rPr>
          <w:rFonts w:cs="Times New Roman" w:hint="eastAsia"/>
          <w:color w:val="auto"/>
          <w:highlight w:val="none"/>
        </w:rPr>
        <w:t xml:space="preserve"> </w:t>
      </w:r>
      <w:r>
        <w:rPr>
          <w:rFonts w:cs="Times New Roman"/>
          <w:color w:val="auto"/>
          <w:highlight w:val="none"/>
        </w:rPr>
        <w:t>缺陷质量分级指南》GB/T 19418</w:t>
      </w:r>
    </w:p>
    <w:p>
      <w:pPr>
        <w:rPr>
          <w:rFonts w:cs="Times New Roman"/>
          <w:color w:val="auto"/>
          <w:highlight w:val="none"/>
        </w:rPr>
      </w:pPr>
      <w:r>
        <w:rPr>
          <w:rFonts w:cs="Times New Roman"/>
          <w:color w:val="auto"/>
          <w:highlight w:val="none"/>
        </w:rPr>
        <w:t>《焊缝无损检测 磁粉检测》GB/T 26951</w:t>
      </w:r>
    </w:p>
    <w:p>
      <w:pPr>
        <w:rPr>
          <w:rFonts w:cs="Times New Roman"/>
          <w:color w:val="auto"/>
          <w:highlight w:val="none"/>
        </w:rPr>
      </w:pPr>
      <w:r>
        <w:rPr>
          <w:rFonts w:cs="Times New Roman"/>
          <w:color w:val="auto"/>
          <w:highlight w:val="none"/>
        </w:rPr>
        <w:t>《焊缝无损检测 焊缝磁粉检测 验收等级》GB/T 26952</w:t>
      </w:r>
    </w:p>
    <w:p>
      <w:pPr>
        <w:rPr>
          <w:rFonts w:cs="Times New Roman"/>
          <w:color w:val="auto"/>
          <w:highlight w:val="none"/>
        </w:rPr>
      </w:pPr>
      <w:r>
        <w:rPr>
          <w:rFonts w:cs="Times New Roman"/>
          <w:color w:val="auto"/>
          <w:highlight w:val="none"/>
        </w:rPr>
        <w:t>《焊缝无损检测 焊缝渗透检测 验收等级》GB/T 26953</w:t>
      </w:r>
    </w:p>
    <w:p>
      <w:pPr>
        <w:rPr>
          <w:rFonts w:cs="Times New Roman"/>
          <w:color w:val="auto"/>
          <w:highlight w:val="none"/>
        </w:rPr>
      </w:pPr>
      <w:r>
        <w:rPr>
          <w:rFonts w:cs="Times New Roman"/>
          <w:color w:val="auto"/>
          <w:highlight w:val="none"/>
        </w:rPr>
        <w:t>《无损检测仪器 相控阵超声检测系统的性能与检验》GB/T 29302</w:t>
      </w:r>
    </w:p>
    <w:p>
      <w:pPr>
        <w:rPr>
          <w:rFonts w:cs="Times New Roman"/>
          <w:color w:val="auto"/>
          <w:highlight w:val="none"/>
        </w:rPr>
      </w:pPr>
      <w:r>
        <w:rPr>
          <w:rFonts w:cs="Times New Roman"/>
          <w:color w:val="auto"/>
          <w:highlight w:val="none"/>
        </w:rPr>
        <w:t xml:space="preserve">《焊缝无损检测 超声检测 </w:t>
      </w:r>
      <w:r>
        <w:rPr>
          <w:rFonts w:cs="Times New Roman" w:hint="eastAsia"/>
          <w:color w:val="auto"/>
          <w:highlight w:val="none"/>
        </w:rPr>
        <w:t>焊缝内部不连续的特征</w:t>
      </w:r>
      <w:r>
        <w:rPr>
          <w:rFonts w:cs="Times New Roman"/>
          <w:color w:val="auto"/>
          <w:highlight w:val="none"/>
        </w:rPr>
        <w:t>》GB/T 29711</w:t>
      </w:r>
    </w:p>
    <w:p>
      <w:pPr>
        <w:rPr>
          <w:rFonts w:cs="Times New Roman"/>
          <w:color w:val="auto"/>
          <w:highlight w:val="none"/>
        </w:rPr>
      </w:pPr>
      <w:r>
        <w:rPr>
          <w:rFonts w:cs="Times New Roman"/>
          <w:color w:val="auto"/>
          <w:highlight w:val="none"/>
        </w:rPr>
        <w:t>《焊缝无损检测 超声检测 验收等级》GB/T 29712</w:t>
      </w:r>
    </w:p>
    <w:p>
      <w:pPr>
        <w:rPr>
          <w:rFonts w:cs="Times New Roman"/>
          <w:color w:val="auto"/>
          <w:highlight w:val="none"/>
        </w:rPr>
      </w:pPr>
      <w:r>
        <w:rPr>
          <w:rFonts w:cs="Times New Roman"/>
          <w:color w:val="auto"/>
          <w:highlight w:val="none"/>
        </w:rPr>
        <w:t>《无损检测</w:t>
      </w:r>
      <w:r>
        <w:rPr>
          <w:rFonts w:cs="Times New Roman" w:hint="eastAsia"/>
          <w:color w:val="auto"/>
          <w:highlight w:val="none"/>
        </w:rPr>
        <w:t xml:space="preserve"> </w:t>
      </w:r>
      <w:r>
        <w:rPr>
          <w:rFonts w:cs="Times New Roman"/>
          <w:color w:val="auto"/>
          <w:highlight w:val="none"/>
        </w:rPr>
        <w:t>超声检测</w:t>
      </w:r>
      <w:r>
        <w:rPr>
          <w:rFonts w:cs="Times New Roman" w:hint="eastAsia"/>
          <w:color w:val="auto"/>
          <w:highlight w:val="none"/>
        </w:rPr>
        <w:t xml:space="preserve"> </w:t>
      </w:r>
      <w:r>
        <w:rPr>
          <w:rFonts w:cs="Times New Roman"/>
          <w:color w:val="auto"/>
          <w:highlight w:val="none"/>
        </w:rPr>
        <w:t>相控阵超声检测方法》GB/T 32563</w:t>
      </w:r>
    </w:p>
    <w:p>
      <w:pPr>
        <w:rPr>
          <w:rFonts w:cs="Times New Roman"/>
          <w:color w:val="auto"/>
          <w:highlight w:val="none"/>
        </w:rPr>
      </w:pPr>
      <w:r>
        <w:rPr>
          <w:rFonts w:cs="Times New Roman"/>
          <w:color w:val="auto"/>
          <w:highlight w:val="none"/>
        </w:rPr>
        <w:t>《焊缝无损检测 射线检测验收等级 第1部分：钢、镍、钛及其合金》GB/T 37910.1</w:t>
      </w:r>
    </w:p>
    <w:p>
      <w:pPr>
        <w:rPr>
          <w:rFonts w:cs="Times New Roman"/>
          <w:color w:val="auto"/>
          <w:highlight w:val="none"/>
        </w:rPr>
      </w:pPr>
      <w:r>
        <w:rPr>
          <w:rFonts w:cs="Times New Roman"/>
          <w:color w:val="auto"/>
          <w:highlight w:val="none"/>
        </w:rPr>
        <w:t>《公路钢结构桥梁制造和安装施工规范》JTG/T 3651</w:t>
      </w:r>
    </w:p>
    <w:p>
      <w:pPr>
        <w:rPr>
          <w:rFonts w:cs="Times New Roman"/>
          <w:color w:val="auto"/>
          <w:highlight w:val="none"/>
        </w:rPr>
      </w:pPr>
      <w:r>
        <w:rPr>
          <w:rFonts w:cs="Times New Roman"/>
          <w:color w:val="auto"/>
          <w:highlight w:val="none"/>
        </w:rPr>
        <w:t>《扭矩扳子</w:t>
      </w:r>
      <w:r>
        <w:rPr>
          <w:rFonts w:cs="Times New Roman" w:hint="eastAsia"/>
          <w:color w:val="auto"/>
          <w:highlight w:val="none"/>
        </w:rPr>
        <w:t>检定规程</w:t>
      </w:r>
      <w:r>
        <w:rPr>
          <w:rFonts w:cs="Times New Roman"/>
          <w:color w:val="auto"/>
          <w:highlight w:val="none"/>
        </w:rPr>
        <w:t>》JJG 707</w:t>
      </w:r>
      <w:bookmarkStart w:id="585" w:name="_Hlk156645574"/>
      <w:bookmarkStart w:id="586" w:name="_Hlk150170505"/>
      <w:bookmarkStart w:id="587" w:name="_Hlk132625069"/>
    </w:p>
    <w:p>
      <w:pPr>
        <w:rPr>
          <w:rFonts w:cs="Times New Roman"/>
          <w:color w:val="auto"/>
          <w:highlight w:val="none"/>
        </w:rPr>
      </w:pPr>
      <w:bookmarkEnd w:id="585"/>
      <w:bookmarkEnd w:id="586"/>
      <w:bookmarkEnd w:id="587"/>
      <w:r>
        <w:rPr>
          <w:rFonts w:cs="Times New Roman"/>
          <w:color w:val="auto"/>
          <w:highlight w:val="none"/>
        </w:rPr>
        <w:br w:type="page"/>
      </w:r>
    </w:p>
    <w:p>
      <w:pPr>
        <w:ind w:firstLineChars="0" w:firstLine="0"/>
        <w:jc w:val="center"/>
        <w:rPr>
          <w:rFonts w:eastAsia="新宋体" w:cs="Times New Roman"/>
          <w:b/>
          <w:color w:val="auto"/>
          <w:kern w:val="0"/>
          <w:sz w:val="32"/>
          <w:szCs w:val="28"/>
          <w:highlight w:val="none"/>
        </w:rPr>
      </w:pPr>
      <w:r>
        <w:rPr>
          <w:rFonts w:eastAsia="新宋体" w:cs="Times New Roman" w:hint="eastAsia"/>
          <w:b/>
          <w:color w:val="auto"/>
          <w:sz w:val="32"/>
          <w:szCs w:val="28"/>
        </w:rPr>
        <w:t>广东省工程建设标准</w:t>
      </w:r>
    </w:p>
    <w:p>
      <w:pPr>
        <w:ind w:firstLineChars="0" w:firstLine="0"/>
        <w:jc w:val="center"/>
        <w:rPr>
          <w:rFonts w:cs="Times New Roman"/>
          <w:b/>
          <w:color w:val="auto"/>
          <w:kern w:val="0"/>
          <w:sz w:val="40"/>
          <w:szCs w:val="36"/>
          <w:highlight w:val="none"/>
        </w:rPr>
      </w:pPr>
    </w:p>
    <w:p>
      <w:pPr>
        <w:ind w:firstLineChars="0" w:firstLine="0"/>
        <w:jc w:val="center"/>
        <w:rPr>
          <w:rFonts w:cs="Times New Roman"/>
          <w:b/>
          <w:color w:val="auto"/>
          <w:sz w:val="32"/>
          <w:szCs w:val="32"/>
          <w:highlight w:val="none"/>
        </w:rPr>
      </w:pPr>
      <w:r>
        <w:rPr>
          <w:rFonts w:cs="Times New Roman"/>
          <w:b/>
          <w:color w:val="auto"/>
          <w:sz w:val="48"/>
          <w:szCs w:val="48"/>
          <w:highlight w:val="none"/>
        </w:rPr>
        <w:t>装配式桥梁构件连接检测与评定标准</w:t>
      </w:r>
    </w:p>
    <w:p>
      <w:pPr>
        <w:ind w:firstLineChars="0" w:firstLine="0"/>
        <w:jc w:val="center"/>
        <w:rPr>
          <w:rFonts w:cs="Times New Roman"/>
          <w:b/>
          <w:color w:val="auto"/>
          <w:sz w:val="32"/>
          <w:szCs w:val="32"/>
          <w:highlight w:val="none"/>
        </w:rPr>
      </w:pPr>
    </w:p>
    <w:p>
      <w:pPr>
        <w:ind w:firstLineChars="0" w:firstLine="0"/>
        <w:jc w:val="center"/>
        <w:rPr>
          <w:rFonts w:cs="Times New Roman"/>
          <w:b/>
          <w:color w:val="auto"/>
          <w:sz w:val="28"/>
          <w:szCs w:val="28"/>
          <w:highlight w:val="none"/>
        </w:rPr>
      </w:pPr>
      <w:r>
        <w:rPr>
          <w:rFonts w:cs="Times New Roman"/>
          <w:b/>
          <w:color w:val="auto"/>
          <w:sz w:val="28"/>
          <w:szCs w:val="28"/>
          <w:highlight w:val="none"/>
        </w:rPr>
        <w:t>DBJ</w:t>
      </w:r>
      <w:r>
        <w:rPr>
          <w:rFonts w:cs="Times New Roman" w:hint="eastAsia"/>
          <w:b/>
          <w:color w:val="auto"/>
          <w:sz w:val="28"/>
          <w:szCs w:val="28"/>
          <w:highlight w:val="none"/>
        </w:rPr>
        <w:t>/T 15</w:t>
      </w:r>
      <w:r>
        <w:rPr>
          <w:rFonts w:cs="Times New Roman"/>
          <w:b/>
          <w:color w:val="auto"/>
          <w:sz w:val="28"/>
          <w:szCs w:val="28"/>
          <w:highlight w:val="none"/>
        </w:rPr>
        <w:t>-</w:t>
      </w:r>
      <w:r>
        <w:rPr>
          <w:rFonts w:cs="Times New Roman" w:hint="eastAsia"/>
          <w:b/>
          <w:color w:val="auto"/>
          <w:sz w:val="28"/>
          <w:szCs w:val="28"/>
          <w:highlight w:val="none"/>
        </w:rPr>
        <w:t>XX</w:t>
      </w:r>
      <w:r>
        <w:rPr>
          <w:rFonts w:cs="Times New Roman"/>
          <w:b/>
          <w:color w:val="auto"/>
          <w:sz w:val="28"/>
          <w:szCs w:val="28"/>
          <w:highlight w:val="none"/>
        </w:rPr>
        <w:t>-20</w:t>
      </w:r>
      <w:r>
        <w:rPr>
          <w:rFonts w:cs="Times New Roman" w:hint="eastAsia"/>
          <w:b/>
          <w:color w:val="auto"/>
          <w:sz w:val="28"/>
          <w:szCs w:val="28"/>
          <w:highlight w:val="none"/>
        </w:rPr>
        <w:t>XX</w:t>
      </w:r>
    </w:p>
    <w:p>
      <w:pPr>
        <w:ind w:firstLineChars="0" w:firstLine="0"/>
        <w:jc w:val="center"/>
        <w:rPr>
          <w:rFonts w:cs="Times New Roman"/>
          <w:b/>
          <w:color w:val="auto"/>
          <w:sz w:val="32"/>
          <w:szCs w:val="32"/>
          <w:highlight w:val="none"/>
        </w:rPr>
      </w:pPr>
    </w:p>
    <w:p>
      <w:pPr>
        <w:ind w:firstLineChars="0" w:firstLine="0"/>
        <w:jc w:val="center"/>
        <w:rPr>
          <w:rFonts w:cs="Times New Roman"/>
          <w:b/>
          <w:color w:val="auto"/>
          <w:sz w:val="32"/>
          <w:szCs w:val="32"/>
          <w:highlight w:val="none"/>
        </w:rPr>
      </w:pPr>
    </w:p>
    <w:p>
      <w:pPr>
        <w:ind w:firstLineChars="0" w:firstLine="0"/>
        <w:jc w:val="center"/>
        <w:rPr>
          <w:rFonts w:cs="Times New Roman"/>
          <w:b/>
          <w:color w:val="auto"/>
          <w:sz w:val="32"/>
          <w:szCs w:val="32"/>
          <w:highlight w:val="none"/>
        </w:rPr>
      </w:pPr>
    </w:p>
    <w:p>
      <w:pPr>
        <w:ind w:firstLineChars="0" w:firstLine="0"/>
        <w:jc w:val="center"/>
        <w:rPr>
          <w:rFonts w:cs="Times New Roman"/>
          <w:b/>
          <w:color w:val="auto"/>
          <w:sz w:val="32"/>
          <w:szCs w:val="32"/>
          <w:highlight w:val="none"/>
        </w:rPr>
      </w:pPr>
    </w:p>
    <w:p>
      <w:pPr>
        <w:pStyle w:val="1"/>
        <w:jc w:val="distribute"/>
        <w:rPr>
          <w:rFonts w:cs="Times New Roman"/>
          <w:color w:val="auto"/>
          <w:lang w:val="el-GR"/>
          <w:highlight w:val="none"/>
        </w:rPr>
      </w:pPr>
      <w:bookmarkStart w:id="588" w:name="_Toc30834"/>
      <w:bookmarkStart w:id="589" w:name="_Toc34312177"/>
      <w:bookmarkStart w:id="590" w:name="_Toc35004571"/>
      <w:bookmarkStart w:id="591" w:name="_Toc30177626"/>
      <w:bookmarkStart w:id="592" w:name="_Toc12247"/>
      <w:bookmarkStart w:id="593" w:name="_Toc38546220"/>
      <w:bookmarkStart w:id="594" w:name="_Toc14077"/>
      <w:bookmarkStart w:id="595" w:name="_Toc29790"/>
      <w:bookmarkStart w:id="596" w:name="_Toc35004238"/>
      <w:bookmarkStart w:id="597" w:name="_Toc190208818"/>
      <w:bookmarkStart w:id="598" w:name="_Toc16728"/>
      <w:r>
        <w:rPr>
          <w:rFonts w:cs="Times New Roman"/>
          <w:color w:val="auto"/>
          <w:lang w:val="el-GR"/>
          <w:highlight w:val="none"/>
        </w:rPr>
        <w:t>条文说明</w:t>
      </w:r>
      <w:bookmarkEnd w:id="588"/>
      <w:bookmarkEnd w:id="589"/>
      <w:bookmarkEnd w:id="590"/>
      <w:bookmarkEnd w:id="591"/>
      <w:bookmarkEnd w:id="592"/>
      <w:bookmarkEnd w:id="593"/>
      <w:bookmarkEnd w:id="594"/>
      <w:bookmarkEnd w:id="595"/>
      <w:bookmarkEnd w:id="596"/>
      <w:bookmarkEnd w:id="597"/>
      <w:bookmarkEnd w:id="598"/>
    </w:p>
    <w:p>
      <w:pPr>
        <w:rPr>
          <w:rFonts w:cs="Times New Roman"/>
          <w:color w:val="auto"/>
          <w:lang w:val="el-GR"/>
          <w:highlight w:val="none"/>
        </w:rPr>
      </w:pPr>
    </w:p>
    <w:p>
      <w:pPr>
        <w:pStyle w:val="38"/>
        <w:ind w:firstLineChars="0" w:firstLine="0"/>
        <w:jc w:val="center"/>
        <w:rPr>
          <w:rFonts w:eastAsia="宋体" w:cs="Times New Roman" w:hint="eastAsia"/>
          <w:b/>
          <w:bCs/>
          <w:color w:val="auto"/>
          <w:lang w:eastAsia="zh-CN"/>
          <w:highlight w:val="none"/>
        </w:rPr>
      </w:pPr>
      <w:r>
        <w:rPr>
          <w:rFonts w:cs="Times New Roman" w:hint="eastAsia"/>
          <w:b/>
          <w:bCs/>
          <w:color w:val="auto"/>
          <w:lang w:eastAsia="zh-CN"/>
          <w:highlight w:val="none"/>
        </w:rPr>
        <w:t>（</w:t>
      </w:r>
      <w:r>
        <w:rPr>
          <w:rFonts w:cs="Times New Roman" w:hint="eastAsia"/>
          <w:b/>
          <w:bCs/>
          <w:color w:val="auto"/>
          <w:lang w:val="en-US" w:eastAsia="zh-CN"/>
          <w:highlight w:val="none"/>
        </w:rPr>
        <w:t>注：条文说明暂放至前边正文中，待形成报批稿之后再拆分</w:t>
      </w:r>
      <w:r>
        <w:rPr>
          <w:rFonts w:cs="Times New Roman" w:hint="eastAsia"/>
          <w:b/>
          <w:bCs/>
          <w:color w:val="auto"/>
          <w:lang w:eastAsia="zh-CN"/>
          <w:highlight w:val="none"/>
        </w:rPr>
        <w:t>）</w:t>
      </w:r>
    </w:p>
    <w:p>
      <w:pPr>
        <w:widowControl/>
        <w:spacing w:line="240" w:lineRule="auto"/>
        <w:ind w:firstLineChars="0" w:firstLine="0"/>
        <w:jc w:val="left"/>
        <w:textAlignment w:val="auto"/>
        <w:rPr>
          <w:rFonts w:cs="Times New Roman"/>
          <w:color w:val="auto"/>
          <w:highlight w:val="none"/>
        </w:rPr>
      </w:pPr>
      <w:r>
        <w:rPr>
          <w:rFonts w:cs="Times New Roman"/>
          <w:color w:val="auto"/>
          <w:highlight w:val="none"/>
        </w:rPr>
        <w:br w:type="page"/>
      </w:r>
    </w:p>
    <w:p>
      <w:pPr>
        <w:snapToGrid w:val="0"/>
        <w:ind w:firstLineChars="0" w:firstLine="0"/>
        <w:rPr>
          <w:rFonts w:cs="Times New Roman"/>
          <w:color w:val="auto"/>
          <w:highlight w:val="none"/>
        </w:rPr>
      </w:pPr>
      <w:bookmarkStart w:id="599" w:name="_Hlk113219651"/>
      <w:bookmarkStart w:id="600" w:name="_Hlk128950348"/>
    </w:p>
    <w:p>
      <w:pPr>
        <w:snapToGrid w:val="0"/>
        <w:ind w:firstLineChars="0" w:firstLine="0"/>
        <w:jc w:val="center"/>
        <w:rPr>
          <w:rFonts w:cs="Times New Roman"/>
          <w:b/>
          <w:color w:val="auto"/>
          <w:sz w:val="32"/>
          <w:highlight w:val="none"/>
        </w:rPr>
      </w:pPr>
      <w:bookmarkStart w:id="601" w:name="_Hlk107239011"/>
      <w:r>
        <w:rPr>
          <w:rFonts w:cs="Times New Roman" w:hint="eastAsia"/>
          <w:b/>
          <w:color w:val="auto"/>
          <w:sz w:val="32"/>
          <w:highlight w:val="none"/>
        </w:rPr>
        <w:t>制定说明</w:t>
      </w:r>
    </w:p>
    <w:p>
      <w:pPr>
        <w:snapToGrid w:val="0"/>
        <w:ind w:firstLineChars="0" w:firstLine="0"/>
        <w:rPr>
          <w:rFonts w:cs="Times New Roman"/>
          <w:color w:val="auto"/>
          <w:highlight w:val="none"/>
        </w:rPr>
      </w:pPr>
    </w:p>
    <w:p>
      <w:pPr>
        <w:snapToGrid w:val="0"/>
        <w:rPr>
          <w:rFonts w:cs="Times New Roman"/>
          <w:color w:val="auto"/>
          <w:highlight w:val="none"/>
        </w:rPr>
      </w:pPr>
      <w:bookmarkStart w:id="602" w:name="_Hlk160302649"/>
      <w:r>
        <w:rPr>
          <w:rFonts w:cs="Times New Roman" w:hint="eastAsia"/>
          <w:color w:val="auto"/>
          <w:highlight w:val="none"/>
        </w:rPr>
        <w:t>本标准制定过程中，编制组针对装配式桥梁工程构件连接检测与评定技术进行了广泛深入的调查研究，总结了我国构件连接检测领域的实践经验，同时参考了国外先进技术法规、技术标准，通过大量试验与实际应用验证，取得了工程构件连接检测的设备、检测方法以及评定等方面的重要技术参数指标。</w:t>
      </w:r>
    </w:p>
    <w:p>
      <w:pPr>
        <w:snapToGrid w:val="0"/>
        <w:rPr>
          <w:rFonts w:cs="Times New Roman"/>
          <w:color w:val="auto"/>
          <w:highlight w:val="none"/>
        </w:rPr>
      </w:pPr>
      <w:r>
        <w:rPr>
          <w:rFonts w:cs="Times New Roman" w:hint="eastAsia"/>
          <w:color w:val="auto"/>
          <w:highlight w:val="none"/>
        </w:rPr>
        <w:t>为便于广大技术和管理人员在使用本标准时能正确理解和执行条文规定，编制组按章、节、条顺序编制了本标准的条文说明。对条文规定的目的、依据以及执行中需注意的有关事项等进行了说明。</w:t>
      </w:r>
    </w:p>
    <w:p>
      <w:pPr>
        <w:snapToGrid w:val="0"/>
        <w:rPr>
          <w:rFonts w:cs="Times New Roman"/>
          <w:color w:val="auto"/>
          <w:shd w:val="clear" w:color="FFFFFF" w:fill="D9D9D9"/>
          <w:highlight w:val="none"/>
        </w:rPr>
      </w:pPr>
      <w:r>
        <w:rPr>
          <w:rFonts w:cs="Times New Roman" w:hint="eastAsia"/>
          <w:color w:val="auto"/>
          <w:highlight w:val="none"/>
        </w:rPr>
        <w:t>本条文说明不具备与标准正文及附录同等的法律效力，仅供使用者作为理解和把握条文规定的参考。</w:t>
      </w:r>
      <w:bookmarkEnd w:id="599"/>
      <w:bookmarkEnd w:id="600"/>
      <w:bookmarkEnd w:id="601"/>
      <w:bookmarkEnd w:id="602"/>
    </w:p>
    <w:p>
      <w:pPr>
        <w:pStyle w:val="89"/>
        <w:autoSpaceDE w:val="0"/>
        <w:autoSpaceDN w:val="0"/>
        <w:jc w:val="center"/>
        <w:textAlignment w:val="auto"/>
        <w:rPr>
          <w:rFonts w:cs="Times New Roman"/>
          <w:color w:val="auto"/>
          <w:shd w:val="clear" w:color="FFFFFF" w:fill="D9D9D9"/>
          <w:highlight w:val="none"/>
        </w:rPr>
      </w:pPr>
    </w:p>
    <w:p>
      <w:pPr>
        <w:rPr>
          <w:color w:val="auto"/>
          <w:highlight w:val="none"/>
        </w:rPr>
      </w:pPr>
    </w:p>
    <w:p>
      <w:pPr>
        <w:rPr>
          <w:color w:val="auto"/>
          <w:highlight w:val="none"/>
        </w:rPr>
      </w:pPr>
    </w:p>
    <w:sectPr>
      <w:headerReference w:type="default" r:id="rId137"/>
      <w:footerReference w:type="default" r:id="rId138"/>
      <w:pgSz w:w="11906" w:h="16838"/>
      <w:pgMar w:top="1440" w:right="1274" w:bottom="1440" w:left="1560" w:header="851" w:footer="992" w:gutter="0"/>
      <w:pgBorders>
        <w:top w:val="none" w:sz="0" w:space="0" w:color="auto"/>
        <w:left w:val="none" w:sz="0" w:space="0" w:color="auto"/>
        <w:bottom w:val="none" w:sz="0" w:space="0" w:color="auto"/>
        <w:right w:val="none" w:sz="0" w:space="0" w:color="auto"/>
      </w:pgBorders>
      <w:cols w:num="1" w:space="425"/>
      <w:docGrid w:type="lines" w:linePitch="312" w:charSpace="0"/>
    </w:sectPr>
  </w:body>
</w:document>
</file>

<file path=word/fontTable.xml><?xml version="1.0" encoding="utf-8"?>
<w:fonts xmlns:w="http://schemas.openxmlformats.org/wordprocessingml/2006/main" xmlns:r="http://schemas.openxmlformats.org/officeDocument/2006/relationships">
  <w:font w:name="Times New Roman">
    <w:panose1 w:val="02020603050405020304"/>
    <w:charset w:val="CC"/>
    <w:family w:val="roman"/>
    <w:pitch w:val="variable"/>
    <w:sig w:usb0="E0002EFF" w:usb1="C000785B" w:usb2="00000009" w:usb3="00000000" w:csb0="400001FF" w:csb1="FFFF0000"/>
  </w:font>
  <w:font w:name="黑体">
    <w:panose1 w:val="02010609060101010101"/>
    <w:charset w:val="86"/>
    <w:family w:val="auto"/>
    <w:pitch w:val="variable"/>
    <w:sig w:usb0="800002BF" w:usb1="38CF7CFA" w:usb2="00000016" w:usb3="00000000" w:csb0="00040001" w:csb1="00000000"/>
  </w:font>
  <w:font w:name="MS Gothic">
    <w:altName w:val="楷体_GB2312"/>
    <w:panose1 w:val="020B0609070205080204"/>
    <w:charset w:val="80"/>
    <w:family w:val="modern"/>
    <w:pitch w:val="variable"/>
    <w:sig w:usb0="E00002FF" w:usb1="6AC7FDFB" w:usb2="08000012" w:usb3="00000000" w:csb0="4002009F" w:csb1="DFD70000"/>
  </w:font>
  <w:font w:name="宋体">
    <w:panose1 w:val="02010600030101010101"/>
    <w:charset w:val="50"/>
    <w:family w:val="auto"/>
    <w:pitch w:val="variable"/>
    <w:sig w:usb0="00000203" w:usb1="288F0000" w:usb2="00000006" w:usb3="00000000" w:csb0="00040001" w:csb1="00000000"/>
  </w:font>
  <w:font w:name="仿宋">
    <w:panose1 w:val="02010609060101010101"/>
    <w:charset w:val="86"/>
    <w:family w:val="modern"/>
    <w:pitch w:val="variable"/>
    <w:sig w:usb0="800002BF" w:usb1="38CF7CFA" w:usb2="00000016" w:usb3="00000000" w:csb0="00040001" w:csb1="00000000"/>
  </w:font>
  <w:font w:name="Cambria Math">
    <w:altName w:val="DejaVu Sans"/>
    <w:panose1 w:val="02040503050406030204"/>
    <w:charset w:val="00"/>
    <w:family w:val="roman"/>
    <w:pitch w:val="variable"/>
    <w:sig w:usb0="E00006FF" w:usb1="420024FF" w:usb2="02000000" w:usb3="00000000" w:csb0="2000019F" w:csb1="00000000"/>
  </w:font>
  <w:font w:name="Calibri">
    <w:altName w:val="Times New Roman"/>
    <w:panose1 w:val="020F0502020204030204"/>
    <w:charset w:val="00"/>
    <w:family w:val="swiss"/>
    <w:pitch w:val="variable"/>
    <w:sig w:usb0="E4002EFF" w:usb1="C200247B" w:usb2="00000009" w:usb3="00000000" w:csb0="200001FF" w:csb1="00000000"/>
  </w:font>
  <w:font w:name="仿宋_GB2312">
    <w:altName w:val="仿宋"/>
    <w:panose1 w:val="00000000000000000000"/>
    <w:charset w:val="86"/>
    <w:family w:val="modern"/>
    <w:pitch w:val="variable"/>
    <w:sig w:usb0="00000000" w:usb1="00000000" w:usb2="00000010" w:usb3="00000000" w:csb0="00040000" w:csb1="00000000"/>
  </w:font>
  <w:font w:name="楷体">
    <w:panose1 w:val="02010609060101010101"/>
    <w:charset w:val="86"/>
    <w:family w:val="modern"/>
    <w:pitch w:val="variable"/>
    <w:sig w:usb0="800002BF" w:usb1="38CF7CFA" w:usb2="00000016" w:usb3="00000000" w:csb0="00040001" w:csb1="00000000"/>
  </w:font>
  <w:font w:name="新宋体">
    <w:panose1 w:val="02010609030101010101"/>
    <w:charset w:val="86"/>
    <w:family w:val="modern"/>
    <w:pitch w:val="variable"/>
    <w:sig w:usb0="00000203" w:usb1="288F0000" w:usb2="00000006" w:usb3="00000000" w:csb0="00040001" w:csb1="00000000"/>
  </w:font>
  <w:font w:name="Lucida Sans">
    <w:altName w:val="DejaVu Sans"/>
    <w:panose1 w:val="020B0602030504020204"/>
    <w:charset w:val="00"/>
    <w:family w:val="auto"/>
    <w:pitch w:val="variable"/>
    <w:sig w:usb0="00000003" w:usb1="00000000" w:usb2="00000000" w:usb3="00000000" w:csb0="20000001" w:csb1="00000000"/>
  </w:font>
  <w:font w:name="Arial">
    <w:altName w:val="DejaVu Sans"/>
    <w:panose1 w:val="020B0604020202020204"/>
    <w:charset w:val="01"/>
    <w:family w:val="swiss"/>
    <w:pitch w:val="variable"/>
    <w:sig w:usb0="E0002EFF" w:usb1="C000785B" w:usb2="00000009" w:usb3="00000000" w:csb0="400001FF" w:csb1="FFFF0000"/>
  </w:font>
  <w:font w:name="Cambria">
    <w:altName w:val="DejaVu Sans"/>
    <w:panose1 w:val="02040503050406030204"/>
    <w:charset w:val="00"/>
    <w:family w:val="roman"/>
    <w:pitch w:val="variable"/>
    <w:sig w:usb0="E00006FF" w:usb1="420024FF" w:usb2="02000000" w:usb3="00000000" w:csb0="2000019F" w:csb1="00000000"/>
  </w:font>
  <w:font w:name="方正兰亭黑_GBK">
    <w:panose1 w:val="02000000000000000000"/>
    <w:charset w:val="86"/>
    <w:family w:val="script"/>
    <w:pitch w:val="variable"/>
    <w:sig w:usb0="A00002BF" w:usb1="3ACF7CFA" w:usb2="00080016" w:usb3="00000000" w:csb0="00040001" w:csb1="00000000"/>
  </w:font>
  <w:font w:name="Courier New">
    <w:altName w:val="DejaVu Sans"/>
    <w:panose1 w:val="02070309020205020404"/>
    <w:charset w:val="01"/>
    <w:family w:val="modern"/>
    <w:pitch w:val="variable"/>
    <w:sig w:usb0="E0002EFF" w:usb1="C0007843" w:usb2="00000009" w:usb3="00000000" w:csb0="400001FF" w:csb1="FFFF0000"/>
  </w:font>
  <w:font w:name="Verdana">
    <w:altName w:val="DejaVu Sans"/>
    <w:panose1 w:val="020B0604030504040204"/>
    <w:charset w:val="00"/>
    <w:family w:val="swiss"/>
    <w:pitch w:val="variable"/>
    <w:sig w:usb0="A00006FF" w:usb1="4000205B" w:usb2="00000010" w:usb3="00000000" w:csb0="2000019F" w:csb1="00000000"/>
  </w:font>
  <w:font w:name="Calibri Light">
    <w:altName w:val="DejaVu Sans"/>
    <w:panose1 w:val="020F0302020204030204"/>
    <w:charset w:val="00"/>
    <w:family w:val="swiss"/>
    <w:pitch w:val="variable"/>
    <w:sig w:usb0="E4002EFF" w:usb1="C200247B" w:usb2="00000009" w:usb3="00000000" w:csb0="200001FF" w:csb1="00000000"/>
  </w:font>
  <w:font w:name="font-weight : 400">
    <w:altName w:val="Times New Roman"/>
    <w:panose1 w:val="00000000000000000000"/>
    <w:charset w:val="00"/>
    <w:family w:val="auto"/>
    <w:pitch w:val="variable"/>
    <w:sig w:usb0="00000000" w:usb1="00000000" w:usb2="00000000" w:usb3="00000000" w:csb0="00000000"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sdt>
    <w:sdtPr>
      <w:id w:val="931458804"/>
    </w:sdtPr>
    <w:sdtContent>
      <w:p>
        <w:pPr>
          <w:pStyle w:val="27"/>
          <w:tabs>
            <w:tab w:val="center" w:pos="4153"/>
            <w:tab w:val="right" w:pos="8306"/>
          </w:tabs>
          <w:jc w:val="center"/>
        </w:pPr>
        <w:r>
          <w:fldChar w:fldCharType="begin"/>
        </w:r>
        <w:r>
          <w:instrText>PAGE   \* MERGEFORMAT</w:instrText>
        </w:r>
        <w:r>
          <w:fldChar w:fldCharType="separate"/>
        </w:r>
        <w:r>
          <w:rPr>
            <w:lang w:val="zh-CN"/>
          </w:rPr>
          <w:t>2</w:t>
        </w:r>
        <w:r>
          <w:fldChar w:fldCharType="end"/>
        </w:r>
      </w:p>
    </w:sdtContent>
  </w:sdt>
</w:ftr>
</file>

<file path=word/footer2.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27"/>
      <w:tabs>
        <w:tab w:val="center" w:pos="4153"/>
        <w:tab w:val="right" w:pos="8306"/>
      </w:tabs>
      <w:spacing w:before="120" w:after="120"/>
    </w:pPr>
    <w:r>
      <mc:AlternateContent>
        <mc:Choice Requires="wps">
          <w:drawing>
            <wp:anchor distT="0" distB="0" distL="114300" distR="114300" simplePos="0" relativeHeight="249" behindDoc="0" locked="0" layoutInCell="1" hidden="0" allowOverlap="1">
              <wp:simplePos x="0" y="0"/>
              <wp:positionH relativeFrom="margin">
                <wp:align>center</wp:align>
              </wp:positionH>
              <wp:positionV relativeFrom="paragraph">
                <wp:posOffset>0</wp:posOffset>
              </wp:positionV>
              <wp:extent cx="1828800" cy="1828800"/>
              <wp:wrapNone/>
              <wp:docPr id="3" name="文本框 3"/>
              <wp:cNvGraphicFramePr>
                <a:graphicFrameLocks noChangeAspect="0"/>
              </wp:cNvGraphicFramePr>
              <a:graphic>
                <a:graphicData uri="http://schemas.microsoft.com/office/word/2010/wordprocessingShape">
                  <wps:wsp>
                    <wps:cNvSpPr/>
                    <wps:spPr>
                      <a:xfrm rot="0">
                        <a:off x="0" y="0"/>
                        <a:ext cx="1828800" cy="1828800"/>
                      </a:xfrm>
                      <a:prstGeom prst="rect"/>
                      <a:noFill/>
                      <a:ln w="6350" cmpd="sng" cap="flat">
                        <a:noFill/>
                        <a:prstDash val="solid"/>
                        <a:round/>
                      </a:ln>
                    </wps:spPr>
                    <wps:txbx id="3">
                      <w:txbxContent>
                        <w:p>
                          <w:pPr>
                            <w:pStyle w:val="27"/>
                            <w:tabs>
                              <w:tab w:val="center" w:pos="4153"/>
                              <w:tab w:val="right" w:pos="8306"/>
                            </w:tabs>
                          </w:pPr>
                          <w:r>
                            <w:rPr>
                              <w:rFonts w:hint="eastAsia"/>
                            </w:rPr>
                            <w:fldChar w:fldCharType="begin"/>
                          </w:r>
                          <w:r>
                            <w:rPr>
                              <w:rFonts w:hint="eastAsia"/>
                            </w:rPr>
                            <w:instrText xml:space="preserve"> PAGE  \* MERGEFORMAT </w:instrText>
                          </w:r>
                          <w:r>
                            <w:rPr>
                              <w:rFonts w:hint="eastAsia"/>
                            </w:rPr>
                            <w:fldChar w:fldCharType="separate"/>
                          </w:r>
                          <w:r>
                            <w:t>8</w:t>
                          </w:r>
                          <w:r>
                            <w:rPr>
                              <w:rFonts w:hint="eastAsia"/>
                            </w:rPr>
                            <w:fldChar w:fldCharType="end"/>
                          </w:r>
                        </w:p>
                      </w:txbxContent>
                    </wps:txbx>
                    <wps:bodyPr vert="horz" wrap="none" lIns="0" tIns="0" rIns="0" bIns="0" anchor="t" anchorCtr="0" upright="0">
                      <a:spAutoFit/>
                    </wps:bodyPr>
                  </wps:wsp>
                </a:graphicData>
              </a:graphic>
            </wp:anchor>
          </w:drawing>
        </mc:Choice>
        <mc:Fallback>
          <w:pict>
            <v:rect type="#_x0000_t1" id="文本框 3" o:spid="_x0000_s4" filled="f" stroked="f" strokeweight="0.5pt" style="position:absolute;margin-left:0.0pt;margin-top:0.0pt;width:144.0pt;height:144.0pt;z-index:249;mso-position-horizontal:center;mso-position-horizontal-relative:margin;mso-position-vertical:absolute;mso-wrap-style:none;">
              <v:stroke/>
              <v:textbox id="977" inset="0mm,0mm,0mm,0mm" o:insetmode="custom" style="layout-flow:horizontal;v-text-anchor:top;mso-fit-shape-to-text:t;">
                <w:txbxContent>
                  <w:p>
                    <w:pPr>
                      <w:pStyle w:val="27"/>
                      <w:tabs>
                        <w:tab w:val="center" w:pos="4153"/>
                        <w:tab w:val="right" w:pos="8306"/>
                      </w:tabs>
                    </w:pPr>
                    <w:r>
                      <w:rPr>
                        <w:rFonts w:hint="eastAsia"/>
                      </w:rPr>
                      <w:fldChar w:fldCharType="begin"/>
                    </w:r>
                    <w:r>
                      <w:rPr>
                        <w:rFonts w:hint="eastAsia"/>
                      </w:rPr>
                      <w:instrText xml:space="preserve"> PAGE  \* MERGEFORMAT </w:instrText>
                    </w:r>
                    <w:r>
                      <w:rPr>
                        <w:rFonts w:hint="eastAsia"/>
                      </w:rPr>
                      <w:fldChar w:fldCharType="separate"/>
                    </w:r>
                    <w:r>
                      <w:t>8</w:t>
                    </w:r>
                    <w:r>
                      <w:rPr>
                        <w:rFonts w:hint="eastAsia"/>
                      </w:rPr>
                      <w:fldChar w:fldCharType="end"/>
                    </w:r>
                  </w:p>
                </w:txbxContent>
              </v:textbox>
            </v:rect>
          </w:pict>
        </mc:Fallback>
      </mc:AlternateContent>
    </w:r>
  </w:p>
</w:ftr>
</file>

<file path=word/footer3.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sdt>
    <w:sdtPr>
      <w:id w:val="288954852"/>
    </w:sdtPr>
    <w:sdtContent>
      <w:p>
        <w:pPr>
          <w:pStyle w:val="27"/>
          <w:tabs>
            <w:tab w:val="center" w:pos="4153"/>
            <w:tab w:val="right" w:pos="8306"/>
          </w:tabs>
          <w:jc w:val="center"/>
        </w:pPr>
        <w:r>
          <w:fldChar w:fldCharType="begin"/>
        </w:r>
        <w:r>
          <w:instrText>PAGE   \* MERGEFORMAT</w:instrText>
        </w:r>
        <w:r>
          <w:fldChar w:fldCharType="separate"/>
        </w:r>
        <w:r>
          <w:rPr>
            <w:lang w:val="zh-CN"/>
          </w:rPr>
          <w:t>2</w:t>
        </w:r>
        <w:r>
          <w:fldChar w:fldCharType="end"/>
        </w:r>
      </w:p>
    </w:sdtContent>
  </w:sdt>
</w:ftr>
</file>

<file path=word/footer4.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sdt>
    <w:sdtPr>
      <w:id w:val="1358849341"/>
    </w:sdtPr>
    <w:sdtContent>
      <w:p>
        <w:pPr>
          <w:pStyle w:val="27"/>
          <w:tabs>
            <w:tab w:val="center" w:pos="4153"/>
            <w:tab w:val="right" w:pos="8306"/>
          </w:tabs>
          <w:jc w:val="center"/>
        </w:pPr>
        <w:r>
          <w:fldChar w:fldCharType="begin"/>
        </w:r>
        <w:r>
          <w:instrText>PAGE   \* MERGEFORMAT</w:instrText>
        </w:r>
        <w:r>
          <w:fldChar w:fldCharType="separate"/>
        </w:r>
        <w:r>
          <w:rPr>
            <w:lang w:val="zh-CN"/>
          </w:rPr>
          <w:t>2</w:t>
        </w:r>
        <w:r>
          <w:fldChar w:fldCharType="end"/>
        </w:r>
      </w:p>
    </w:sdtContent>
  </w:sdt>
</w:ftr>
</file>

<file path=word/header1.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28"/>
      <w:tabs>
        <w:tab w:val="center" w:pos="4153"/>
        <w:tab w:val="right" w:pos="8306"/>
      </w:tabs>
    </w:pPr>
    <w:r>
      <w:pict>
        <v:shape type="#_x0000_t136" id="PowerPlusWaterMarkObject1" o:spid="_x0000_s1" fillcolor="#C0C0C0" stroked="f" strokecolor="#000000" adj="10800" o:allowincell="f" style="position:absolute;margin-left:0.0pt;margin-top:0.0pt;width:622.7pt;height:56.6pt;rotation:315.0;z-index:-85;mso-position-horizontal:center;mso-position-horizontal-relative:margin;mso-position-vertical:center;mso-position-vertical-relative:margin;">
          <v:fill opacity="32768f"/>
          <v:stroke color="#000000"/>
          <v:textpath style="font-family:&quot;黑体&quot;;font-size:1pt;" trim="t" fitpath="t" string="广州市市政集团有限公司"/>
        </v:shape>
      </w:pict>
    </w:r>
  </w:p>
</w:hdr>
</file>

<file path=word/header2.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28"/>
      <w:tabs>
        <w:tab w:val="center" w:pos="4153"/>
        <w:tab w:val="right" w:pos="8306"/>
      </w:tabs>
    </w:pPr>
    <w:r>
      <w:pict>
        <v:shape type="#_x0000_t136" id="PowerPlusWaterMarkObject2" o:spid="_x0000_s2" fillcolor="#C0C0C0" stroked="f" strokecolor="#000000" adj="10800" o:allowincell="f" style="position:absolute;margin-left:0.0pt;margin-top:0.0pt;width:622.7pt;height:56.6pt;rotation:315.0;z-index:-86;mso-position-horizontal:center;mso-position-horizontal-relative:margin;mso-position-vertical:center;mso-position-vertical-relative:margin;">
          <v:fill opacity="32768f"/>
          <v:stroke color="#000000"/>
          <v:textpath style="font-family:&quot;黑体&quot;;font-size:1pt;" trim="t" fitpath="t" string="广州市市政集团有限公司"/>
        </v:shape>
      </w:pict>
    </w:r>
  </w:p>
</w:hdr>
</file>

<file path=word/header3.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28"/>
      <w:tabs>
        <w:tab w:val="center" w:pos="4153"/>
        <w:tab w:val="right" w:pos="8306"/>
      </w:tabs>
    </w:pPr>
  </w:p>
</w:hdr>
</file>

<file path=word/header4.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28"/>
      <w:tabs>
        <w:tab w:val="center" w:pos="4153"/>
        <w:tab w:val="right" w:pos="8306"/>
      </w:tabs>
      <w:ind w:firstLineChars="0" w:firstLine="0"/>
      <w:jc w:val="left"/>
    </w:pPr>
  </w:p>
</w:hd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nsid w:val="03FF17E9"/>
    <w:multiLevelType w:val="multilevel"/>
    <w:tmpl w:val="03FF17E9"/>
    <w:lvl w:ilvl="0">
      <w:start w:val="1"/>
      <w:numFmt w:val="decimal"/>
      <w:lvlRestart w:val="0"/>
      <w:lvlText w:val="%1"/>
      <w:lvlJc w:val="left"/>
      <w:pPr>
        <w:ind w:left="432" w:hanging="432"/>
      </w:pPr>
      <w:rPr>
        <w:rFonts w:ascii="宋体" w:hAnsi="宋体" w:eastAsia="宋体" w:cs="宋体" w:hint="default"/>
      </w:rPr>
    </w:lvl>
    <w:lvl w:ilvl="1">
      <w:start w:val="1"/>
      <w:numFmt w:val="decimal"/>
      <w:lvlText w:val="%1.%2"/>
      <w:lvlJc w:val="left"/>
      <w:pPr>
        <w:tabs>
          <w:tab w:val="num" w:pos="567"/>
        </w:tabs>
        <w:ind w:left="0" w:hanging="0"/>
      </w:pPr>
      <w:rPr>
        <w:rFonts w:ascii="宋体" w:hAnsi="宋体" w:eastAsia="宋体" w:cs="宋体" w:hint="default"/>
        <w:b/>
        <w:bCs w:val="0"/>
        <w:i w:val="0"/>
        <w:iCs w:val="0"/>
        <w:caps w:val="0"/>
        <w:smallCaps w:val="0"/>
        <w:strike w:val="0"/>
        <w:dstrike w:val="0"/>
        <w:vanish w:val="0"/>
        <w:color w:val="000000"/>
        <w:spacing w:val="0"/>
        <w:position w:val="0"/>
        <w:u w:val="none"/>
        <w:vertAlign w:val="baseline"/>
      </w:rPr>
    </w:lvl>
    <w:lvl w:ilvl="2">
      <w:start w:val="1"/>
      <w:numFmt w:val="decimal"/>
      <w:lvlText w:val="%1.%2.%3"/>
      <w:lvlJc w:val="left"/>
      <w:pPr>
        <w:tabs>
          <w:tab w:val="num" w:pos="1560"/>
        </w:tabs>
        <w:ind w:left="993" w:hanging="0"/>
      </w:pPr>
      <w:rPr>
        <w:rFonts w:ascii="宋体" w:hAnsi="宋体" w:eastAsia="宋体" w:cs="宋体" w:hint="default"/>
        <w:b/>
        <w:bCs w:val="0"/>
        <w:i w:val="0"/>
        <w:iCs w:val="0"/>
        <w:caps w:val="0"/>
        <w:smallCaps w:val="0"/>
        <w:strike w:val="0"/>
        <w:dstrike w:val="0"/>
        <w:vanish w:val="0"/>
        <w:color w:val="auto"/>
        <w:spacing w:val="0"/>
        <w:position w:val="0"/>
        <w:sz w:val="24"/>
        <w:szCs w:val="24"/>
        <w:u w:val="none"/>
        <w:vertAlign w:val="baseline"/>
      </w:rPr>
    </w:lvl>
    <w:lvl w:ilvl="3">
      <w:start w:val="1"/>
      <w:numFmt w:val="decimal"/>
      <w:lvlText w:val="%1.%2.%3.%4"/>
      <w:lvlJc w:val="left"/>
      <w:pPr>
        <w:ind w:left="864" w:hanging="864"/>
      </w:pPr>
      <w:rPr>
        <w:rFonts w:hint="eastAsia"/>
        <w:b/>
        <w:sz w:val="28"/>
        <w:szCs w:val="28"/>
      </w:rPr>
    </w:lvl>
    <w:lvl w:ilvl="4">
      <w:start w:val="1"/>
      <w:numFmt w:val="decimal"/>
      <w:pStyle w:val="5"/>
      <w:lvlText w:val="%1.%2.%3.%4.%5"/>
      <w:lvlJc w:val="left"/>
      <w:pPr>
        <w:ind w:left="1008" w:hanging="1008"/>
      </w:pPr>
      <w:rPr>
        <w:rFonts w:hint="eastAsia"/>
      </w:rPr>
    </w:lvl>
    <w:lvl w:ilvl="5">
      <w:start w:val="1"/>
      <w:numFmt w:val="decimal"/>
      <w:pStyle w:val="6"/>
      <w:lvlText w:val="%1.%2.%3.%4.%5.%6"/>
      <w:lvlJc w:val="left"/>
      <w:pPr>
        <w:ind w:left="1152" w:hanging="1152"/>
      </w:pPr>
      <w:rPr>
        <w:rFonts w:hint="eastAsia"/>
      </w:rPr>
    </w:lvl>
    <w:lvl w:ilvl="6">
      <w:start w:val="1"/>
      <w:numFmt w:val="decimal"/>
      <w:pStyle w:val="7"/>
      <w:lvlText w:val="%1.%2.%3.%4.%5.%6.%7"/>
      <w:lvlJc w:val="left"/>
      <w:pPr>
        <w:ind w:left="1296" w:hanging="1296"/>
      </w:pPr>
      <w:rPr>
        <w:rFonts w:hint="eastAsia"/>
      </w:rPr>
    </w:lvl>
    <w:lvl w:ilvl="7">
      <w:start w:val="1"/>
      <w:numFmt w:val="decimal"/>
      <w:pStyle w:val="8"/>
      <w:lvlText w:val="%1.%2.%3.%4.%5.%6.%7.%8"/>
      <w:lvlJc w:val="left"/>
      <w:pPr>
        <w:ind w:left="1440" w:hanging="1440"/>
      </w:pPr>
      <w:rPr>
        <w:rFonts w:hint="eastAsia"/>
      </w:rPr>
    </w:lvl>
    <w:lvl w:ilvl="8">
      <w:start w:val="1"/>
      <w:numFmt w:val="decimal"/>
      <w:pStyle w:val="9"/>
      <w:lvlText w:val="%1.%2.%3.%4.%5.%6.%7.%8.%9"/>
      <w:lvlJc w:val="left"/>
      <w:pPr>
        <w:ind w:left="1584" w:hanging="1584"/>
      </w:pPr>
      <w:rPr>
        <w:rFonts w:hint="eastAsia"/>
      </w:rPr>
    </w:lvl>
  </w:abstractNum>
  <w:abstractNum w:abstractNumId="1">
    <w:nsid w:val="1FC91163"/>
    <w:multiLevelType w:val="multilevel"/>
    <w:tmpl w:val="1FC91163"/>
    <w:lvl w:ilvl="0">
      <w:start w:val="1"/>
      <w:numFmt w:val="decimal"/>
      <w:lvlRestart w:val="0"/>
      <w:suff w:val="nothing"/>
      <w:lvlText w:val="%1　"/>
      <w:lvlJc w:val="left"/>
      <w:pPr>
        <w:ind w:left="0" w:hanging="0"/>
      </w:pPr>
      <w:rPr>
        <w:rFonts w:ascii="黑体" w:hAnsi="黑体" w:eastAsia="黑体" w:hint="eastAsia"/>
        <w:b w:val="0"/>
        <w:i w:val="0"/>
        <w:sz w:val="21"/>
        <w:szCs w:val="21"/>
      </w:rPr>
    </w:lvl>
    <w:lvl w:ilvl="1">
      <w:start w:val="1"/>
      <w:numFmt w:val="decimal"/>
      <w:pStyle w:val="108"/>
      <w:suff w:val="nothing"/>
      <w:lvlText w:val="%1.%2　"/>
      <w:lvlJc w:val="left"/>
      <w:pPr>
        <w:ind w:left="0" w:hanging="0"/>
      </w:pPr>
      <w:rPr>
        <w:rFonts w:ascii="黑体" w:hAnsi="黑体" w:eastAsia="黑体" w:cs="Times New Roman" w:hint="eastAsia"/>
        <w:b w:val="0"/>
        <w:bCs w:val="0"/>
        <w:i w:val="0"/>
        <w:iCs w:val="0"/>
        <w:caps w:val="0"/>
        <w:smallCaps w:val="0"/>
        <w:strike w:val="0"/>
        <w:dstrike w:val="0"/>
        <w:vanish w:val="0"/>
        <w:spacing w:val="0"/>
        <w:kern w:val="0"/>
        <w:position w:val="0"/>
        <w:sz w:val="21"/>
        <w:szCs w:val="21"/>
        <w:u w:val="none"/>
        <w:vertAlign w:val="baseline"/>
      </w:rPr>
    </w:lvl>
    <w:lvl w:ilvl="2">
      <w:start w:val="1"/>
      <w:numFmt w:val="decimal"/>
      <w:suff w:val="nothing"/>
      <w:lvlText w:val="%1.%2.%3　"/>
      <w:lvlJc w:val="left"/>
      <w:pPr>
        <w:ind w:left="1560" w:hanging="0"/>
      </w:pPr>
      <w:rPr>
        <w:rFonts w:ascii="黑体" w:hAnsi="黑体" w:eastAsia="黑体" w:hint="eastAsia"/>
        <w:b w:val="0"/>
        <w:i w:val="0"/>
        <w:sz w:val="21"/>
      </w:rPr>
    </w:lvl>
    <w:lvl w:ilvl="3">
      <w:start w:val="1"/>
      <w:numFmt w:val="decimal"/>
      <w:suff w:val="nothing"/>
      <w:lvlText w:val="%1.%2.%3.%4　"/>
      <w:lvlJc w:val="left"/>
      <w:pPr>
        <w:ind w:left="0" w:hanging="0"/>
      </w:pPr>
      <w:rPr>
        <w:rFonts w:ascii="黑体" w:hAnsi="黑体" w:eastAsia="黑体" w:hint="eastAsia"/>
        <w:b w:val="0"/>
        <w:i w:val="0"/>
        <w:sz w:val="21"/>
      </w:rPr>
    </w:lvl>
    <w:lvl w:ilvl="4">
      <w:start w:val="1"/>
      <w:numFmt w:val="decimal"/>
      <w:suff w:val="nothing"/>
      <w:lvlText w:val="%1.%2.%3.%4.%5　"/>
      <w:lvlJc w:val="left"/>
      <w:pPr>
        <w:ind w:left="0" w:hanging="0"/>
      </w:pPr>
      <w:rPr>
        <w:rFonts w:ascii="黑体" w:hAnsi="黑体" w:eastAsia="黑体" w:hint="eastAsia"/>
        <w:b w:val="0"/>
        <w:i w:val="0"/>
        <w:sz w:val="21"/>
      </w:rPr>
    </w:lvl>
    <w:lvl w:ilvl="5">
      <w:start w:val="1"/>
      <w:numFmt w:val="decimal"/>
      <w:suff w:val="nothing"/>
      <w:lvlText w:val="%1.%2.%3.%4.%5.%6　"/>
      <w:lvlJc w:val="left"/>
      <w:pPr>
        <w:ind w:left="0" w:hanging="0"/>
      </w:pPr>
      <w:rPr>
        <w:rFonts w:ascii="黑体" w:hAnsi="黑体" w:eastAsia="黑体" w:hint="eastAsia"/>
        <w:b w:val="0"/>
        <w:i w:val="0"/>
        <w:sz w:val="21"/>
      </w:rPr>
    </w:lvl>
    <w:lvl w:ilvl="6">
      <w:start w:val="1"/>
      <w:numFmt w:val="decimal"/>
      <w:suff w:val="nothing"/>
      <w:lvlText w:val="%1%2.%3.%4.%5.%6.%7　"/>
      <w:lvlJc w:val="left"/>
      <w:pPr>
        <w:ind w:left="0" w:hanging="0"/>
      </w:pPr>
      <w:rPr>
        <w:rFonts w:ascii="黑体" w:hAnsi="黑体" w:eastAsia="黑体" w:hint="eastAsia"/>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2">
    <w:nsid w:val="0D983844"/>
    <w:multiLevelType w:val="multilevel"/>
    <w:tmpl w:val="0D983844"/>
    <w:lvl w:ilvl="0">
      <w:start w:val="1"/>
      <w:numFmt w:val="decimal"/>
      <w:lvlRestart w:val="0"/>
      <w:pStyle w:val="113"/>
      <w:suff w:val="nothing"/>
      <w:lvlText w:val="图%1　"/>
      <w:lvlJc w:val="left"/>
      <w:pPr>
        <w:ind w:left="3403" w:hanging="0"/>
      </w:pPr>
      <w:rPr>
        <w:rFonts w:ascii="黑体" w:hAnsi="黑体" w:eastAsia="黑体" w:hint="eastAsia"/>
        <w:b w:val="0"/>
        <w:i w:val="0"/>
        <w:sz w:val="21"/>
      </w:rPr>
    </w:lvl>
    <w:lvl w:ilvl="1">
      <w:start w:val="1"/>
      <w:numFmt w:val="decimal"/>
      <w:suff w:val="nothing"/>
      <w:lvlText w:val="%1%2　"/>
      <w:lvlJc w:val="left"/>
      <w:pPr>
        <w:ind w:left="0" w:hanging="0"/>
      </w:pPr>
      <w:rPr>
        <w:rFonts w:ascii="Times New Roman" w:hAnsi="Times New Roman" w:eastAsia="黑体" w:hint="default"/>
        <w:b w:val="0"/>
        <w:i w:val="0"/>
        <w:sz w:val="21"/>
      </w:rPr>
    </w:lvl>
    <w:lvl w:ilvl="2">
      <w:start w:val="1"/>
      <w:numFmt w:val="decimal"/>
      <w:suff w:val="nothing"/>
      <w:lvlText w:val="%1%2.%3　"/>
      <w:lvlJc w:val="left"/>
      <w:pPr>
        <w:ind w:left="0" w:hanging="0"/>
      </w:pPr>
      <w:rPr>
        <w:rFonts w:ascii="Times New Roman" w:hAnsi="Times New Roman" w:eastAsia="黑体" w:hint="default"/>
        <w:b w:val="0"/>
        <w:i w:val="0"/>
        <w:sz w:val="21"/>
      </w:rPr>
    </w:lvl>
    <w:lvl w:ilvl="3">
      <w:start w:val="1"/>
      <w:numFmt w:val="decimal"/>
      <w:suff w:val="nothing"/>
      <w:lvlText w:val="%1%2.%3.%4　"/>
      <w:lvlJc w:val="left"/>
      <w:pPr>
        <w:ind w:left="0" w:hanging="0"/>
      </w:pPr>
      <w:rPr>
        <w:rFonts w:ascii="Times New Roman" w:hAnsi="Times New Roman" w:eastAsia="黑体" w:hint="default"/>
        <w:b w:val="0"/>
        <w:i w:val="0"/>
        <w:sz w:val="21"/>
      </w:rPr>
    </w:lvl>
    <w:lvl w:ilvl="4">
      <w:start w:val="1"/>
      <w:numFmt w:val="decimal"/>
      <w:suff w:val="nothing"/>
      <w:lvlText w:val="%1%2.%3.%4.%5　"/>
      <w:lvlJc w:val="left"/>
      <w:pPr>
        <w:ind w:left="0" w:hanging="0"/>
      </w:pPr>
      <w:rPr>
        <w:rFonts w:ascii="Times New Roman" w:hAnsi="Times New Roman" w:eastAsia="黑体" w:hint="default"/>
        <w:b w:val="0"/>
        <w:i w:val="0"/>
        <w:sz w:val="21"/>
      </w:rPr>
    </w:lvl>
    <w:lvl w:ilvl="5">
      <w:start w:val="1"/>
      <w:numFmt w:val="decimal"/>
      <w:suff w:val="nothing"/>
      <w:lvlText w:val="%1%2.%3.%4.%5.%6　"/>
      <w:lvlJc w:val="left"/>
      <w:pPr>
        <w:ind w:left="0" w:hanging="0"/>
      </w:pPr>
      <w:rPr>
        <w:rFonts w:ascii="Times New Roman" w:hAnsi="Times New Roman" w:eastAsia="黑体" w:hint="default"/>
        <w:b w:val="0"/>
        <w:i w:val="0"/>
        <w:sz w:val="21"/>
      </w:rPr>
    </w:lvl>
    <w:lvl w:ilvl="6">
      <w:start w:val="1"/>
      <w:numFmt w:val="decimal"/>
      <w:suff w:val="nothing"/>
      <w:lvlText w:val="%1%2.%3.%4.%5.%6.%7　"/>
      <w:lvlJc w:val="left"/>
      <w:pPr>
        <w:ind w:left="0" w:hanging="0"/>
      </w:pPr>
      <w:rPr>
        <w:rFonts w:ascii="Times New Roman" w:hAnsi="Times New Roman" w:eastAsia="黑体" w:hint="default"/>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3">
    <w:nsid w:val="37B6078F"/>
    <w:multiLevelType w:val="multilevel"/>
    <w:tmpl w:val="37B6078F"/>
    <w:lvl w:ilvl="0">
      <w:start w:val="1"/>
      <w:numFmt w:val="lowerLetter"/>
      <w:lvlRestart w:val="0"/>
      <w:pStyle w:val="114"/>
      <w:lvlText w:val="%1)"/>
      <w:lvlJc w:val="left"/>
      <w:pPr>
        <w:tabs>
          <w:tab w:val="num" w:pos="840"/>
        </w:tabs>
        <w:ind w:left="839" w:hanging="419"/>
      </w:pPr>
      <w:rPr>
        <w:rFonts w:ascii="宋体" w:hAnsi="宋体" w:eastAsia="宋体" w:hint="eastAsia"/>
        <w:b w:val="0"/>
        <w:i w:val="0"/>
        <w:sz w:val="21"/>
        <w:szCs w:val="21"/>
      </w:rPr>
    </w:lvl>
    <w:lvl w:ilvl="1">
      <w:start w:val="1"/>
      <w:numFmt w:val="decimal"/>
      <w:lvlText w:val="%2)"/>
      <w:lvlJc w:val="left"/>
      <w:pPr>
        <w:tabs>
          <w:tab w:val="num" w:pos="1260"/>
        </w:tabs>
        <w:ind w:left="1259" w:hanging="419"/>
      </w:pPr>
      <w:rPr>
        <w:rFonts w:hint="eastAsia"/>
      </w:rPr>
    </w:lvl>
    <w:lvl w:ilvl="2">
      <w:start w:val="1"/>
      <w:numFmt w:val="decimal"/>
      <w:lvlText w:val="(%3)"/>
      <w:lvlJc w:val="left"/>
      <w:pPr>
        <w:tabs>
          <w:tab w:val="num" w:pos="0"/>
        </w:tabs>
        <w:ind w:left="1679" w:hanging="420"/>
      </w:pPr>
      <w:rPr>
        <w:rFonts w:ascii="宋体" w:hAnsi="宋体" w:eastAsia="宋体" w:hint="eastAsia"/>
        <w:b w:val="0"/>
        <w:i w:val="0"/>
        <w:sz w:val="21"/>
        <w:szCs w:val="21"/>
      </w:rPr>
    </w:lvl>
    <w:lvl w:ilvl="3">
      <w:start w:val="1"/>
      <w:numFmt w:val="decimal"/>
      <w:lvlText w:val="%4."/>
      <w:lvlJc w:val="left"/>
      <w:pPr>
        <w:tabs>
          <w:tab w:val="num" w:pos="2100"/>
        </w:tabs>
        <w:ind w:left="2099" w:hanging="419"/>
      </w:pPr>
      <w:rPr>
        <w:rFonts w:hint="eastAsia"/>
      </w:rPr>
    </w:lvl>
    <w:lvl w:ilvl="4">
      <w:start w:val="1"/>
      <w:numFmt w:val="lowerLetter"/>
      <w:lvlText w:val="%5)"/>
      <w:lvlJc w:val="left"/>
      <w:pPr>
        <w:tabs>
          <w:tab w:val="num" w:pos="2520"/>
        </w:tabs>
        <w:ind w:left="2519" w:hanging="419"/>
      </w:pPr>
      <w:rPr>
        <w:rFonts w:hint="eastAsia"/>
      </w:rPr>
    </w:lvl>
    <w:lvl w:ilvl="5">
      <w:start w:val="1"/>
      <w:numFmt w:val="lowerRoman"/>
      <w:lvlText w:val="%6."/>
      <w:lvlJc w:val="right"/>
      <w:pPr>
        <w:tabs>
          <w:tab w:val="num" w:pos="2940"/>
        </w:tabs>
        <w:ind w:left="2939" w:hanging="419"/>
      </w:pPr>
      <w:rPr>
        <w:rFonts w:hint="eastAsia"/>
      </w:rPr>
    </w:lvl>
    <w:lvl w:ilvl="6">
      <w:start w:val="1"/>
      <w:numFmt w:val="decimal"/>
      <w:lvlText w:val="%7."/>
      <w:lvlJc w:val="left"/>
      <w:pPr>
        <w:tabs>
          <w:tab w:val="num" w:pos="3360"/>
        </w:tabs>
        <w:ind w:left="3359" w:hanging="419"/>
      </w:pPr>
      <w:rPr>
        <w:rFonts w:hint="eastAsia"/>
      </w:rPr>
    </w:lvl>
    <w:lvl w:ilvl="7">
      <w:start w:val="1"/>
      <w:numFmt w:val="lowerLetter"/>
      <w:lvlText w:val="%8)"/>
      <w:lvlJc w:val="left"/>
      <w:pPr>
        <w:tabs>
          <w:tab w:val="num" w:pos="3780"/>
        </w:tabs>
        <w:ind w:left="3779" w:hanging="419"/>
      </w:pPr>
      <w:rPr>
        <w:rFonts w:hint="eastAsia"/>
      </w:rPr>
    </w:lvl>
    <w:lvl w:ilvl="8">
      <w:start w:val="1"/>
      <w:numFmt w:val="lowerRoman"/>
      <w:lvlText w:val="%9."/>
      <w:lvlJc w:val="right"/>
      <w:pPr>
        <w:tabs>
          <w:tab w:val="num" w:pos="4200"/>
        </w:tabs>
        <w:ind w:left="4199" w:hanging="419"/>
      </w:pPr>
      <w:rPr>
        <w:rFonts w:hint="eastAsia"/>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80"/>
  <w:displayBackgroundShape/>
  <w:bordersDoNotSurroundHeader w:val="0"/>
  <w:bordersDoNotSurroundFooter w:val="0"/>
  <w:defaultTabStop w:val="420"/>
  <w:drawingGridHorizontalSpacing w:val="120"/>
  <w:drawingGridVerticalSpacing w:val="166"/>
  <w:displayHorizontalDrawingGridEvery w:val="1"/>
  <w:displayVerticalDrawingGridEvery w:val="1"/>
  <w:noPunctuationKerning/>
  <w:characterSpacingControl w:val="compressPunctuation"/>
  <w:compat>
    <w:spaceForUL/>
    <w:balanceSingleByteDoubleByteWidth/>
    <w:doNotExpandShiftReturn/>
    <w:adjustLineHeightInTable/>
    <w:compatSetting w:name="compatibilityMode" w:uri="http://schemas.microsoft.com/office/word" w:val="15"/>
  </w:compat>
  <w:docVars>
    <w:docVar w:name="__Grammarly_42____i" w:val="H4sIAAAAAAAEAKtWckksSQxILCpxzi/NK1GyMqwFAAEhoTITAAAA"/>
    <w:docVar w:name="__Grammarly_42___1" w:val="H4sIAAAAAAAEAKtWcslP9kxRslIyNDY2MjA0NLMAUhZmlqbmFko6SsGpxcWZ+XkgBYa1ABrFNM4sAAAA"/>
    <w:docVar w:name="commondata" w:val="eyJoZGlkIjoiZDZjNDUyYTNjYzJhMGEzNGZlNDM3Yjc4YTc4OWU5YWYifQ=="/>
    <w:docVar w:name="KSO_WPS_MARK_KEY" w:val="4940c5ed-e0c6-4147-b00b-04817c4335e6"/>
  </w:docVars>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Lucida Sans"/>
        <w:lang w:val="en-US" w:eastAsia="zh-CN" w:bidi="ar-SA"/>
      </w:rPr>
    </w:rPrDefault>
    <w:pPrDefault/>
  </w:docDefaults>
  <w:style w:type="paragraph" w:default="1" w:styleId="0">
    <w:name w:val="Normal"/>
    <w:qFormat/>
    <w:pPr>
      <w:widowControl w:val="0"/>
      <w:spacing w:line="360" w:lineRule="auto"/>
      <w:ind w:firstLineChars="200" w:firstLine="200"/>
      <w:jc w:val="both"/>
      <w:textAlignment w:val="baseline"/>
    </w:pPr>
    <w:rPr>
      <w:rFonts w:ascii="Times New Roman" w:eastAsia="宋体" w:cs="Arial" w:hAnsi="Times New Roman"/>
      <w:kern w:val="2"/>
      <w:sz w:val="24"/>
      <w:szCs w:val="22"/>
      <w:lang w:val="en-US" w:eastAsia="zh-CN" w:bidi="ar-SA"/>
    </w:rPr>
  </w:style>
  <w:style w:type="paragraph" w:styleId="1">
    <w:name w:val="heading 1"/>
    <w:qFormat/>
    <w:basedOn w:val="0"/>
    <w:next w:val="0"/>
    <w:link w:val="1Char"/>
    <w:pPr>
      <w:spacing w:before="100"/>
      <w:ind w:rightChars="1275" w:right="1275" w:firstLineChars="1036" w:firstLine="1036"/>
      <w:jc w:val="center"/>
      <w:textAlignment w:val="auto"/>
      <w:outlineLvl w:val="0"/>
    </w:pPr>
    <w:rPr>
      <w:b/>
      <w:bCs/>
      <w:kern w:val="44"/>
      <w:sz w:val="30"/>
      <w:szCs w:val="44"/>
    </w:rPr>
  </w:style>
  <w:style w:type="character" w:customStyle="1" w:styleId="1Char">
    <w:name w:val="heading 1 Char"/>
    <w:basedOn w:val="10"/>
    <w:link w:val="1"/>
    <w:rPr>
      <w:rFonts w:ascii="Times New Roman" w:eastAsia="宋体" w:cs="Arial" w:hAnsi="Times New Roman"/>
      <w:b/>
      <w:bCs/>
      <w:kern w:val="44"/>
      <w:sz w:val="30"/>
      <w:szCs w:val="44"/>
      <w:lang w:val="en-US" w:eastAsia="zh-CN" w:bidi="ar-SA"/>
    </w:rPr>
  </w:style>
  <w:style w:type="paragraph" w:styleId="2">
    <w:name w:val="heading 2"/>
    <w:qFormat/>
    <w:basedOn w:val="0"/>
    <w:next w:val="0"/>
    <w:link w:val="2Char"/>
    <w:pPr>
      <w:keepNext/>
      <w:keepLines/>
      <w:tabs>
        <w:tab w:val="left" w:pos="0"/>
      </w:tabs>
      <w:ind w:firstLineChars="0" w:firstLine="0"/>
      <w:jc w:val="center"/>
      <w:outlineLvl w:val="1"/>
    </w:pPr>
    <w:rPr>
      <w:rFonts w:ascii="黑体" w:eastAsia="黑体" w:cs="黑体" w:hAnsi="黑体"/>
      <w:sz w:val="28"/>
      <w:szCs w:val="32"/>
    </w:rPr>
  </w:style>
  <w:style w:type="character" w:customStyle="1" w:styleId="2Char">
    <w:name w:val="heading 2 Char"/>
    <w:basedOn w:val="10"/>
    <w:link w:val="2"/>
    <w:rPr>
      <w:rFonts w:ascii="黑体" w:eastAsia="黑体" w:cs="黑体" w:hAnsi="黑体"/>
      <w:kern w:val="2"/>
      <w:sz w:val="28"/>
      <w:szCs w:val="32"/>
      <w:lang w:val="en-US" w:eastAsia="zh-CN" w:bidi="ar-SA"/>
    </w:rPr>
  </w:style>
  <w:style w:type="paragraph" w:styleId="3">
    <w:name w:val="heading 3"/>
    <w:qFormat/>
    <w:basedOn w:val="0"/>
    <w:next w:val="0"/>
    <w:link w:val="3Char"/>
    <w:pPr>
      <w:tabs>
        <w:tab w:val="left" w:pos="0"/>
        <w:tab w:val="left" w:pos="567"/>
        <w:tab w:val="left" w:pos="709"/>
        <w:tab w:val="left" w:pos="1560"/>
      </w:tabs>
      <w:ind w:firstLineChars="0" w:firstLine="0"/>
      <w:textAlignment w:val="auto"/>
      <w:outlineLvl w:val="2"/>
    </w:pPr>
    <w:rPr>
      <w:bCs/>
      <w:szCs w:val="32"/>
    </w:rPr>
  </w:style>
  <w:style w:type="character" w:customStyle="1" w:styleId="3Char">
    <w:name w:val="heading 3 Char"/>
    <w:basedOn w:val="10"/>
    <w:link w:val="3"/>
    <w:rPr>
      <w:rFonts w:ascii="Times New Roman" w:eastAsia="宋体" w:cs="Arial" w:hAnsi="Times New Roman"/>
      <w:bCs/>
      <w:kern w:val="2"/>
      <w:sz w:val="24"/>
      <w:szCs w:val="32"/>
      <w:lang w:val="en-US" w:eastAsia="zh-CN" w:bidi="ar-SA"/>
    </w:rPr>
  </w:style>
  <w:style w:type="paragraph" w:styleId="4">
    <w:name w:val="heading 4"/>
    <w:qFormat/>
    <w:basedOn w:val="0"/>
    <w:next w:val="0"/>
    <w:link w:val="4Char"/>
    <w:pPr>
      <w:keepLines/>
      <w:widowControl w:val="0"/>
      <w:outlineLvl w:val="3"/>
    </w:pPr>
    <w:rPr>
      <w:rFonts w:cs="Times New Roman"/>
      <w:bCs/>
      <w:szCs w:val="28"/>
    </w:rPr>
  </w:style>
  <w:style w:type="character" w:customStyle="1" w:styleId="4Char">
    <w:name w:val="heading 4 Char"/>
    <w:basedOn w:val="10"/>
    <w:link w:val="4"/>
    <w:rPr>
      <w:rFonts w:ascii="Times New Roman" w:eastAsia="宋体" w:cs="Times New Roman" w:hAnsi="Times New Roman"/>
      <w:bCs/>
      <w:kern w:val="2"/>
      <w:sz w:val="24"/>
      <w:szCs w:val="28"/>
      <w:lang w:val="en-US" w:eastAsia="zh-CN" w:bidi="ar-SA"/>
    </w:rPr>
  </w:style>
  <w:style w:type="paragraph" w:styleId="5">
    <w:name w:val="heading 5"/>
    <w:qFormat/>
    <w:basedOn w:val="0"/>
    <w:next w:val="0"/>
    <w:link w:val="5Char"/>
    <w:pPr>
      <w:keepNext/>
      <w:keepLines/>
      <w:numPr>
        <w:ilvl w:val="4"/>
        <w:numId w:val="1"/>
      </w:numPr>
      <w:spacing w:before="280" w:after="290" w:line="377" w:lineRule="auto"/>
      <w:ind w:left="1008" w:firstLineChars="0" w:firstLine="0"/>
      <w:outlineLvl w:val="4"/>
    </w:pPr>
    <w:rPr>
      <w:b/>
      <w:bCs/>
      <w:szCs w:val="28"/>
    </w:rPr>
  </w:style>
  <w:style w:type="character" w:customStyle="1" w:styleId="5Char">
    <w:name w:val="heading 5 Char"/>
    <w:basedOn w:val="10"/>
    <w:link w:val="5"/>
    <w:rPr>
      <w:rFonts w:ascii="Times New Roman" w:eastAsia="宋体" w:cs="Arial" w:hAnsi="Times New Roman"/>
      <w:b/>
      <w:bCs/>
      <w:kern w:val="2"/>
      <w:sz w:val="24"/>
      <w:szCs w:val="28"/>
      <w:lang w:val="en-US" w:eastAsia="zh-CN" w:bidi="ar-SA"/>
    </w:rPr>
  </w:style>
  <w:style w:type="paragraph" w:styleId="6">
    <w:name w:val="heading 6"/>
    <w:qFormat/>
    <w:basedOn w:val="0"/>
    <w:next w:val="0"/>
    <w:link w:val="6Char"/>
    <w:pPr>
      <w:keepNext/>
      <w:keepLines/>
      <w:numPr>
        <w:ilvl w:val="5"/>
        <w:numId w:val="1"/>
      </w:numPr>
      <w:spacing w:before="240" w:after="64" w:line="319" w:lineRule="auto"/>
      <w:ind w:left="1152" w:firstLineChars="0" w:firstLine="0"/>
      <w:outlineLvl w:val="5"/>
    </w:pPr>
    <w:rPr>
      <w:rFonts w:ascii="Cambria" w:eastAsia="宋体" w:cs="Times New Roman" w:hAnsi="Cambria"/>
      <w:b/>
      <w:bCs/>
      <w:szCs w:val="24"/>
    </w:rPr>
  </w:style>
  <w:style w:type="character" w:customStyle="1" w:styleId="6Char">
    <w:name w:val="heading 6 Char"/>
    <w:basedOn w:val="10"/>
    <w:link w:val="6"/>
    <w:rPr>
      <w:rFonts w:ascii="Cambria" w:eastAsia="宋体" w:cs="Times New Roman" w:hAnsi="Cambria"/>
      <w:b/>
      <w:bCs/>
      <w:kern w:val="2"/>
      <w:sz w:val="24"/>
      <w:szCs w:val="24"/>
      <w:lang w:val="en-US" w:eastAsia="zh-CN" w:bidi="ar-SA"/>
    </w:rPr>
  </w:style>
  <w:style w:type="paragraph" w:styleId="7">
    <w:name w:val="heading 7"/>
    <w:qFormat/>
    <w:basedOn w:val="0"/>
    <w:next w:val="0"/>
    <w:link w:val="7Char"/>
    <w:pPr>
      <w:keepNext/>
      <w:keepLines/>
      <w:numPr>
        <w:ilvl w:val="6"/>
        <w:numId w:val="1"/>
      </w:numPr>
      <w:spacing w:before="240" w:after="64" w:line="319" w:lineRule="auto"/>
      <w:ind w:left="1296" w:firstLineChars="0" w:firstLine="0"/>
      <w:outlineLvl w:val="6"/>
    </w:pPr>
    <w:rPr>
      <w:b/>
      <w:bCs/>
      <w:szCs w:val="24"/>
    </w:rPr>
  </w:style>
  <w:style w:type="character" w:customStyle="1" w:styleId="7Char">
    <w:name w:val="heading 7 Char"/>
    <w:basedOn w:val="10"/>
    <w:link w:val="7"/>
    <w:rPr>
      <w:rFonts w:ascii="Times New Roman" w:eastAsia="宋体" w:cs="Arial" w:hAnsi="Times New Roman"/>
      <w:b/>
      <w:bCs/>
      <w:kern w:val="2"/>
      <w:sz w:val="24"/>
      <w:szCs w:val="24"/>
      <w:lang w:val="en-US" w:eastAsia="zh-CN" w:bidi="ar-SA"/>
    </w:rPr>
  </w:style>
  <w:style w:type="paragraph" w:styleId="8">
    <w:name w:val="heading 8"/>
    <w:qFormat/>
    <w:basedOn w:val="0"/>
    <w:next w:val="0"/>
    <w:link w:val="8Char"/>
    <w:pPr>
      <w:keepNext/>
      <w:keepLines/>
      <w:numPr>
        <w:ilvl w:val="7"/>
        <w:numId w:val="1"/>
      </w:numPr>
      <w:spacing w:before="240" w:after="64" w:line="319" w:lineRule="auto"/>
      <w:ind w:left="1440" w:firstLineChars="0" w:firstLine="0"/>
      <w:outlineLvl w:val="7"/>
    </w:pPr>
    <w:rPr>
      <w:rFonts w:ascii="Cambria" w:eastAsia="宋体" w:cs="Times New Roman" w:hAnsi="Cambria"/>
      <w:szCs w:val="24"/>
    </w:rPr>
  </w:style>
  <w:style w:type="character" w:customStyle="1" w:styleId="8Char">
    <w:name w:val="heading 8 Char"/>
    <w:basedOn w:val="10"/>
    <w:link w:val="8"/>
    <w:rPr>
      <w:rFonts w:ascii="Cambria" w:eastAsia="宋体" w:cs="Times New Roman" w:hAnsi="Cambria"/>
      <w:kern w:val="2"/>
      <w:sz w:val="24"/>
      <w:szCs w:val="24"/>
      <w:lang w:val="en-US" w:eastAsia="zh-CN" w:bidi="ar-SA"/>
    </w:rPr>
  </w:style>
  <w:style w:type="paragraph" w:styleId="9">
    <w:name w:val="heading 9"/>
    <w:qFormat/>
    <w:basedOn w:val="0"/>
    <w:next w:val="0"/>
    <w:link w:val="9Char"/>
    <w:pPr>
      <w:keepNext/>
      <w:keepLines/>
      <w:numPr>
        <w:ilvl w:val="8"/>
        <w:numId w:val="1"/>
      </w:numPr>
      <w:spacing w:before="240" w:after="64" w:line="319" w:lineRule="auto"/>
      <w:ind w:left="1584" w:firstLineChars="0" w:firstLine="0"/>
      <w:outlineLvl w:val="8"/>
    </w:pPr>
    <w:rPr>
      <w:rFonts w:ascii="Cambria" w:eastAsia="宋体" w:cs="Times New Roman" w:hAnsi="Cambria"/>
      <w:sz w:val="21"/>
      <w:szCs w:val="21"/>
    </w:rPr>
  </w:style>
  <w:style w:type="character" w:customStyle="1" w:styleId="9Char">
    <w:name w:val="heading 9 Char"/>
    <w:basedOn w:val="10"/>
    <w:link w:val="9"/>
    <w:rPr>
      <w:rFonts w:ascii="Cambria" w:eastAsia="宋体" w:cs="Times New Roman" w:hAnsi="Cambria"/>
      <w:kern w:val="2"/>
      <w:sz w:val="21"/>
      <w:szCs w:val="21"/>
      <w:lang w:val="en-US" w:eastAsia="zh-CN" w:bidi="ar-SA"/>
    </w:rPr>
  </w:style>
  <w:style w:type="character" w:default="1" w:styleId="10">
    <w:name w:val="Default Paragraph Font"/>
    <w:qFormat/>
  </w:style>
  <w:style w:type="paragraph" w:styleId="15">
    <w:name w:val="toc 7"/>
    <w:qFormat/>
    <w:basedOn w:val="0"/>
    <w:next w:val="0"/>
    <w:pPr>
      <w:spacing w:line="240" w:lineRule="auto"/>
      <w:ind w:leftChars="1200" w:left="1200"/>
      <w:textAlignment w:val="auto"/>
    </w:pPr>
    <w:rPr>
      <w:rFonts w:ascii="Calibri" w:hAnsi="Calibri"/>
      <w:sz w:val="21"/>
    </w:rPr>
  </w:style>
  <w:style w:type="paragraph" w:styleId="16">
    <w:name w:val="caption"/>
    <w:qFormat/>
    <w:basedOn w:val="0"/>
    <w:next w:val="0"/>
    <w:pPr>
      <w:ind w:firstLineChars="0" w:firstLine="0"/>
      <w:jc w:val="center"/>
    </w:pPr>
    <w:rPr>
      <w:rFonts w:cs="Times New Roman"/>
      <w:b/>
      <w:sz w:val="21"/>
      <w:szCs w:val="20"/>
    </w:rPr>
  </w:style>
  <w:style w:type="paragraph" w:styleId="17">
    <w:name w:val="Document Map"/>
    <w:qFormat/>
    <w:basedOn w:val="0"/>
    <w:rPr>
      <w:rFonts w:ascii="方正兰亭黑_GBK" w:cs="Times New Roman" w:hAnsi="方正兰亭黑_GBK"/>
      <w:kern w:val="0"/>
      <w:sz w:val="18"/>
      <w:szCs w:val="18"/>
    </w:rPr>
  </w:style>
  <w:style w:type="paragraph" w:styleId="18">
    <w:name w:val="annotation text"/>
    <w:qFormat/>
    <w:basedOn w:val="0"/>
    <w:pPr>
      <w:spacing w:line="240" w:lineRule="auto"/>
      <w:jc w:val="left"/>
      <w:textAlignment w:val="auto"/>
    </w:pPr>
    <w:rPr>
      <w:rFonts w:cs="Times New Roman"/>
      <w:sz w:val="21"/>
      <w:szCs w:val="24"/>
    </w:rPr>
  </w:style>
  <w:style w:type="paragraph" w:styleId="19">
    <w:name w:val="Body Text"/>
    <w:qFormat/>
    <w:basedOn w:val="0"/>
    <w:pPr>
      <w:textAlignment w:val="auto"/>
    </w:pPr>
    <w:rPr>
      <w:rFonts w:eastAsia="仿宋" w:cs="Times New Roman"/>
      <w:kern w:val="0"/>
      <w:szCs w:val="24"/>
      <w:lang w:val="zh-CN"/>
    </w:rPr>
  </w:style>
  <w:style w:type="paragraph" w:styleId="20">
    <w:name w:val="HTML Address"/>
    <w:qFormat/>
    <w:basedOn w:val="0"/>
    <w:rPr>
      <w:i/>
    </w:rPr>
  </w:style>
  <w:style w:type="paragraph" w:styleId="21">
    <w:name w:val="toc 5"/>
    <w:qFormat/>
    <w:basedOn w:val="0"/>
    <w:next w:val="0"/>
    <w:pPr>
      <w:spacing w:line="240" w:lineRule="auto"/>
      <w:ind w:leftChars="800" w:left="800"/>
      <w:textAlignment w:val="auto"/>
    </w:pPr>
    <w:rPr>
      <w:rFonts w:ascii="Calibri" w:hAnsi="Calibri"/>
      <w:sz w:val="21"/>
    </w:rPr>
  </w:style>
  <w:style w:type="paragraph" w:styleId="22">
    <w:name w:val="toc 3"/>
    <w:qFormat/>
    <w:basedOn w:val="0"/>
    <w:next w:val="0"/>
    <w:pPr>
      <w:ind w:leftChars="400" w:left="400"/>
    </w:pPr>
  </w:style>
  <w:style w:type="paragraph" w:styleId="23">
    <w:name w:val="Plain Text"/>
    <w:qFormat/>
    <w:basedOn w:val="0"/>
    <w:pPr>
      <w:spacing w:line="240" w:lineRule="auto"/>
    </w:pPr>
    <w:rPr>
      <w:rFonts w:ascii="宋体" w:cs="Courier New" w:hAnsi="Courier New"/>
      <w:szCs w:val="21"/>
    </w:rPr>
  </w:style>
  <w:style w:type="paragraph" w:styleId="24">
    <w:name w:val="toc 8"/>
    <w:qFormat/>
    <w:basedOn w:val="0"/>
    <w:next w:val="0"/>
    <w:pPr>
      <w:spacing w:line="240" w:lineRule="auto"/>
      <w:ind w:leftChars="1400" w:left="1400"/>
      <w:textAlignment w:val="auto"/>
    </w:pPr>
    <w:rPr>
      <w:rFonts w:ascii="Calibri" w:hAnsi="Calibri"/>
      <w:sz w:val="21"/>
    </w:rPr>
  </w:style>
  <w:style w:type="paragraph" w:styleId="25">
    <w:name w:val="Date"/>
    <w:qFormat/>
    <w:basedOn w:val="0"/>
    <w:next w:val="0"/>
    <w:pPr>
      <w:ind w:leftChars="2500" w:left="2500"/>
    </w:pPr>
  </w:style>
  <w:style w:type="paragraph" w:styleId="26">
    <w:name w:val="Balloon Text"/>
    <w:qFormat/>
    <w:basedOn w:val="0"/>
    <w:pPr>
      <w:spacing w:line="240" w:lineRule="auto"/>
    </w:pPr>
    <w:rPr>
      <w:sz w:val="18"/>
      <w:szCs w:val="18"/>
    </w:rPr>
  </w:style>
  <w:style w:type="paragraph" w:styleId="27">
    <w:name w:val="footer"/>
    <w:qFormat/>
    <w:basedOn w:val="0"/>
    <w:pPr>
      <w:tabs>
        <w:tab w:val="center" w:pos="4153"/>
        <w:tab w:val="right" w:pos="8306"/>
      </w:tabs>
      <w:snapToGrid w:val="0"/>
      <w:spacing w:line="240" w:lineRule="auto"/>
      <w:jc w:val="left"/>
    </w:pPr>
    <w:rPr>
      <w:sz w:val="18"/>
      <w:szCs w:val="18"/>
    </w:rPr>
  </w:style>
  <w:style w:type="paragraph" w:styleId="28">
    <w:name w:val="header"/>
    <w:qFormat/>
    <w:basedOn w:val="0"/>
    <w:pPr>
      <w:tabs>
        <w:tab w:val="center" w:pos="4153"/>
        <w:tab w:val="right" w:pos="8306"/>
      </w:tabs>
      <w:snapToGrid w:val="0"/>
      <w:spacing w:line="240" w:lineRule="auto"/>
      <w:jc w:val="center"/>
    </w:pPr>
    <w:rPr>
      <w:sz w:val="18"/>
      <w:szCs w:val="18"/>
    </w:rPr>
  </w:style>
  <w:style w:type="paragraph" w:styleId="29">
    <w:name w:val="toc 1"/>
    <w:qFormat/>
    <w:basedOn w:val="0"/>
    <w:next w:val="0"/>
    <w:rPr>
      <w:b/>
    </w:rPr>
  </w:style>
  <w:style w:type="paragraph" w:styleId="30">
    <w:name w:val="toc 4"/>
    <w:qFormat/>
    <w:basedOn w:val="0"/>
    <w:next w:val="0"/>
    <w:pPr>
      <w:spacing w:line="240" w:lineRule="auto"/>
      <w:ind w:leftChars="600" w:left="600"/>
      <w:textAlignment w:val="auto"/>
    </w:pPr>
    <w:rPr>
      <w:rFonts w:ascii="Calibri" w:hAnsi="Calibri"/>
      <w:sz w:val="21"/>
    </w:rPr>
  </w:style>
  <w:style w:type="paragraph" w:styleId="31">
    <w:name w:val="Subtitle"/>
    <w:qFormat/>
    <w:basedOn w:val="0"/>
    <w:next w:val="0"/>
    <w:pPr>
      <w:spacing w:before="240" w:after="60" w:line="312" w:lineRule="auto"/>
      <w:jc w:val="center"/>
      <w:outlineLvl w:val="1"/>
    </w:pPr>
    <w:rPr>
      <w:rFonts w:ascii="Cambria" w:cs="Times New Roman" w:hAnsi="Cambria"/>
      <w:b/>
      <w:bCs/>
      <w:kern w:val="28"/>
      <w:sz w:val="32"/>
      <w:szCs w:val="32"/>
    </w:rPr>
  </w:style>
  <w:style w:type="paragraph" w:styleId="32">
    <w:name w:val="toc 6"/>
    <w:qFormat/>
    <w:basedOn w:val="0"/>
    <w:next w:val="0"/>
    <w:pPr>
      <w:spacing w:line="240" w:lineRule="auto"/>
      <w:ind w:leftChars="1000" w:left="1000"/>
      <w:textAlignment w:val="auto"/>
    </w:pPr>
    <w:rPr>
      <w:rFonts w:ascii="Calibri" w:hAnsi="Calibri"/>
      <w:sz w:val="21"/>
    </w:rPr>
  </w:style>
  <w:style w:type="paragraph" w:styleId="33">
    <w:name w:val="toc 2"/>
    <w:qFormat/>
    <w:basedOn w:val="0"/>
    <w:next w:val="0"/>
    <w:pPr>
      <w:ind w:leftChars="200" w:left="200"/>
    </w:pPr>
  </w:style>
  <w:style w:type="paragraph" w:styleId="34">
    <w:name w:val="toc 9"/>
    <w:qFormat/>
    <w:basedOn w:val="0"/>
    <w:next w:val="0"/>
    <w:pPr>
      <w:spacing w:line="240" w:lineRule="auto"/>
      <w:ind w:leftChars="1600" w:left="1600"/>
      <w:textAlignment w:val="auto"/>
    </w:pPr>
    <w:rPr>
      <w:rFonts w:ascii="Calibri" w:hAnsi="Calibri"/>
      <w:sz w:val="21"/>
    </w:rPr>
  </w:style>
  <w:style w:type="paragraph" w:styleId="35">
    <w:name w:val="HTML Preformatted"/>
    <w:qFormat/>
    <w:basedOn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Chars="0" w:firstLine="0"/>
      <w:jc w:val="left"/>
      <w:textAlignment w:val="auto"/>
    </w:pPr>
    <w:rPr>
      <w:rFonts w:ascii="宋体" w:cs="Times New Roman" w:hAnsi="宋体"/>
      <w:kern w:val="0"/>
      <w:szCs w:val="24"/>
      <w:lang w:val="zh-CN"/>
    </w:rPr>
  </w:style>
  <w:style w:type="paragraph" w:styleId="36">
    <w:name w:val="Normal (Web)"/>
    <w:qFormat/>
    <w:basedOn w:val="0"/>
    <w:pPr>
      <w:spacing w:before="100" w:beforeAutospacing="1" w:after="100" w:afterAutospacing="1"/>
      <w:jc w:val="left"/>
    </w:pPr>
    <w:rPr>
      <w:kern w:val="0"/>
    </w:rPr>
  </w:style>
  <w:style w:type="paragraph" w:styleId="37">
    <w:name w:val="annotation subject"/>
    <w:qFormat/>
    <w:basedOn w:val="18"/>
    <w:next w:val="18"/>
    <w:rPr>
      <w:b/>
      <w:bCs/>
    </w:rPr>
  </w:style>
  <w:style w:type="paragraph" w:styleId="38">
    <w:name w:val="Body Text First Indent"/>
    <w:qFormat/>
    <w:basedOn w:val="19"/>
    <w:pPr>
      <w:spacing w:after="120"/>
      <w:ind w:firstLineChars="100" w:firstLine="100"/>
      <w:textAlignment w:val="baseline"/>
    </w:pPr>
    <w:rPr>
      <w:rFonts w:eastAsia="宋体" w:cs="Arial"/>
      <w:kern w:val="2"/>
      <w:szCs w:val="22"/>
      <w:lang w:val="en-US"/>
    </w:rPr>
  </w:style>
  <w:style w:type="character" w:styleId="39">
    <w:name w:val="Strong"/>
    <w:qFormat/>
    <w:basedOn w:val="10"/>
    <w:rPr>
      <w:b/>
      <w:bCs/>
    </w:rPr>
  </w:style>
  <w:style w:type="character" w:styleId="40">
    <w:name w:val="page number"/>
    <w:qFormat/>
    <w:basedOn w:val="10"/>
  </w:style>
  <w:style w:type="character" w:styleId="41">
    <w:name w:val="FollowedHyperlink"/>
    <w:qFormat/>
    <w:basedOn w:val="10"/>
    <w:rPr>
      <w:color w:val="800080"/>
      <w:u w:val="single"/>
      <w14:textFill xmlns:w14="http://schemas.microsoft.com/office/word/2010/wordml">
        <w14:solidFill>
          <w14:srgbClr w14:val="800080"/>
        </w14:solidFill>
      </w14:textFill>
    </w:rPr>
  </w:style>
  <w:style w:type="character" w:styleId="42">
    <w:name w:val="Emphasis"/>
    <w:qFormat/>
    <w:basedOn w:val="10"/>
    <w:rPr>
      <w:color w:val="CC0000"/>
      <w:sz w:val="24"/>
      <w:szCs w:val="24"/>
    </w:rPr>
  </w:style>
  <w:style w:type="character" w:styleId="43">
    <w:name w:val="Hyperlink"/>
    <w:qFormat/>
    <w:basedOn w:val="10"/>
    <w:rPr>
      <w:color w:val="0000FF"/>
      <w:u w:val="single"/>
      <w14:textFill xmlns:w14="http://schemas.microsoft.com/office/word/2010/wordml">
        <w14:solidFill>
          <w14:srgbClr w14:val="0000FF"/>
        </w14:solidFill>
      </w14:textFill>
    </w:rPr>
  </w:style>
  <w:style w:type="character" w:styleId="44">
    <w:name w:val="annotation reference"/>
    <w:qFormat/>
    <w:basedOn w:val="10"/>
    <w:rPr>
      <w:sz w:val="21"/>
      <w:szCs w:val="21"/>
    </w:rPr>
  </w:style>
  <w:style w:type="character" w:customStyle="1" w:yozoId="4094" w:styleId="45">
    <w:name w:val="标题 1 字符1"/>
    <w:qFormat/>
    <w:basedOn w:val="10"/>
    <w:rPr>
      <w:rFonts w:ascii="Times New Roman" w:eastAsia="宋体" w:hAnsi="Times New Roman"/>
      <w:b/>
      <w:bCs/>
      <w:kern w:val="44"/>
      <w:sz w:val="32"/>
      <w:szCs w:val="44"/>
    </w:rPr>
  </w:style>
  <w:style w:type="character" w:customStyle="1" w:yozoId="4094" w:styleId="46">
    <w:name w:val="标题 3 Char1"/>
    <w:qFormat/>
    <w:basedOn w:val="10"/>
    <w:rPr>
      <w:rFonts w:ascii="Times New Roman" w:eastAsia="宋体" w:hAnsi="Times New Roman"/>
      <w:bCs/>
      <w:kern w:val="2"/>
      <w:sz w:val="24"/>
      <w:szCs w:val="32"/>
    </w:rPr>
  </w:style>
  <w:style w:type="character" w:customStyle="1" w:yozoId="4094" w:styleId="47">
    <w:name w:val="题注 字符"/>
    <w:qFormat/>
    <w:rPr>
      <w:rFonts w:eastAsia="宋体" w:cs="Times New Roman"/>
      <w:b/>
      <w:kern w:val="2"/>
      <w:sz w:val="21"/>
    </w:rPr>
  </w:style>
  <w:style w:type="character" w:customStyle="1" w:yozoId="4094" w:styleId="48">
    <w:name w:val="标题 4 Char"/>
    <w:qFormat/>
    <w:rPr>
      <w:rFonts w:ascii="Times New Roman" w:eastAsia="黑体" w:hAnsi="Times New Roman"/>
      <w:bCs/>
      <w:sz w:val="24"/>
      <w:szCs w:val="28"/>
    </w:rPr>
  </w:style>
  <w:style w:type="character" w:customStyle="1" w:yozoId="4094" w:styleId="49">
    <w:name w:val="标题 3 字符1"/>
    <w:qFormat/>
    <w:basedOn w:val="10"/>
    <w:rPr>
      <w:rFonts w:cs="Arial"/>
      <w:bCs/>
      <w:kern w:val="2"/>
      <w:sz w:val="28"/>
      <w:szCs w:val="32"/>
    </w:rPr>
  </w:style>
  <w:style w:type="paragraph" w:customStyle="1" w:yozoId="4094" w:styleId="50">
    <w:name w:val="列出段落1"/>
    <w:qFormat/>
    <w:basedOn w:val="0"/>
  </w:style>
  <w:style w:type="character" w:customStyle="1" w:yozoId="4094" w:styleId="51">
    <w:name w:val="标题 3 Char2"/>
    <w:qFormat/>
    <w:basedOn w:val="10"/>
    <w:rPr>
      <w:rFonts w:cs="Arial"/>
      <w:bCs/>
      <w:kern w:val="2"/>
      <w:sz w:val="24"/>
      <w:szCs w:val="32"/>
    </w:rPr>
  </w:style>
  <w:style w:type="character" w:customStyle="1" w:yozoId="4094" w:styleId="52">
    <w:name w:val="不明显强调1"/>
    <w:qFormat/>
    <w:basedOn w:val="10"/>
    <w:rPr>
      <w:i/>
      <w:iCs/>
      <w:color w:val="7F7F7F"/>
      <w14:textFill xmlns:w14="http://schemas.microsoft.com/office/word/2010/wordml">
        <w14:solidFill>
          <w14:srgbClr w14:val="7F7F7F"/>
        </w14:solidFill>
      </w14:textFill>
    </w:rPr>
  </w:style>
  <w:style w:type="paragraph" w:customStyle="1" w:yozoId="4094" w:styleId="53">
    <w:name w:val="无间隔1"/>
    <w:qFormat/>
    <w:pPr>
      <w:widowControl w:val="0"/>
      <w:jc w:val="center"/>
    </w:pPr>
    <w:rPr>
      <w:rFonts w:ascii="Times New Roman" w:eastAsia="宋体" w:cs="Arial" w:hAnsi="Times New Roman"/>
      <w:kern w:val="2"/>
      <w:sz w:val="21"/>
      <w:szCs w:val="22"/>
      <w:lang w:val="en-US" w:eastAsia="zh-CN" w:bidi="ar-SA"/>
    </w:rPr>
  </w:style>
  <w:style w:type="paragraph" w:customStyle="1" w:yozoId="4094" w:styleId="54">
    <w:name w:val="TOC 标题1"/>
    <w:qFormat/>
    <w:basedOn w:val="1"/>
    <w:next w:val="0"/>
    <w:pPr>
      <w:widowControl/>
      <w:spacing w:before="480" w:line="276" w:lineRule="auto"/>
      <w:jc w:val="left"/>
      <w:outlineLvl w:val="9"/>
    </w:pPr>
    <w:rPr>
      <w:rFonts w:ascii="Cambria" w:eastAsia="宋体" w:cs="Times New Roman" w:hAnsi="Cambria"/>
      <w:color w:val="376092"/>
      <w:kern w:val="0"/>
      <w:szCs w:val="28"/>
    </w:rPr>
  </w:style>
  <w:style w:type="paragraph" w:customStyle="1" w:yozoId="4094" w:styleId="55">
    <w:name w:val="Char Char Char Char Char Char Char Char Char Char Char Char Char Char Char Char Char Char Char"/>
    <w:qFormat/>
    <w:basedOn w:val="0"/>
    <w:pPr>
      <w:widowControl/>
      <w:spacing w:after="160" w:line="240" w:lineRule="exact"/>
      <w:jc w:val="left"/>
    </w:pPr>
    <w:rPr>
      <w:rFonts w:ascii="Arial" w:eastAsia="Times New Roman" w:cs="Verdana" w:hAnsi="Arial"/>
      <w:b/>
      <w:kern w:val="0"/>
      <w:szCs w:val="24"/>
    </w:rPr>
  </w:style>
  <w:style w:type="paragraph" w:customStyle="1" w:yozoId="4094" w:styleId="56">
    <w:name w:val="图"/>
    <w:qFormat/>
    <w:basedOn w:val="16"/>
    <w:pPr>
      <w:spacing w:afterLines="50" w:after="50"/>
    </w:pPr>
    <w:rPr>
      <w:rFonts w:eastAsia="黑体"/>
    </w:rPr>
  </w:style>
  <w:style w:type="paragraph" w:customStyle="1" w:yozoId="4094" w:styleId="57">
    <w:name w:val="表"/>
    <w:qFormat/>
    <w:basedOn w:val="56"/>
    <w:pPr>
      <w:adjustRightInd w:val="0"/>
      <w:snapToGrid w:val="0"/>
      <w:spacing w:afterLines="0" w:after="50"/>
    </w:pPr>
    <w:rPr>
      <w:rFonts w:eastAsia="宋体"/>
      <w:b w:val="0"/>
    </w:rPr>
  </w:style>
  <w:style w:type="paragraph" w:customStyle="1" w:yozoId="4094" w:styleId="58">
    <w:name w:val="Char Char Char Char Char Char Char Char Char Char Char Char Char Char Char Char Char Char Char1"/>
    <w:qFormat/>
    <w:basedOn w:val="0"/>
    <w:pPr>
      <w:widowControl/>
      <w:spacing w:after="160" w:line="240" w:lineRule="exact"/>
      <w:jc w:val="left"/>
    </w:pPr>
    <w:rPr>
      <w:rFonts w:ascii="Arial" w:eastAsia="Times New Roman" w:cs="Verdana" w:hAnsi="Arial"/>
      <w:b/>
      <w:kern w:val="0"/>
      <w:szCs w:val="24"/>
    </w:rPr>
  </w:style>
  <w:style w:type="paragraph" w:customStyle="1" w:yozoId="4094" w:styleId="59">
    <w:name w:val="列出段落2"/>
    <w:qFormat/>
    <w:basedOn w:val="0"/>
  </w:style>
  <w:style w:type="paragraph" w:customStyle="1" w:yozoId="4094" w:styleId="60">
    <w:name w:val="表格文字"/>
    <w:qFormat/>
    <w:basedOn w:val="0"/>
    <w:pPr>
      <w:spacing w:line="240" w:lineRule="auto"/>
      <w:ind w:firstLineChars="0" w:firstLine="0"/>
      <w:jc w:val="center"/>
    </w:pPr>
    <w:rPr>
      <w:sz w:val="21"/>
    </w:rPr>
  </w:style>
  <w:style w:type="paragraph" w:customStyle="1" w:yozoId="4094" w:styleId="61">
    <w:name w:val="无间隔2"/>
    <w:qFormat/>
    <w:pPr>
      <w:widowControl w:val="0"/>
      <w:spacing w:line="360" w:lineRule="auto"/>
      <w:jc w:val="center"/>
    </w:pPr>
    <w:rPr>
      <w:rFonts w:ascii="Times New Roman" w:eastAsia="宋体" w:cs="Arial" w:hAnsi="Times New Roman"/>
      <w:kern w:val="2"/>
      <w:sz w:val="24"/>
      <w:szCs w:val="22"/>
      <w:lang w:val="en-US" w:eastAsia="zh-CN" w:bidi="ar-SA"/>
    </w:rPr>
  </w:style>
  <w:style w:type="paragraph" w:customStyle="1" w:yozoId="4094" w:styleId="62">
    <w:name w:val="标题5"/>
    <w:qFormat/>
    <w:basedOn w:val="4"/>
  </w:style>
  <w:style w:type="paragraph" w:customStyle="1" w:yozoId="4094" w:styleId="63">
    <w:name w:val="标题一"/>
    <w:qFormat/>
    <w:basedOn w:val="0"/>
    <w:pPr>
      <w:jc w:val="center"/>
      <w:outlineLvl w:val="0"/>
    </w:pPr>
    <w:rPr>
      <w:rFonts w:ascii="Calibri" w:hAnsi="Calibri"/>
      <w:sz w:val="32"/>
    </w:rPr>
  </w:style>
  <w:style w:type="paragraph" w:customStyle="1" w:yozoId="4094" w:styleId="64">
    <w:name w:val="标题三"/>
    <w:qFormat/>
    <w:basedOn w:val="0"/>
    <w:pPr>
      <w:spacing w:line="360" w:lineRule="exact"/>
      <w:jc w:val="left"/>
      <w:outlineLvl w:val="2"/>
    </w:pPr>
    <w:rPr>
      <w:rFonts w:ascii="Calibri Light" w:hAnsi="Calibri Light"/>
      <w:sz w:val="21"/>
    </w:rPr>
  </w:style>
  <w:style w:type="paragraph" w:customStyle="1" w:yozoId="4094" w:styleId="65">
    <w:name w:val="正文内容"/>
    <w:qFormat/>
    <w:basedOn w:val="0"/>
    <w:pPr>
      <w:autoSpaceDE w:val="0"/>
      <w:autoSpaceDN w:val="0"/>
      <w:adjustRightInd w:val="0"/>
    </w:pPr>
    <w:rPr>
      <w:rFonts w:cs="宋体"/>
      <w:kern w:val="0"/>
      <w:szCs w:val="21"/>
    </w:rPr>
  </w:style>
  <w:style w:type="paragraph" w:customStyle="1" w:yozoId="4094" w:styleId="66">
    <w:name w:val="中间"/>
    <w:qFormat/>
    <w:basedOn w:val="64"/>
    <w:pPr>
      <w:spacing w:line="240" w:lineRule="auto"/>
      <w:jc w:val="center"/>
      <w:outlineLvl w:val="9"/>
    </w:pPr>
    <w:rPr>
      <w:rFonts w:ascii="Times New Roman" w:hAnsi="Times New Roman"/>
      <w:sz w:val="28"/>
    </w:rPr>
  </w:style>
  <w:style w:type="paragraph" w:customStyle="1" w:yozoId="4094" w:styleId="67">
    <w:name w:val="图表标题"/>
    <w:qFormat/>
    <w:basedOn w:val="65"/>
    <w:pPr>
      <w:ind w:firstLineChars="0" w:firstLine="0"/>
      <w:jc w:val="center"/>
    </w:pPr>
    <w:rPr>
      <w:b/>
    </w:rPr>
  </w:style>
  <w:style w:type="paragraph" w:customStyle="1" w:yozoId="4094" w:styleId="68">
    <w:name w:val="表中文字"/>
    <w:qFormat/>
    <w:basedOn w:val="65"/>
    <w:pPr>
      <w:jc w:val="center"/>
    </w:pPr>
  </w:style>
  <w:style w:type="paragraph" w:customStyle="1" w:yozoId="4094" w:styleId="69">
    <w:name w:val="标题二（副本）"/>
    <w:qFormat/>
    <w:basedOn w:val="0"/>
    <w:pPr>
      <w:jc w:val="center"/>
      <w:outlineLvl w:val="1"/>
    </w:pPr>
    <w:rPr>
      <w:rFonts w:ascii="Calibri" w:hAnsi="Calibri"/>
    </w:rPr>
  </w:style>
  <w:style w:type="paragraph" w:customStyle="1" w:yozoId="4094" w:styleId="70">
    <w:name w:val="（新）标题四"/>
    <w:qFormat/>
    <w:basedOn w:val="0"/>
    <w:pPr>
      <w:autoSpaceDE w:val="0"/>
      <w:autoSpaceDN w:val="0"/>
      <w:adjustRightInd w:val="0"/>
    </w:pPr>
    <w:rPr>
      <w:rFonts w:cs="Times New Roman"/>
      <w:b/>
      <w:color w:val="000000"/>
      <w:kern w:val="0"/>
      <w:sz w:val="21"/>
      <w:szCs w:val="21"/>
    </w:rPr>
  </w:style>
  <w:style w:type="paragraph" w:customStyle="1" w:yozoId="4094" w:styleId="71">
    <w:name w:val="Char Char Char Char Char Char Char Char Char Char Char Char Char Char Char Char Char Char Char2"/>
    <w:qFormat/>
    <w:basedOn w:val="0"/>
    <w:pPr>
      <w:widowControl/>
      <w:spacing w:after="160" w:line="240" w:lineRule="exact"/>
      <w:jc w:val="left"/>
    </w:pPr>
    <w:rPr>
      <w:rFonts w:ascii="Arial" w:eastAsia="Times New Roman" w:cs="Verdana" w:hAnsi="Arial"/>
      <w:b/>
      <w:kern w:val="0"/>
      <w:szCs w:val="24"/>
    </w:rPr>
  </w:style>
  <w:style w:type="paragraph" w:customStyle="1" w:yozoId="4094" w:styleId="72">
    <w:name w:val="列出段落3"/>
    <w:qFormat/>
    <w:basedOn w:val="0"/>
  </w:style>
  <w:style w:type="character" w:customStyle="1" w:yozoId="4094" w:styleId="73">
    <w:name w:val="font11"/>
    <w:qFormat/>
    <w:basedOn w:val="10"/>
    <w:rPr>
      <w:rFonts w:ascii="Arial" w:cs="Arial" w:hAnsi="Arial"/>
      <w:color w:val="000000"/>
      <w:sz w:val="22"/>
      <w:szCs w:val="22"/>
      <w:u w:val="none"/>
    </w:rPr>
  </w:style>
  <w:style w:type="character" w:customStyle="1" w:yozoId="4094" w:styleId="74">
    <w:name w:val="font01"/>
    <w:qFormat/>
    <w:basedOn w:val="10"/>
    <w:rPr>
      <w:rFonts w:ascii="font-weight : 400" w:eastAsia="font-weight : 400" w:cs="font-weight : 400" w:hAnsi="font-weight : 400"/>
      <w:color w:val="000000"/>
      <w:sz w:val="22"/>
      <w:szCs w:val="22"/>
      <w:u w:val="none"/>
    </w:rPr>
  </w:style>
  <w:style w:type="character" w:customStyle="1" w:yozoId="4094" w:styleId="75">
    <w:name w:val="font31"/>
    <w:qFormat/>
    <w:basedOn w:val="10"/>
    <w:rPr>
      <w:rFonts w:ascii="Times New Roman" w:cs="Times New Roman" w:hAnsi="Times New Roman"/>
      <w:color w:val="000000"/>
      <w:sz w:val="22"/>
      <w:szCs w:val="22"/>
      <w:u w:val="none"/>
      <w:vertAlign w:val="subscript"/>
    </w:rPr>
  </w:style>
  <w:style w:type="paragraph" w:customStyle="1" w:yozoId="4094" w:styleId="76">
    <w:name w:val="_Style 2"/>
    <w:qFormat/>
    <w:basedOn w:val="0"/>
  </w:style>
  <w:style w:type="paragraph" w:customStyle="1" w:yozoId="4094" w:styleId="77">
    <w:name w:val="公式4字符"/>
    <w:qFormat/>
    <w:basedOn w:val="76"/>
    <w:pPr>
      <w:adjustRightInd w:val="0"/>
      <w:snapToGrid w:val="0"/>
      <w:ind w:firstLineChars="400" w:firstLine="400"/>
      <w:jc w:val="left"/>
    </w:pPr>
    <w:rPr>
      <w:kern w:val="0"/>
    </w:rPr>
  </w:style>
  <w:style w:type="character" w:customStyle="1" w:yozoId="4094" w:styleId="78">
    <w:name w:val="font21"/>
    <w:qFormat/>
    <w:basedOn w:val="10"/>
    <w:rPr>
      <w:rFonts w:ascii="Times New Roman" w:cs="Times New Roman" w:hAnsi="Times New Roman"/>
      <w:color w:val="000000"/>
      <w:sz w:val="24"/>
      <w:szCs w:val="24"/>
      <w:u w:val="none"/>
      <w:vertAlign w:val="subscript"/>
    </w:rPr>
  </w:style>
  <w:style w:type="paragraph" w:customStyle="1" w:yozoId="4094" w:styleId="79">
    <w:name w:val="Normal_30_2"/>
    <w:qFormat/>
    <w:pPr>
      <w:spacing w:before="120" w:after="240" w:line="360" w:lineRule="auto"/>
      <w:jc w:val="both"/>
    </w:pPr>
    <w:rPr>
      <w:rFonts w:ascii="Times New Roman" w:eastAsia="宋体" w:cs="Calibri" w:hAnsi="Times New Roman"/>
      <w:sz w:val="22"/>
      <w:szCs w:val="22"/>
      <w:lang w:val="ru-RU" w:bidi="ar-SA"/>
    </w:rPr>
  </w:style>
  <w:style w:type="paragraph" w:customStyle="1" w:yozoId="4094" w:styleId="80">
    <w:name w:val="Normal_33_2"/>
    <w:qFormat/>
    <w:pPr>
      <w:spacing w:before="120" w:after="240" w:line="360" w:lineRule="auto"/>
      <w:jc w:val="both"/>
    </w:pPr>
    <w:rPr>
      <w:rFonts w:ascii="Times New Roman" w:eastAsia="宋体" w:cs="Calibri" w:hAnsi="Times New Roman"/>
      <w:sz w:val="22"/>
      <w:szCs w:val="22"/>
      <w:lang w:val="ru-RU" w:bidi="ar-SA"/>
    </w:rPr>
  </w:style>
  <w:style w:type="paragraph" w:customStyle="1" w:yozoId="4094" w:styleId="81">
    <w:name w:val="Normal_34_2"/>
    <w:qFormat/>
    <w:pPr>
      <w:spacing w:before="120" w:after="240" w:line="360" w:lineRule="auto"/>
      <w:jc w:val="both"/>
    </w:pPr>
    <w:rPr>
      <w:rFonts w:ascii="Times New Roman" w:eastAsia="宋体" w:cs="Calibri" w:hAnsi="Times New Roman"/>
      <w:sz w:val="22"/>
      <w:szCs w:val="22"/>
      <w:lang w:val="ru-RU" w:bidi="ar-SA"/>
    </w:rPr>
  </w:style>
  <w:style w:type="character" w:customStyle="1" w:yozoId="4094" w:styleId="82">
    <w:name w:val="副标题 字符"/>
    <w:qFormat/>
    <w:rPr>
      <w:rFonts w:ascii="Cambria" w:eastAsia="宋体" w:cs="Times New Roman" w:hAnsi="Cambria"/>
      <w:b/>
      <w:bCs/>
      <w:kern w:val="28"/>
      <w:sz w:val="32"/>
      <w:szCs w:val="32"/>
    </w:rPr>
  </w:style>
  <w:style w:type="paragraph" w:customStyle="1" w:yozoId="4094" w:styleId="83">
    <w:name w:val="p0"/>
    <w:qFormat/>
    <w:basedOn w:val="0"/>
    <w:pPr>
      <w:widowControl/>
    </w:pPr>
    <w:rPr>
      <w:kern w:val="0"/>
      <w:szCs w:val="21"/>
    </w:rPr>
  </w:style>
  <w:style w:type="paragraph" w:customStyle="1" w:yozoId="4094" w:styleId="84">
    <w:name w:val="TOC 标题2"/>
    <w:qFormat/>
    <w:basedOn w:val="1"/>
    <w:next w:val="0"/>
    <w:pPr>
      <w:spacing w:line="578" w:lineRule="auto"/>
      <w:ind w:firstLineChars="200" w:firstLine="200"/>
      <w:jc w:val="both"/>
      <w:outlineLvl w:val="9"/>
    </w:pPr>
    <w:rPr>
      <w:b w:val="0"/>
      <w:sz w:val="44"/>
    </w:rPr>
  </w:style>
  <w:style w:type="character" w:customStyle="1" w:yozoId="4094" w:styleId="85">
    <w:name w:val="占位符文本1"/>
    <w:qFormat/>
    <w:basedOn w:val="10"/>
    <w:rPr>
      <w:color w:val="808080"/>
    </w:rPr>
  </w:style>
  <w:style w:type="paragraph" w:customStyle="1" w:yozoId="4094" w:styleId="86">
    <w:name w:val="列出段落4"/>
    <w:qFormat/>
    <w:basedOn w:val="0"/>
    <w:pPr>
      <w:spacing w:line="240" w:lineRule="auto"/>
      <w:textAlignment w:val="auto"/>
    </w:pPr>
    <w:rPr>
      <w:rFonts w:cs="Times New Roman"/>
      <w:sz w:val="21"/>
      <w:szCs w:val="24"/>
    </w:rPr>
  </w:style>
  <w:style w:type="paragraph" w:customStyle="1" w:yozoId="4094" w:styleId="87">
    <w:name w:val="Char Char Char Char Char Char Char"/>
    <w:qFormat/>
    <w:basedOn w:val="0"/>
    <w:pPr>
      <w:widowControl/>
      <w:spacing w:after="160" w:line="240" w:lineRule="exact"/>
      <w:jc w:val="left"/>
      <w:textAlignment w:val="auto"/>
    </w:pPr>
    <w:rPr>
      <w:rFonts w:ascii="Arial" w:eastAsia="Times New Roman" w:cs="Verdana" w:hAnsi="Arial"/>
      <w:b/>
      <w:kern w:val="0"/>
      <w:szCs w:val="21"/>
    </w:rPr>
  </w:style>
  <w:style w:type="paragraph" w:customStyle="1" w:yozoId="4094" w:styleId="88">
    <w:name w:val="Default"/>
    <w:qFormat/>
    <w:pPr>
      <w:widowControl w:val="0"/>
      <w:autoSpaceDE w:val="0"/>
      <w:autoSpaceDN w:val="0"/>
      <w:adjustRightInd w:val="0"/>
    </w:pPr>
    <w:rPr>
      <w:rFonts w:ascii="宋体" w:eastAsia="宋体" w:cs="宋体" w:hAnsi="Times New Roman"/>
      <w:color w:val="000000"/>
      <w:sz w:val="24"/>
      <w:szCs w:val="24"/>
      <w:lang w:val="en-US" w:eastAsia="zh-CN" w:bidi="ar-SA"/>
    </w:rPr>
  </w:style>
  <w:style w:type="paragraph" w:styleId="89">
    <w:name w:val="List Paragraph"/>
    <w:qFormat/>
    <w:basedOn w:val="0"/>
    <w:pPr>
      <w:ind w:firstLineChars="0" w:firstLine="0"/>
    </w:pPr>
  </w:style>
  <w:style w:type="character" w:customStyle="1" w:yozoId="4094" w:styleId="90">
    <w:name w:val="op_dict_text2"/>
    <w:qFormat/>
    <w:basedOn w:val="10"/>
  </w:style>
  <w:style w:type="character" w:customStyle="1" w:yozoId="4094" w:styleId="91">
    <w:name w:val="页眉 Char"/>
    <w:qFormat/>
    <w:rPr>
      <w:rFonts w:ascii="Times New Roman" w:hAnsi="Times New Roman"/>
      <w:sz w:val="18"/>
      <w:szCs w:val="18"/>
    </w:rPr>
  </w:style>
  <w:style w:type="character" w:customStyle="1" w:yozoId="4094" w:styleId="92">
    <w:name w:val="页脚 Char"/>
    <w:qFormat/>
    <w:rPr>
      <w:rFonts w:ascii="Times New Roman" w:hAnsi="Times New Roman"/>
      <w:sz w:val="18"/>
      <w:szCs w:val="18"/>
    </w:rPr>
  </w:style>
  <w:style w:type="character" w:customStyle="1" w:yozoId="4094" w:styleId="93">
    <w:name w:val="标题 2 Char"/>
    <w:qFormat/>
    <w:rPr>
      <w:rFonts w:ascii="Calibri Light" w:hAnsi="Calibri Light"/>
      <w:b/>
      <w:bCs/>
      <w:sz w:val="32"/>
      <w:szCs w:val="32"/>
    </w:rPr>
  </w:style>
  <w:style w:type="character" w:customStyle="1" w:yozoId="4094" w:styleId="94">
    <w:name w:val="批注文字 Char"/>
    <w:qFormat/>
    <w:rPr>
      <w:rFonts w:ascii="Times New Roman" w:hAnsi="Times New Roman"/>
      <w:szCs w:val="24"/>
    </w:rPr>
  </w:style>
  <w:style w:type="character" w:customStyle="1" w:yozoId="4094" w:styleId="95">
    <w:name w:val="批注框文本 Char"/>
    <w:qFormat/>
    <w:rPr>
      <w:rFonts w:ascii="Times New Roman" w:hAnsi="Times New Roman"/>
      <w:sz w:val="18"/>
      <w:szCs w:val="18"/>
    </w:rPr>
  </w:style>
  <w:style w:type="character" w:customStyle="1" w:yozoId="4094" w:styleId="96">
    <w:name w:val="文档结构图 字符"/>
    <w:qFormat/>
    <w:basedOn w:val="10"/>
    <w:rPr>
      <w:rFonts w:ascii="宋体" w:cs="Arial"/>
      <w:kern w:val="2"/>
      <w:sz w:val="18"/>
      <w:szCs w:val="18"/>
    </w:rPr>
  </w:style>
  <w:style w:type="character" w:customStyle="1" w:yozoId="4094" w:styleId="97">
    <w:name w:val="批注主题 Char"/>
    <w:qFormat/>
    <w:rPr>
      <w:rFonts w:ascii="Times New Roman" w:hAnsi="Times New Roman"/>
      <w:b/>
      <w:bCs/>
      <w:sz w:val="24"/>
      <w:szCs w:val="24"/>
    </w:rPr>
  </w:style>
  <w:style w:type="paragraph" w:customStyle="1" w:yozoId="4094" w:styleId="98">
    <w:name w:val="修订1"/>
    <w:qFormat/>
    <w:rPr>
      <w:rFonts w:ascii="Times New Roman" w:eastAsia="宋体" w:cs="Times New Roman" w:hAnsi="Times New Roman"/>
      <w:kern w:val="2"/>
      <w:sz w:val="24"/>
      <w:szCs w:val="22"/>
      <w:lang w:val="en-US" w:eastAsia="zh-CN" w:bidi="ar-SA"/>
    </w:rPr>
  </w:style>
  <w:style w:type="character" w:customStyle="1" w:yozoId="4094" w:styleId="99">
    <w:name w:val="标题 1 Char"/>
    <w:qFormat/>
    <w:rPr>
      <w:rFonts w:ascii="Times New Roman" w:hAnsi="Times New Roman"/>
      <w:b/>
      <w:bCs/>
      <w:kern w:val="44"/>
      <w:sz w:val="44"/>
      <w:szCs w:val="44"/>
    </w:rPr>
  </w:style>
  <w:style w:type="character" w:customStyle="1" w:yozoId="4094" w:styleId="100">
    <w:name w:val="doc_title"/>
    <w:qFormat/>
    <w:basedOn w:val="10"/>
  </w:style>
  <w:style w:type="character" w:customStyle="1" w:yozoId="4094" w:styleId="101">
    <w:name w:val="src"/>
    <w:qFormat/>
    <w:basedOn w:val="10"/>
  </w:style>
  <w:style w:type="character" w:customStyle="1" w:yozoId="4094" w:styleId="102">
    <w:name w:val="apple-converted-space"/>
    <w:qFormat/>
    <w:basedOn w:val="10"/>
  </w:style>
  <w:style w:type="character" w:customStyle="1" w:yozoId="4094" w:styleId="103">
    <w:name w:val="纯文本 Char"/>
    <w:qFormat/>
    <w:rPr>
      <w:rFonts w:ascii="宋体" w:cs="Courier New" w:hAnsi="Courier New"/>
      <w:sz w:val="21"/>
      <w:szCs w:val="21"/>
    </w:rPr>
  </w:style>
  <w:style w:type="paragraph" w:customStyle="1" w:yozoId="4094" w:styleId="104">
    <w:name w:val="修订2"/>
    <w:qFormat/>
    <w:rPr>
      <w:rFonts w:ascii="Times New Roman" w:eastAsia="宋体" w:cs="Times New Roman" w:hAnsi="Times New Roman"/>
      <w:kern w:val="2"/>
      <w:sz w:val="24"/>
      <w:szCs w:val="22"/>
      <w:lang w:val="en-US" w:eastAsia="zh-CN" w:bidi="ar-SA"/>
    </w:rPr>
  </w:style>
  <w:style w:type="paragraph" w:customStyle="1" w:yozoId="4094" w:styleId="105">
    <w:name w:val="图名表名"/>
    <w:qFormat/>
    <w:next w:val="20"/>
    <w:pPr>
      <w:spacing w:line="360" w:lineRule="exact"/>
      <w:jc w:val="center"/>
    </w:pPr>
    <w:rPr>
      <w:rFonts w:ascii="Calibri" w:eastAsia="宋体" w:cs="Arial" w:hAnsi="Calibri"/>
      <w:b/>
      <w:sz w:val="21"/>
      <w:szCs w:val="22"/>
      <w:lang w:val="en-US" w:eastAsia="zh-CN" w:bidi="ar-SA"/>
    </w:rPr>
  </w:style>
  <w:style w:type="paragraph" w:customStyle="1" w:yozoId="4094" w:styleId="106">
    <w:name w:val="注"/>
    <w:qFormat/>
    <w:basedOn w:val="105"/>
    <w:pPr>
      <w:jc w:val="left"/>
    </w:pPr>
    <w:rPr>
      <w:rFonts w:eastAsia="宋体"/>
    </w:rPr>
  </w:style>
  <w:style w:type="paragraph" w:customStyle="1" w:yozoId="4094" w:styleId="107">
    <w:name w:val="m正文"/>
    <w:qFormat/>
    <w:basedOn w:val="0"/>
    <w:rPr>
      <w:rFonts w:ascii="黑体" w:eastAsia="黑体" w:hAnsi="黑体"/>
      <w:szCs w:val="21"/>
    </w:rPr>
  </w:style>
  <w:style w:type="paragraph" w:customStyle="1" w:yozoId="4094" w:styleId="108">
    <w:name w:val="一级条标题"/>
    <w:qFormat/>
    <w:next w:val="111"/>
    <w:pPr>
      <w:numPr>
        <w:ilvl w:val="1"/>
        <w:numId w:val="2"/>
      </w:numPr>
      <w:spacing w:beforeLines="50" w:before="50" w:afterLines="50" w:after="50"/>
      <w:outlineLvl w:val="2"/>
    </w:pPr>
    <w:rPr>
      <w:rFonts w:ascii="黑体" w:eastAsia="黑体" w:cs="Times New Roman" w:hAnsi="Times New Roman"/>
      <w:sz w:val="21"/>
      <w:szCs w:val="21"/>
      <w:lang w:val="en-US" w:eastAsia="zh-CN" w:bidi="ar-SA"/>
    </w:rPr>
  </w:style>
  <w:style w:type="paragraph" w:customStyle="1" w:yozoId="4094" w:styleId="109">
    <w:name w:val="二级条标题"/>
    <w:qFormat/>
    <w:basedOn w:val="108"/>
    <w:next w:val="111"/>
    <w:pPr>
      <w:numPr>
        <w:ilvl w:val="0"/>
        <w:numId w:val="0"/>
      </w:numPr>
      <w:outlineLvl w:val="3"/>
    </w:pPr>
  </w:style>
  <w:style w:type="paragraph" w:customStyle="1" w:yozoId="4094" w:styleId="110">
    <w:name w:val="二级无"/>
    <w:qFormat/>
    <w:basedOn w:val="109"/>
    <w:pPr>
      <w:spacing w:beforeLines="0" w:before="50" w:afterLines="0" w:after="50"/>
    </w:pPr>
    <w:rPr>
      <w:rFonts w:ascii="宋体" w:eastAsia="宋体"/>
    </w:rPr>
  </w:style>
  <w:style w:type="paragraph" w:customStyle="1" w:yozoId="4094" w:styleId="111">
    <w:name w:val="段"/>
    <w:qFormat/>
    <w:pPr>
      <w:tabs>
        <w:tab w:val="center" w:pos="4201"/>
        <w:tab w:val="right" w:leader="dot" w:pos="9298"/>
      </w:tabs>
      <w:autoSpaceDE w:val="0"/>
      <w:autoSpaceDN w:val="0"/>
      <w:ind w:firstLineChars="200" w:firstLine="200"/>
      <w:jc w:val="both"/>
    </w:pPr>
    <w:rPr>
      <w:rFonts w:ascii="Times New Roman" w:eastAsia="宋体" w:cs="Times New Roman" w:hAnsi="Times New Roman"/>
      <w:sz w:val="21"/>
      <w:szCs w:val="22"/>
      <w:lang w:val="en-US" w:eastAsia="zh-CN" w:bidi="ar-SA"/>
    </w:rPr>
  </w:style>
  <w:style w:type="paragraph" w:customStyle="1" w:yozoId="4094" w:styleId="112">
    <w:name w:val="图名"/>
    <w:qFormat/>
    <w:basedOn w:val="0"/>
    <w:next w:val="0"/>
    <w:pPr>
      <w:jc w:val="center"/>
    </w:pPr>
    <w:rPr>
      <w:rFonts w:ascii="黑体" w:eastAsia="黑体" w:hAnsi="黑体"/>
    </w:rPr>
  </w:style>
  <w:style w:type="paragraph" w:customStyle="1" w:yozoId="4094" w:styleId="113">
    <w:name w:val="正文图标题"/>
    <w:qFormat/>
    <w:next w:val="111"/>
    <w:pPr>
      <w:numPr>
        <w:ilvl w:val="0"/>
        <w:numId w:val="3"/>
      </w:numPr>
      <w:spacing w:beforeLines="50" w:before="50" w:afterLines="50" w:after="50"/>
      <w:ind w:left="0"/>
      <w:jc w:val="center"/>
    </w:pPr>
    <w:rPr>
      <w:rFonts w:ascii="黑体" w:eastAsia="黑体" w:cs="Times New Roman" w:hAnsi="Times New Roman"/>
      <w:sz w:val="21"/>
      <w:szCs w:val="22"/>
      <w:lang w:val="en-US" w:eastAsia="zh-CN" w:bidi="ar-SA"/>
    </w:rPr>
  </w:style>
  <w:style w:type="paragraph" w:customStyle="1" w:yozoId="4094" w:styleId="114">
    <w:name w:val="字母编号列项（一级）"/>
    <w:qFormat/>
    <w:pPr>
      <w:numPr>
        <w:ilvl w:val="0"/>
        <w:numId w:val="4"/>
      </w:numPr>
      <w:jc w:val="both"/>
    </w:pPr>
    <w:rPr>
      <w:rFonts w:ascii="宋体" w:eastAsia="宋体" w:cs="Times New Roman" w:hAnsi="Times New Roman"/>
      <w:sz w:val="21"/>
      <w:szCs w:val="22"/>
      <w:lang w:val="en-US" w:eastAsia="zh-CN" w:bidi="ar-SA"/>
    </w:rPr>
  </w:style>
  <w:style w:type="paragraph" w:customStyle="1" w:yozoId="4094" w:styleId="115">
    <w:name w:val="正文1"/>
    <w:qFormat/>
    <w:pPr>
      <w:spacing w:line="360" w:lineRule="auto"/>
      <w:ind w:firstLineChars="200" w:firstLine="200"/>
    </w:pPr>
    <w:rPr>
      <w:rFonts w:ascii="Times New Roman" w:eastAsia="宋体" w:cs="Arial" w:hAnsi="Times New Roman"/>
      <w:kern w:val="44"/>
      <w:sz w:val="28"/>
      <w:szCs w:val="28"/>
      <w:lang w:val="en-US" w:eastAsia="zh-CN" w:bidi="ar-SA"/>
    </w:rPr>
  </w:style>
  <w:style w:type="character" w:styleId="116">
    <w:name w:val="Placeholder Text"/>
    <w:qFormat/>
    <w:basedOn w:val="10"/>
    <w:rPr>
      <w:color w:val="808080"/>
    </w:rPr>
  </w:style>
  <w:style w:type="character" w:customStyle="1" w:yozoId="4094" w:styleId="117">
    <w:name w:val="标题 3 Char"/>
    <w:qFormat/>
    <w:basedOn w:val="10"/>
    <w:rPr>
      <w:rFonts w:cs="Arial"/>
      <w:bCs/>
      <w:kern w:val="2"/>
      <w:sz w:val="28"/>
      <w:szCs w:val="32"/>
    </w:rPr>
  </w:style>
  <w:style w:type="paragraph" w:customStyle="1" w:yozoId="4094" w:styleId="118">
    <w:name w:val="m图"/>
    <w:qFormat/>
    <w:basedOn w:val="0"/>
    <w:next w:val="0"/>
    <w:pPr>
      <w:adjustRightInd w:val="0"/>
      <w:snapToGrid w:val="0"/>
      <w:spacing w:beforeLines="50" w:before="50" w:line="240" w:lineRule="auto"/>
      <w:ind w:firstLineChars="0" w:firstLine="0"/>
      <w:jc w:val="center"/>
      <w:textAlignment w:val="auto"/>
    </w:pPr>
    <w:rPr>
      <w:rFonts w:cs="Times New Roman"/>
      <w:sz w:val="21"/>
      <w:szCs w:val="24"/>
    </w:rPr>
  </w:style>
  <w:style w:type="paragraph" w:customStyle="1" w:yozoId="4094" w:styleId="119">
    <w:name w:val="m分图名"/>
    <w:qFormat/>
    <w:pPr>
      <w:adjustRightInd w:val="0"/>
      <w:jc w:val="center"/>
    </w:pPr>
    <w:rPr>
      <w:rFonts w:ascii="Times New Roman" w:eastAsia="宋体" w:cs="Times New Roman" w:hAnsi="Times New Roman"/>
      <w:kern w:val="2"/>
      <w:sz w:val="18"/>
      <w:szCs w:val="24"/>
      <w:lang w:val="en-US" w:eastAsia="zh-CN" w:bidi="ar-SA"/>
    </w:rPr>
  </w:style>
  <w:style w:type="paragraph" w:customStyle="1" w:yozoId="4094" w:styleId="120">
    <w:name w:val="m图名"/>
    <w:qFormat/>
    <w:basedOn w:val="0"/>
    <w:pPr>
      <w:adjustRightInd w:val="0"/>
      <w:spacing w:afterLines="50" w:after="50" w:line="240" w:lineRule="auto"/>
      <w:ind w:firstLineChars="0" w:firstLine="0"/>
      <w:jc w:val="center"/>
      <w:textAlignment w:val="auto"/>
    </w:pPr>
    <w:rPr>
      <w:rFonts w:cs="Times New Roman"/>
      <w:sz w:val="18"/>
      <w:szCs w:val="24"/>
    </w:rPr>
  </w:style>
  <w:style w:type="character" w:customStyle="1" w:yozoId="4094" w:styleId="121">
    <w:name w:val="font41"/>
    <w:qFormat/>
    <w:basedOn w:val="10"/>
    <w:rPr>
      <w:rFonts w:ascii="Times New Roman" w:cs="Times New Roman" w:hAnsi="Times New Roman"/>
      <w:color w:val="000000"/>
      <w:sz w:val="24"/>
      <w:szCs w:val="24"/>
      <w:u w:val="none"/>
    </w:rPr>
  </w:style>
  <w:style w:type="paragraph" w:customStyle="1" w:yozoId="4094" w:styleId="122">
    <w:name w:val="修订3"/>
    <w:qFormat/>
    <w:rPr>
      <w:rFonts w:ascii="Times New Roman" w:eastAsia="宋体" w:cs="Arial" w:hAnsi="Times New Roman"/>
      <w:kern w:val="2"/>
      <w:sz w:val="24"/>
      <w:szCs w:val="22"/>
      <w:lang w:val="en-US" w:eastAsia="zh-CN" w:bidi="ar-SA"/>
    </w:rPr>
  </w:style>
  <w:style w:type="paragraph" w:customStyle="1" w:yozoId="4094" w:styleId="123">
    <w:name w:val="TOC 标题3"/>
    <w:qFormat/>
    <w:basedOn w:val="1"/>
    <w:next w:val="0"/>
    <w:pPr>
      <w:widowControl/>
      <w:spacing w:before="240" w:line="259" w:lineRule="auto"/>
      <w:ind w:firstLineChars="0" w:firstLine="0"/>
      <w:jc w:val="left"/>
      <w:outlineLvl w:val="9"/>
    </w:pPr>
    <w:rPr>
      <w:rFonts w:ascii="Cambria" w:eastAsia="宋体" w:cs="Times New Roman" w:hAnsi="Cambria"/>
      <w:b w:val="0"/>
      <w:bCs w:val="0"/>
      <w:color w:val="376092"/>
      <w:kern w:val="0"/>
      <w:szCs w:val="32"/>
    </w:rPr>
  </w:style>
  <w:style w:type="paragraph" w:customStyle="1" w:yozoId="4094" w:styleId="124">
    <w:name w:val="图片"/>
    <w:qFormat/>
    <w:pPr>
      <w:jc w:val="center"/>
    </w:pPr>
    <w:rPr>
      <w:rFonts w:ascii="Cambria Math" w:eastAsia="宋体" w:cs="Arial" w:hAnsi="Cambria Math"/>
      <w:kern w:val="2"/>
      <w:sz w:val="21"/>
      <w:szCs w:val="21"/>
      <w:lang w:val="en-US" w:eastAsia="zh-CN" w:bidi="ar-SA"/>
    </w:rPr>
  </w:style>
  <w:style w:type="character" w:customStyle="1" w:yozoId="4094" w:styleId="125">
    <w:name w:val="题注 Char"/>
    <w:qFormat/>
    <w:rPr>
      <w:rFonts w:eastAsia="宋体" w:cs="Times New Roman"/>
      <w:b/>
      <w:kern w:val="2"/>
      <w:sz w:val="21"/>
    </w:rPr>
  </w:style>
  <w:style w:type="paragraph" w:customStyle="1" w:yozoId="4094" w:styleId="126">
    <w:name w:val="列出段落5"/>
    <w:qFormat/>
    <w:basedOn w:val="0"/>
    <w:pPr>
      <w:spacing w:line="400" w:lineRule="exact"/>
      <w:textAlignment w:val="auto"/>
    </w:pPr>
    <w:rPr>
      <w:rFonts w:cs="Times New Roman"/>
      <w:szCs w:val="24"/>
    </w:rPr>
  </w:style>
  <w:style w:type="paragraph" w:customStyle="1" w:yozoId="4094" w:styleId="127">
    <w:name w:val="修订4"/>
    <w:qFormat/>
    <w:rPr>
      <w:rFonts w:ascii="Times New Roman" w:eastAsia="宋体" w:cs="Arial" w:hAnsi="Times New Roman"/>
      <w:kern w:val="2"/>
      <w:sz w:val="24"/>
      <w:szCs w:val="22"/>
      <w:lang w:val="en-US" w:eastAsia="zh-CN" w:bidi="ar-SA"/>
    </w:rPr>
  </w:style>
  <w:style w:type="paragraph" w:customStyle="1" w:yozoId="4094" w:styleId="128">
    <w:name w:val="修订5"/>
    <w:qFormat/>
    <w:rPr>
      <w:rFonts w:ascii="Times New Roman" w:eastAsia="宋体" w:cs="Arial" w:hAnsi="Times New Roman"/>
      <w:kern w:val="2"/>
      <w:sz w:val="24"/>
      <w:szCs w:val="22"/>
      <w:lang w:val="en-US" w:eastAsia="zh-CN" w:bidi="ar-SA"/>
    </w:rPr>
  </w:style>
  <w:style w:type="paragraph" w:customStyle="1" w:yozoId="4094" w:styleId="129">
    <w:name w:val="修订6"/>
    <w:qFormat/>
    <w:rPr>
      <w:rFonts w:ascii="Times New Roman" w:eastAsia="宋体" w:cs="Arial" w:hAnsi="Times New Roman"/>
      <w:kern w:val="2"/>
      <w:sz w:val="24"/>
      <w:szCs w:val="22"/>
      <w:lang w:val="en-US" w:eastAsia="zh-CN" w:bidi="ar-SA"/>
    </w:rPr>
  </w:style>
  <w:style w:type="paragraph" w:customStyle="1" w:yozoId="4094" w:styleId="130">
    <w:name w:val="修订7"/>
    <w:qFormat/>
    <w:rPr>
      <w:rFonts w:ascii="Times New Roman" w:eastAsia="宋体" w:cs="Arial" w:hAnsi="Times New Roman"/>
      <w:kern w:val="2"/>
      <w:sz w:val="24"/>
      <w:szCs w:val="22"/>
      <w:lang w:val="en-US" w:eastAsia="zh-CN" w:bidi="ar-SA"/>
    </w:rPr>
  </w:style>
  <w:style w:type="paragraph" w:customStyle="1" w:yozoId="4094" w:styleId="131">
    <w:name w:val="数字编号列项（二级）"/>
    <w:qFormat/>
    <w:pPr>
      <w:tabs>
        <w:tab w:val="left" w:pos="1259"/>
      </w:tabs>
      <w:ind w:left="1259" w:hanging="420"/>
      <w:jc w:val="both"/>
    </w:pPr>
    <w:rPr>
      <w:rFonts w:ascii="宋体" w:eastAsia="宋体" w:cs="Times New Roman" w:hAnsi="Times New Roman"/>
      <w:sz w:val="21"/>
      <w:szCs w:val="20"/>
      <w:lang w:val="en-US" w:eastAsia="zh-CN" w:bidi="ar-SA"/>
    </w:rPr>
  </w:style>
  <w:style w:type="paragraph" w:customStyle="1" w:yozoId="4094" w:styleId="132">
    <w:name w:val="编号列项（三级）"/>
    <w:qFormat/>
    <w:pPr>
      <w:tabs>
        <w:tab w:val="left" w:pos="0"/>
      </w:tabs>
      <w:ind w:left="1678" w:hanging="419"/>
    </w:pPr>
    <w:rPr>
      <w:rFonts w:ascii="宋体" w:eastAsia="宋体" w:cs="Times New Roman" w:hAnsi="Times New Roman"/>
      <w:sz w:val="21"/>
      <w:szCs w:val="20"/>
      <w:lang w:val="en-US" w:eastAsia="zh-CN" w:bidi="ar-SA"/>
    </w:rPr>
  </w:style>
  <w:style w:type="paragraph" w:customStyle="1" w:yozoId="4094" w:styleId="133">
    <w:name w:val="章标题"/>
    <w:qFormat/>
    <w:next w:val="111"/>
    <w:pPr>
      <w:spacing w:beforeLines="100" w:before="100" w:afterLines="100" w:after="100"/>
      <w:jc w:val="both"/>
      <w:outlineLvl w:val="1"/>
    </w:pPr>
    <w:rPr>
      <w:rFonts w:ascii="黑体" w:eastAsia="黑体" w:cs="Times New Roman" w:hAnsi="Times New Roman"/>
      <w:sz w:val="21"/>
      <w:szCs w:val="20"/>
      <w:lang w:val="en-US" w:eastAsia="zh-CN" w:bidi="ar-SA"/>
    </w:rPr>
  </w:style>
  <w:style w:type="paragraph" w:customStyle="1" w:yozoId="4094" w:styleId="134">
    <w:name w:val="三级条标题"/>
    <w:qFormat/>
    <w:basedOn w:val="109"/>
    <w:next w:val="111"/>
    <w:pPr>
      <w:outlineLvl w:val="4"/>
    </w:pPr>
  </w:style>
  <w:style w:type="paragraph" w:customStyle="1" w:yozoId="4094" w:styleId="135">
    <w:name w:val="四级条标题"/>
    <w:qFormat/>
    <w:basedOn w:val="134"/>
    <w:next w:val="111"/>
    <w:pPr>
      <w:outlineLvl w:val="5"/>
    </w:pPr>
  </w:style>
  <w:style w:type="paragraph" w:customStyle="1" w:yozoId="4094" w:styleId="136">
    <w:name w:val="五级条标题"/>
    <w:qFormat/>
    <w:basedOn w:val="135"/>
    <w:next w:val="111"/>
    <w:pPr>
      <w:outlineLvl w:val="6"/>
    </w:pPr>
  </w:style>
  <w:style w:type="paragraph" w:customStyle="1" w:yozoId="4094" w:styleId="137">
    <w:name w:val="修订8"/>
    <w:qFormat/>
    <w:rPr>
      <w:rFonts w:ascii="Times New Roman" w:eastAsia="宋体" w:cs="Arial" w:hAnsi="Times New Roman"/>
      <w:kern w:val="2"/>
      <w:sz w:val="24"/>
      <w:szCs w:val="22"/>
      <w:lang w:val="en-US" w:eastAsia="zh-CN" w:bidi="ar-SA"/>
    </w:rPr>
  </w:style>
  <w:style w:type="paragraph" w:customStyle="1" w:yozoId="4094" w:styleId="138">
    <w:name w:val="AMDisplayEquation"/>
    <w:qFormat/>
    <w:basedOn w:val="0"/>
    <w:next w:val="0"/>
    <w:pPr>
      <w:tabs>
        <w:tab w:val="center" w:pos="4160"/>
        <w:tab w:val="right" w:pos="8300"/>
      </w:tabs>
      <w:autoSpaceDE w:val="0"/>
      <w:autoSpaceDN w:val="0"/>
      <w:adjustRightInd w:val="0"/>
      <w:snapToGrid w:val="0"/>
    </w:pPr>
    <w:rPr>
      <w:rFonts w:cs="Times New Roman"/>
      <w:kern w:val="0"/>
      <w:szCs w:val="21"/>
    </w:rPr>
  </w:style>
  <w:style w:type="character" w:customStyle="1" w:yozoId="4094" w:styleId="139">
    <w:name w:val="font51"/>
    <w:qFormat/>
    <w:basedOn w:val="10"/>
    <w:rPr>
      <w:rFonts w:ascii="宋体" w:eastAsia="宋体" w:cs="宋体" w:hAnsi="宋体"/>
      <w:color w:val="000000"/>
      <w:sz w:val="20"/>
      <w:szCs w:val="20"/>
      <w:u w:val="none"/>
    </w:rPr>
  </w:style>
  <w:style w:type="character" w:customStyle="1" w:yozoId="4094" w:styleId="140">
    <w:name w:val="tran"/>
    <w:qFormat/>
    <w:basedOn w:val="10"/>
  </w:style>
  <w:style w:type="character" w:customStyle="1" w:yozoId="4094" w:styleId="141">
    <w:name w:val="标题 3 字符"/>
    <w:qFormat/>
    <w:basedOn w:val="10"/>
    <w:rPr>
      <w:rFonts w:cs="Arial"/>
      <w:bCs/>
      <w:kern w:val="2"/>
      <w:sz w:val="24"/>
      <w:szCs w:val="32"/>
    </w:rPr>
  </w:style>
  <w:style w:type="paragraph" w:customStyle="1" w:yozoId="4094" w:styleId="142">
    <w:name w:val="修订9"/>
    <w:qFormat/>
    <w:rPr>
      <w:rFonts w:ascii="Times New Roman" w:eastAsia="宋体" w:cs="Arial" w:hAnsi="Times New Roman"/>
      <w:kern w:val="2"/>
      <w:sz w:val="24"/>
      <w:szCs w:val="22"/>
      <w:lang w:val="en-US" w:eastAsia="zh-CN" w:bidi="ar-SA"/>
    </w:rPr>
  </w:style>
  <w:style w:type="character" w:customStyle="1" w:yozoId="4094" w:styleId="143">
    <w:name w:val="批注文字 字符1"/>
    <w:qFormat/>
    <w:basedOn w:val="10"/>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image" Target="media/5.jpeg"/><Relationship Id="rId7" Type="http://schemas.openxmlformats.org/officeDocument/2006/relationships/header" Target="header3.xml"/><Relationship Id="rId8" Type="http://schemas.openxmlformats.org/officeDocument/2006/relationships/footer" Target="footer3.xml"/><Relationship Id="rId9" Type="http://schemas.openxmlformats.org/officeDocument/2006/relationships/image" Target="media/10.wmf"/><Relationship Id="rId10" Type="http://schemas.openxmlformats.org/officeDocument/2006/relationships/oleObject" Target="embeddings/oleObject1.bin"/><Relationship Id="rId11" Type="http://schemas.openxmlformats.org/officeDocument/2006/relationships/image" Target="media/12.wmf"/><Relationship Id="rId12" Type="http://schemas.openxmlformats.org/officeDocument/2006/relationships/oleObject" Target="embeddings/oleObject2.bin"/><Relationship Id="rId13" Type="http://schemas.openxmlformats.org/officeDocument/2006/relationships/image" Target="media/14.wmf"/><Relationship Id="rId14" Type="http://schemas.openxmlformats.org/officeDocument/2006/relationships/oleObject" Target="embeddings/oleObject3.bin"/><Relationship Id="rId15" Type="http://schemas.openxmlformats.org/officeDocument/2006/relationships/image" Target="media/16.wmf"/><Relationship Id="rId16" Type="http://schemas.openxmlformats.org/officeDocument/2006/relationships/oleObject" Target="embeddings/oleObject4.bin"/><Relationship Id="rId17" Type="http://schemas.openxmlformats.org/officeDocument/2006/relationships/image" Target="media/18.wmf"/><Relationship Id="rId18" Type="http://schemas.openxmlformats.org/officeDocument/2006/relationships/oleObject" Target="embeddings/oleObject5.bin"/><Relationship Id="rId19" Type="http://schemas.openxmlformats.org/officeDocument/2006/relationships/image" Target="media/20.wmf"/><Relationship Id="rId20" Type="http://schemas.openxmlformats.org/officeDocument/2006/relationships/oleObject" Target="embeddings/oleObject6.bin"/><Relationship Id="rId21" Type="http://schemas.openxmlformats.org/officeDocument/2006/relationships/image" Target="media/22.wmf"/><Relationship Id="rId22" Type="http://schemas.openxmlformats.org/officeDocument/2006/relationships/oleObject" Target="embeddings/oleObject7.bin"/><Relationship Id="rId23" Type="http://schemas.openxmlformats.org/officeDocument/2006/relationships/image" Target="media/24.wmf"/><Relationship Id="rId24" Type="http://schemas.openxmlformats.org/officeDocument/2006/relationships/oleObject" Target="embeddings/oleObject8.bin"/><Relationship Id="rId25" Type="http://schemas.openxmlformats.org/officeDocument/2006/relationships/image" Target="media/26.wmf"/><Relationship Id="rId26" Type="http://schemas.openxmlformats.org/officeDocument/2006/relationships/oleObject" Target="embeddings/oleObject9.bin"/><Relationship Id="rId27" Type="http://schemas.openxmlformats.org/officeDocument/2006/relationships/image" Target="media/28.wmf"/><Relationship Id="rId28" Type="http://schemas.openxmlformats.org/officeDocument/2006/relationships/oleObject" Target="embeddings/oleObject10.bin"/><Relationship Id="rId29" Type="http://schemas.openxmlformats.org/officeDocument/2006/relationships/image" Target="media/30.wmf"/><Relationship Id="rId30" Type="http://schemas.openxmlformats.org/officeDocument/2006/relationships/oleObject" Target="embeddings/oleObject11.bin"/><Relationship Id="rId31" Type="http://schemas.openxmlformats.org/officeDocument/2006/relationships/image" Target="media/32.wmf"/><Relationship Id="rId32" Type="http://schemas.openxmlformats.org/officeDocument/2006/relationships/oleObject" Target="embeddings/oleObject12.bin"/><Relationship Id="rId33" Type="http://schemas.openxmlformats.org/officeDocument/2006/relationships/image" Target="media/34.wmf"/><Relationship Id="rId34" Type="http://schemas.openxmlformats.org/officeDocument/2006/relationships/oleObject" Target="embeddings/oleObject13.bin"/><Relationship Id="rId35" Type="http://schemas.openxmlformats.org/officeDocument/2006/relationships/image" Target="media/36.wmf"/><Relationship Id="rId36" Type="http://schemas.openxmlformats.org/officeDocument/2006/relationships/oleObject" Target="embeddings/oleObject14.bin"/><Relationship Id="rId37" Type="http://schemas.openxmlformats.org/officeDocument/2006/relationships/image" Target="media/38.wmf"/><Relationship Id="rId38" Type="http://schemas.openxmlformats.org/officeDocument/2006/relationships/oleObject" Target="embeddings/oleObject15.bin"/><Relationship Id="rId39" Type="http://schemas.openxmlformats.org/officeDocument/2006/relationships/image" Target="media/40.wmf"/><Relationship Id="rId40" Type="http://schemas.openxmlformats.org/officeDocument/2006/relationships/oleObject" Target="embeddings/oleObject16.bin"/><Relationship Id="rId41" Type="http://schemas.openxmlformats.org/officeDocument/2006/relationships/image" Target="media/42.wmf"/><Relationship Id="rId42" Type="http://schemas.openxmlformats.org/officeDocument/2006/relationships/oleObject" Target="embeddings/oleObject17.bin"/><Relationship Id="rId43" Type="http://schemas.openxmlformats.org/officeDocument/2006/relationships/image" Target="media/44.wmf"/><Relationship Id="rId44" Type="http://schemas.openxmlformats.org/officeDocument/2006/relationships/oleObject" Target="embeddings/oleObject18.bin"/><Relationship Id="rId45" Type="http://schemas.openxmlformats.org/officeDocument/2006/relationships/image" Target="media/46.wmf"/><Relationship Id="rId46" Type="http://schemas.openxmlformats.org/officeDocument/2006/relationships/oleObject" Target="embeddings/oleObject19.bin"/><Relationship Id="rId47" Type="http://schemas.openxmlformats.org/officeDocument/2006/relationships/image" Target="media/48.wmf"/><Relationship Id="rId48" Type="http://schemas.openxmlformats.org/officeDocument/2006/relationships/oleObject" Target="embeddings/oleObject20.bin"/><Relationship Id="rId49" Type="http://schemas.openxmlformats.org/officeDocument/2006/relationships/image" Target="media/50.wmf"/><Relationship Id="rId50" Type="http://schemas.openxmlformats.org/officeDocument/2006/relationships/oleObject" Target="embeddings/oleObject21.bin"/><Relationship Id="rId51" Type="http://schemas.openxmlformats.org/officeDocument/2006/relationships/image" Target="media/52.wmf"/><Relationship Id="rId52" Type="http://schemas.openxmlformats.org/officeDocument/2006/relationships/oleObject" Target="embeddings/oleObject22.bin"/><Relationship Id="rId53" Type="http://schemas.openxmlformats.org/officeDocument/2006/relationships/image" Target="media/53.emf"/><Relationship Id="rId54" Type="http://schemas.openxmlformats.org/officeDocument/2006/relationships/image" Target="media/55.emf"/><Relationship Id="rId55" Type="http://schemas.openxmlformats.org/officeDocument/2006/relationships/image" Target="media/57.png"/><Relationship Id="rId56" Type="http://schemas.openxmlformats.org/officeDocument/2006/relationships/image" Target="media/59.emf"/><Relationship Id="rId57" Type="http://schemas.openxmlformats.org/officeDocument/2006/relationships/image" Target="media/61.png"/><Relationship Id="rId58" Type="http://schemas.openxmlformats.org/officeDocument/2006/relationships/image" Target="media/63.png"/><Relationship Id="rId59" Type="http://schemas.openxmlformats.org/officeDocument/2006/relationships/image" Target="media/65.png"/><Relationship Id="rId60" Type="http://schemas.openxmlformats.org/officeDocument/2006/relationships/image" Target="media/67.png"/><Relationship Id="rId61" Type="http://schemas.openxmlformats.org/officeDocument/2006/relationships/image" Target="media/69.png"/><Relationship Id="rId62" Type="http://schemas.openxmlformats.org/officeDocument/2006/relationships/image" Target="media/71.png"/><Relationship Id="rId63" Type="http://schemas.openxmlformats.org/officeDocument/2006/relationships/image" Target="media/73.emf"/><Relationship Id="rId64" Type="http://schemas.openxmlformats.org/officeDocument/2006/relationships/image" Target="media/75.emf"/><Relationship Id="rId65" Type="http://schemas.openxmlformats.org/officeDocument/2006/relationships/image" Target="media/77.emf"/><Relationship Id="rId66" Type="http://schemas.openxmlformats.org/officeDocument/2006/relationships/image" Target="media/79.png"/><Relationship Id="rId67" Type="http://schemas.openxmlformats.org/officeDocument/2006/relationships/image" Target="media/81.png"/><Relationship Id="rId68" Type="http://schemas.openxmlformats.org/officeDocument/2006/relationships/image" Target="media/83.png"/><Relationship Id="rId69" Type="http://schemas.openxmlformats.org/officeDocument/2006/relationships/image" Target="media/85.emf"/><Relationship Id="rId70" Type="http://schemas.openxmlformats.org/officeDocument/2006/relationships/image" Target="media/87.emf"/><Relationship Id="rId71" Type="http://schemas.openxmlformats.org/officeDocument/2006/relationships/image" Target="media/89.emf"/><Relationship Id="rId72" Type="http://schemas.openxmlformats.org/officeDocument/2006/relationships/image" Target="media/91.emf"/><Relationship Id="rId73" Type="http://schemas.openxmlformats.org/officeDocument/2006/relationships/image" Target="media/93.png"/><Relationship Id="rId74" Type="http://schemas.openxmlformats.org/officeDocument/2006/relationships/image" Target="media/96.wmf"/><Relationship Id="rId75" Type="http://schemas.openxmlformats.org/officeDocument/2006/relationships/oleObject" Target="embeddings/oleObject23.bin"/><Relationship Id="rId76" Type="http://schemas.openxmlformats.org/officeDocument/2006/relationships/image" Target="media/96.wmf"/><Relationship Id="rId77" Type="http://schemas.openxmlformats.org/officeDocument/2006/relationships/oleObject" Target="embeddings/oleObject24.bin"/><Relationship Id="rId78" Type="http://schemas.openxmlformats.org/officeDocument/2006/relationships/image" Target="media/98.emf"/><Relationship Id="rId79" Type="http://schemas.openxmlformats.org/officeDocument/2006/relationships/image" Target="media/101.wmf"/><Relationship Id="rId80" Type="http://schemas.openxmlformats.org/officeDocument/2006/relationships/oleObject" Target="embeddings/oleObject25.bin"/><Relationship Id="rId81" Type="http://schemas.openxmlformats.org/officeDocument/2006/relationships/image" Target="media/101.wmf"/><Relationship Id="rId82" Type="http://schemas.openxmlformats.org/officeDocument/2006/relationships/oleObject" Target="embeddings/oleObject26.bin"/><Relationship Id="rId83" Type="http://schemas.openxmlformats.org/officeDocument/2006/relationships/image" Target="media/104.wmf"/><Relationship Id="rId84" Type="http://schemas.openxmlformats.org/officeDocument/2006/relationships/oleObject" Target="embeddings/oleObject27.bin"/><Relationship Id="rId85" Type="http://schemas.openxmlformats.org/officeDocument/2006/relationships/image" Target="media/36.wmf"/><Relationship Id="rId86" Type="http://schemas.openxmlformats.org/officeDocument/2006/relationships/oleObject" Target="embeddings/oleObject28.bin"/><Relationship Id="rId87" Type="http://schemas.openxmlformats.org/officeDocument/2006/relationships/image" Target="media/42.wmf"/><Relationship Id="rId88" Type="http://schemas.openxmlformats.org/officeDocument/2006/relationships/oleObject" Target="embeddings/oleObject29.bin"/><Relationship Id="rId89" Type="http://schemas.openxmlformats.org/officeDocument/2006/relationships/image" Target="media/32.wmf"/><Relationship Id="rId90" Type="http://schemas.openxmlformats.org/officeDocument/2006/relationships/oleObject" Target="embeddings/oleObject30.bin"/><Relationship Id="rId91" Type="http://schemas.openxmlformats.org/officeDocument/2006/relationships/image" Target="media/32.wmf"/><Relationship Id="rId92" Type="http://schemas.openxmlformats.org/officeDocument/2006/relationships/oleObject" Target="embeddings/oleObject31.bin"/><Relationship Id="rId93" Type="http://schemas.openxmlformats.org/officeDocument/2006/relationships/image" Target="media/110.wmf"/><Relationship Id="rId94" Type="http://schemas.openxmlformats.org/officeDocument/2006/relationships/oleObject" Target="embeddings/oleObject32.bin"/><Relationship Id="rId95" Type="http://schemas.openxmlformats.org/officeDocument/2006/relationships/image" Target="media/12.wmf"/><Relationship Id="rId96" Type="http://schemas.openxmlformats.org/officeDocument/2006/relationships/oleObject" Target="embeddings/oleObject33.bin"/><Relationship Id="rId97" Type="http://schemas.openxmlformats.org/officeDocument/2006/relationships/image" Target="media/34.wmf"/><Relationship Id="rId98" Type="http://schemas.openxmlformats.org/officeDocument/2006/relationships/oleObject" Target="embeddings/oleObject34.bin"/><Relationship Id="rId99" Type="http://schemas.openxmlformats.org/officeDocument/2006/relationships/image" Target="media/114.wmf"/><Relationship Id="rId100" Type="http://schemas.openxmlformats.org/officeDocument/2006/relationships/oleObject" Target="embeddings/oleObject35.bin"/><Relationship Id="rId101" Type="http://schemas.openxmlformats.org/officeDocument/2006/relationships/image" Target="media/115.emf"/><Relationship Id="rId102" Type="http://schemas.openxmlformats.org/officeDocument/2006/relationships/image" Target="media/24.wmf"/><Relationship Id="rId103" Type="http://schemas.openxmlformats.org/officeDocument/2006/relationships/oleObject" Target="embeddings/oleObject36.bin"/><Relationship Id="rId104" Type="http://schemas.openxmlformats.org/officeDocument/2006/relationships/image" Target="media/119.wmf"/><Relationship Id="rId105" Type="http://schemas.openxmlformats.org/officeDocument/2006/relationships/oleObject" Target="embeddings/oleObject37.bin"/><Relationship Id="rId106" Type="http://schemas.openxmlformats.org/officeDocument/2006/relationships/image" Target="media/10.wmf"/><Relationship Id="rId107" Type="http://schemas.openxmlformats.org/officeDocument/2006/relationships/oleObject" Target="embeddings/oleObject38.bin"/><Relationship Id="rId108" Type="http://schemas.openxmlformats.org/officeDocument/2006/relationships/image" Target="media/122.wmf"/><Relationship Id="rId109" Type="http://schemas.openxmlformats.org/officeDocument/2006/relationships/oleObject" Target="embeddings/oleObject39.bin"/><Relationship Id="rId110" Type="http://schemas.openxmlformats.org/officeDocument/2006/relationships/image" Target="media/124.wmf"/><Relationship Id="rId111" Type="http://schemas.openxmlformats.org/officeDocument/2006/relationships/oleObject" Target="embeddings/oleObject40.bin"/><Relationship Id="rId112" Type="http://schemas.openxmlformats.org/officeDocument/2006/relationships/image" Target="media/30.wmf"/><Relationship Id="rId113" Type="http://schemas.openxmlformats.org/officeDocument/2006/relationships/oleObject" Target="embeddings/oleObject41.bin"/><Relationship Id="rId114" Type="http://schemas.openxmlformats.org/officeDocument/2006/relationships/image" Target="media/124.wmf"/><Relationship Id="rId115" Type="http://schemas.openxmlformats.org/officeDocument/2006/relationships/oleObject" Target="embeddings/oleObject42.bin"/><Relationship Id="rId116" Type="http://schemas.openxmlformats.org/officeDocument/2006/relationships/image" Target="media/22.wmf"/><Relationship Id="rId117" Type="http://schemas.openxmlformats.org/officeDocument/2006/relationships/oleObject" Target="embeddings/oleObject43.bin"/><Relationship Id="rId118" Type="http://schemas.openxmlformats.org/officeDocument/2006/relationships/image" Target="media/30.wmf"/><Relationship Id="rId119" Type="http://schemas.openxmlformats.org/officeDocument/2006/relationships/oleObject" Target="embeddings/oleObject44.bin"/><Relationship Id="rId120" Type="http://schemas.openxmlformats.org/officeDocument/2006/relationships/image" Target="media/30.wmf"/><Relationship Id="rId121" Type="http://schemas.openxmlformats.org/officeDocument/2006/relationships/oleObject" Target="embeddings/oleObject45.bin"/><Relationship Id="rId122" Type="http://schemas.openxmlformats.org/officeDocument/2006/relationships/image" Target="media/16.wmf"/><Relationship Id="rId123" Type="http://schemas.openxmlformats.org/officeDocument/2006/relationships/oleObject" Target="embeddings/oleObject46.bin"/><Relationship Id="rId124" Type="http://schemas.openxmlformats.org/officeDocument/2006/relationships/image" Target="media/30.wmf"/><Relationship Id="rId125" Type="http://schemas.openxmlformats.org/officeDocument/2006/relationships/oleObject" Target="embeddings/oleObject47.bin"/><Relationship Id="rId126" Type="http://schemas.openxmlformats.org/officeDocument/2006/relationships/image" Target="media/133.wmf"/><Relationship Id="rId127" Type="http://schemas.openxmlformats.org/officeDocument/2006/relationships/oleObject" Target="embeddings/oleObject48.bin"/><Relationship Id="rId128" Type="http://schemas.openxmlformats.org/officeDocument/2006/relationships/image" Target="media/40.wmf"/><Relationship Id="rId129" Type="http://schemas.openxmlformats.org/officeDocument/2006/relationships/oleObject" Target="embeddings/oleObject49.bin"/><Relationship Id="rId130" Type="http://schemas.openxmlformats.org/officeDocument/2006/relationships/image" Target="media/26.wmf"/><Relationship Id="rId131" Type="http://schemas.openxmlformats.org/officeDocument/2006/relationships/oleObject" Target="embeddings/oleObject50.bin"/><Relationship Id="rId132" Type="http://schemas.openxmlformats.org/officeDocument/2006/relationships/image" Target="media/28.wmf"/><Relationship Id="rId133" Type="http://schemas.openxmlformats.org/officeDocument/2006/relationships/oleObject" Target="embeddings/oleObject51.bin"/><Relationship Id="rId134" Type="http://schemas.openxmlformats.org/officeDocument/2006/relationships/image" Target="media/38.wmf"/><Relationship Id="rId135" Type="http://schemas.openxmlformats.org/officeDocument/2006/relationships/oleObject" Target="embeddings/oleObject52.bin"/><Relationship Id="rId136" Type="http://schemas.openxmlformats.org/officeDocument/2006/relationships/image" Target="media/138.emf"/><Relationship Id="rId137" Type="http://schemas.openxmlformats.org/officeDocument/2006/relationships/header" Target="header4.xml"/><Relationship Id="rId138" Type="http://schemas.openxmlformats.org/officeDocument/2006/relationships/footer" Target="footer4.xml"/><Relationship Id="rId139" Type="http://schemas.openxmlformats.org/officeDocument/2006/relationships/styles" Target="styles.xml"/><Relationship Id="rId140" Type="http://schemas.openxmlformats.org/officeDocument/2006/relationships/numbering" Target="numbering.xml"/><Relationship Id="rId141" Type="http://schemas.openxmlformats.org/officeDocument/2006/relationships/fontTable" Target="fontTable.xml"/><Relationship Id="rId142" Type="http://schemas.openxmlformats.org/officeDocument/2006/relationships/customXml" Target="../customXml/item1.xml"/><Relationship Id="rId143" Type="http://schemas.openxmlformats.org/officeDocument/2006/relationships/theme" Target="theme/theme1.xml"/></Relationships>
</file>

<file path=word/theme/theme1.xml><?xml version="1.0" encoding="utf-8"?>
<a:theme xmlns:a="http://schemas.openxmlformats.org/drawingml/2006/main" name="Office 主题">
  <a:themeElements>
    <a:clrScheme name="Office 主题">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主题">
      <a:majorFont>
        <a:latin typeface=""/>
        <a:ea typeface=""/>
        <a:cs typeface=""/>
      </a:majorFont>
      <a:minorFont>
        <a:latin typeface=""/>
        <a:ea typeface=""/>
        <a:cs typefac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1"/>
        </a:gradFill>
      </a:fillStyleLst>
      <a:lnStyleLst>
        <a:ln w="9525" cmpd="sng" cap="flat">
          <a:solidFill>
            <a:schemeClr val="phClr">
              <a:shade val="95000"/>
              <a:satMod val="105000"/>
            </a:schemeClr>
          </a:solidFill>
          <a:prstDash val="solid"/>
          <a:round/>
        </a:ln>
        <a:ln w="25400" cmpd="sng" cap="flat">
          <a:solidFill>
            <a:schemeClr val="phClr"/>
          </a:solidFill>
          <a:prstDash val="solid"/>
          <a:round/>
        </a:ln>
        <a:ln w="38100" cmpd="sng" cap="flat">
          <a:solidFill>
            <a:schemeClr val="phClr"/>
          </a:solidFill>
          <a:prstDash val="solid"/>
          <a:round/>
        </a:ln>
      </a:lnStyleLst>
      <a:effectStyleLst>
        <a:effectStyle>
          <a:effectLst>
            <a:outerShdw sx="100000" sy="100000" algn="b" rotWithShape="0" blurRad="40000" dist="20000" dir="5400000">
              <a:srgbClr val="000000">
                <a:alpha val="37647"/>
              </a:srgbClr>
            </a:outerShdw>
          </a:effectLst>
        </a:effectStyle>
        <a:effectStyle>
          <a:effectLst>
            <a:outerShdw sx="100000" sy="100000" algn="b" rotWithShape="0" blurRad="40000" dist="23000" dir="5400000">
              <a:srgbClr val="000000">
                <a:alpha val="34509"/>
              </a:srgbClr>
            </a:outerShdw>
          </a:effectLst>
        </a:effectStyle>
        <a:effectStyle>
          <a:effectLst>
            <a:outerShdw sx="100000" sy="100000" algn="b" rotWithShape="0" blurRad="40000" dist="23000" dir="5400000">
              <a:srgbClr val="000000">
                <a:alpha val="34509"/>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50000" r="50000" b="5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ustomData xmlns="http://www.yozosoft.com.cn/officeDocument/2016/customData">
  <customProps>
    <docPr revisions="3 0 5 0 0 0 1 0 0 0 26650 1 1 1 1 1"/>
    <sectPr/>
    <sectPr/>
    <sectPr/>
    <sectPr/>
  </customProps>
</customData>
</file>

<file path=customXml/itemProps1.xml><?xml version="1.0" encoding="utf-8"?>
<ds:datastoreItem xmlns:ds="http://schemas.openxmlformats.org/officeDocument/2006/customXml" ds:itemID="{A65AD3C3-9FCD-458F-AD41-C32DF94D98D0}">
  <ds:schemaRefs>
    <ds:schemaRef ds:uri="http://www.yozosoft.com.cn/officeDocument/2016/customData"/>
  </ds:schemaRefs>
</ds:datastoreItem>
</file>

<file path=docProps/app.xml><?xml version="1.0" encoding="utf-8"?>
<Properties xmlns="http://schemas.openxmlformats.org/officeDocument/2006/extended-properties">
  <Template>Normal.eit</Template>
  <TotalTime>10</TotalTime>
  <Application>WPS_Yozo_Office9.0.6115.191ZH.S1</Application>
  <Pages>93</Pages>
  <Words>0</Words>
  <Characters>47725</Characters>
  <Lines>0</Lines>
  <Paragraphs>1375</Paragraphs>
  <CharactersWithSpaces>63634</CharactersWithSpaces>
  <Company>Bmedi</Company>
</Properties>
</file>

<file path=docProps/core.xml><?xml version="1.0" encoding="utf-8"?>
<cp:coreProperties xmlns:cp="http://schemas.openxmlformats.org/package/2006/metadata/core-properties" xmlns:dc="http://purl.org/dc/elements/1.1/" xmlns:dcterms="http://purl.org/dc/terms/" xmlns:xsi="http://www.w3.org/2001/XMLSchema-instance">
  <dc:creator>dell</dc:creator>
  <cp:lastModifiedBy>admini1</cp:lastModifiedBy>
  <cp:revision>167</cp:revision>
  <cp:lastPrinted>2020-04-23T08:01:00Z</cp:lastPrinted>
  <dcterms:created xsi:type="dcterms:W3CDTF">2023-05-22T01:03:00Z</dcterms:created>
  <dcterms:modified xsi:type="dcterms:W3CDTF">2026-05-25T03:29:02Z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2052-12.1.0.26375</vt:lpwstr>
  </property>
  <property fmtid="{D5CDD505-2E9C-101B-9397-08002B2CF9AE}" pid="3" name="ICV">
    <vt:lpwstr>C5E70C04FC7F4F21AA1479E2C709F7DE_13</vt:lpwstr>
  </property>
  <property fmtid="{D5CDD505-2E9C-101B-9397-08002B2CF9AE}" pid="4" name="KSOTemplateDocerSaveRecord">
    <vt:lpwstr>eyJoZGlkIjoiOTQzMWY5MTZhOWRiNWMzOTQ0ZGMwOTQwOWRmNDZhZGQiLCJ1c2VySWQiOiIzMTcyODYwNzcifQ==</vt:lpwstr>
  </property>
</Properties>
</file>