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kinsoku/>
        <w:wordWrap/>
        <w:overflowPunct/>
        <w:topLinePunct w:val="0"/>
        <w:autoSpaceDE/>
        <w:autoSpaceDN/>
        <w:bidi w:val="0"/>
        <w:adjustRightInd/>
        <w:snapToGrid/>
        <w:spacing w:before="0" w:beforeLines="0" w:after="0" w:afterLines="0" w:line="720" w:lineRule="exact"/>
        <w:ind w:left="0" w:leftChars="0" w:right="0" w:rightChars="0" w:firstLine="0" w:firstLineChars="0"/>
        <w:jc w:val="center"/>
        <w:textAlignment w:val="auto"/>
        <w:outlineLvl w:val="0"/>
        <w:rPr>
          <w:rFonts w:hint="eastAsia" w:ascii="方正小标宋简体" w:hAnsi="方正小标宋简体" w:eastAsia="方正小标宋简体" w:cs="方正小标宋简体"/>
          <w:color w:val="auto"/>
          <w:sz w:val="40"/>
          <w:szCs w:val="40"/>
          <w:lang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720" w:lineRule="exact"/>
        <w:ind w:left="0" w:leftChars="0" w:right="0" w:rightChars="0" w:firstLine="0" w:firstLineChars="0"/>
        <w:jc w:val="center"/>
        <w:textAlignment w:val="auto"/>
        <w:outlineLvl w:val="0"/>
        <w:rPr>
          <w:rFonts w:hint="eastAsia" w:ascii="方正小标宋简体" w:hAnsi="方正小标宋简体" w:eastAsia="方正小标宋简体" w:cs="方正小标宋简体"/>
          <w:color w:val="auto"/>
          <w:sz w:val="40"/>
          <w:szCs w:val="40"/>
        </w:rPr>
      </w:pPr>
      <w:bookmarkStart w:id="0" w:name="_GoBack"/>
      <w:r>
        <w:rPr>
          <w:rFonts w:hint="eastAsia" w:ascii="方正小标宋简体" w:hAnsi="方正小标宋简体" w:eastAsia="方正小标宋简体" w:cs="方正小标宋简体"/>
          <w:color w:val="auto"/>
          <w:sz w:val="40"/>
          <w:szCs w:val="40"/>
          <w:lang w:eastAsia="zh-CN"/>
        </w:rPr>
        <w:t>贵州省林草种质资源库</w:t>
      </w:r>
      <w:r>
        <w:rPr>
          <w:rFonts w:hint="eastAsia" w:ascii="方正小标宋简体" w:hAnsi="方正小标宋简体" w:eastAsia="方正小标宋简体" w:cs="方正小标宋简体"/>
          <w:color w:val="auto"/>
          <w:sz w:val="40"/>
          <w:szCs w:val="40"/>
        </w:rPr>
        <w:t>管理办法</w:t>
      </w:r>
      <w:bookmarkEnd w:id="0"/>
    </w:p>
    <w:p>
      <w:pPr>
        <w:keepNext w:val="0"/>
        <w:keepLines w:val="0"/>
        <w:pageBreakBefore w:val="0"/>
        <w:widowControl w:val="0"/>
        <w:kinsoku/>
        <w:wordWrap/>
        <w:overflowPunct/>
        <w:topLinePunct w:val="0"/>
        <w:autoSpaceDE/>
        <w:autoSpaceDN/>
        <w:bidi w:val="0"/>
        <w:adjustRightInd/>
        <w:snapToGrid/>
        <w:spacing w:before="0" w:beforeLines="0" w:after="0" w:afterLines="0" w:line="570" w:lineRule="exact"/>
        <w:ind w:left="0" w:leftChars="0" w:right="0" w:rightChars="0" w:firstLine="0" w:firstLineChars="0"/>
        <w:jc w:val="center"/>
        <w:textAlignment w:val="auto"/>
        <w:outlineLvl w:val="9"/>
        <w:rPr>
          <w:rFonts w:hint="eastAsia" w:ascii="黑体" w:hAnsi="黑体" w:eastAsia="黑体" w:cs="黑体"/>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beforeAutospacing="0" w:after="312" w:afterLines="100" w:afterAutospacing="0" w:line="640" w:lineRule="exact"/>
        <w:ind w:left="0" w:leftChars="0" w:right="0" w:rightChars="0" w:firstLine="640" w:firstLineChars="200"/>
        <w:jc w:val="center"/>
        <w:textAlignment w:val="auto"/>
        <w:outlineLvl w:val="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第一章 总  则</w:t>
      </w:r>
    </w:p>
    <w:p>
      <w:pPr>
        <w:keepNext w:val="0"/>
        <w:keepLines w:val="0"/>
        <w:pageBreakBefore w:val="0"/>
        <w:widowControl w:val="0"/>
        <w:kinsoku/>
        <w:wordWrap/>
        <w:overflowPunct/>
        <w:topLinePunct w:val="0"/>
        <w:autoSpaceDE/>
        <w:autoSpaceDN/>
        <w:bidi w:val="0"/>
        <w:adjustRightInd/>
        <w:snapToGrid/>
        <w:spacing w:before="0" w:beforeLines="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黑体" w:hAnsi="黑体" w:eastAsia="黑体" w:cs="黑体"/>
          <w:color w:val="auto"/>
          <w:sz w:val="32"/>
          <w:szCs w:val="32"/>
          <w:lang w:eastAsia="zh-CN"/>
        </w:rPr>
        <w:t>第一条</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lang w:eastAsia="zh-CN"/>
        </w:rPr>
        <w:t>为有效保护和合理开发利用林草种质资源，规范我省林木和草种质资源库的建设和管理，依据《中华人民共和国种子法》《贵州省林木种苗条例》及国家林草种质资源库管理要求等有关规定，</w:t>
      </w:r>
      <w:r>
        <w:rPr>
          <w:rFonts w:hint="eastAsia" w:ascii="仿宋_GB2312" w:hAnsi="仿宋_GB2312" w:eastAsia="仿宋_GB2312" w:cs="仿宋_GB2312"/>
          <w:color w:val="auto"/>
          <w:sz w:val="32"/>
          <w:szCs w:val="32"/>
          <w:highlight w:val="none"/>
          <w:lang w:eastAsia="zh-CN"/>
        </w:rPr>
        <w:t>结合我省实际，</w:t>
      </w:r>
      <w:r>
        <w:rPr>
          <w:rFonts w:hint="eastAsia" w:ascii="仿宋_GB2312" w:hAnsi="仿宋_GB2312" w:eastAsia="仿宋_GB2312" w:cs="仿宋_GB2312"/>
          <w:color w:val="auto"/>
          <w:sz w:val="32"/>
          <w:szCs w:val="32"/>
          <w:lang w:eastAsia="zh-CN"/>
        </w:rPr>
        <w:t>制定本办法。</w:t>
      </w:r>
    </w:p>
    <w:p>
      <w:pPr>
        <w:keepNext w:val="0"/>
        <w:keepLines w:val="0"/>
        <w:pageBreakBefore w:val="0"/>
        <w:widowControl w:val="0"/>
        <w:kinsoku/>
        <w:wordWrap/>
        <w:overflowPunct/>
        <w:topLinePunct w:val="0"/>
        <w:autoSpaceDE/>
        <w:autoSpaceDN/>
        <w:bidi w:val="0"/>
        <w:adjustRightInd/>
        <w:snapToGrid/>
        <w:spacing w:before="0" w:beforeLines="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黑体" w:hAnsi="黑体" w:eastAsia="黑体" w:cs="黑体"/>
          <w:color w:val="auto"/>
          <w:sz w:val="32"/>
          <w:szCs w:val="32"/>
          <w:lang w:eastAsia="zh-CN"/>
        </w:rPr>
        <w:t>第二条</w:t>
      </w:r>
      <w:r>
        <w:rPr>
          <w:rFonts w:hint="eastAsia" w:ascii="黑体" w:hAnsi="黑体" w:eastAsia="黑体" w:cs="黑体"/>
          <w:color w:val="auto"/>
          <w:sz w:val="32"/>
          <w:szCs w:val="32"/>
          <w:lang w:val="en-US" w:eastAsia="zh-CN"/>
        </w:rPr>
        <w:t xml:space="preserve"> </w:t>
      </w:r>
      <w:r>
        <w:rPr>
          <w:rFonts w:hint="eastAsia" w:ascii="仿宋_GB2312" w:hAnsi="仿宋_GB2312" w:eastAsia="仿宋_GB2312" w:cs="仿宋_GB2312"/>
          <w:color w:val="auto"/>
          <w:sz w:val="32"/>
          <w:szCs w:val="32"/>
          <w:lang w:eastAsia="zh-CN"/>
        </w:rPr>
        <w:t xml:space="preserve"> 林</w:t>
      </w:r>
      <w:r>
        <w:rPr>
          <w:rFonts w:hint="eastAsia" w:ascii="仿宋_GB2312" w:hAnsi="仿宋_GB2312" w:eastAsia="仿宋_GB2312" w:cs="仿宋_GB2312"/>
          <w:color w:val="auto"/>
          <w:sz w:val="32"/>
          <w:szCs w:val="32"/>
          <w:lang w:val="en-US" w:eastAsia="zh-CN"/>
        </w:rPr>
        <w:t>草</w:t>
      </w:r>
      <w:r>
        <w:rPr>
          <w:rFonts w:hint="eastAsia" w:ascii="仿宋_GB2312" w:hAnsi="仿宋_GB2312" w:eastAsia="仿宋_GB2312" w:cs="仿宋_GB2312"/>
          <w:color w:val="auto"/>
          <w:sz w:val="32"/>
          <w:szCs w:val="32"/>
          <w:lang w:eastAsia="zh-CN"/>
        </w:rPr>
        <w:t>种质资源是</w:t>
      </w:r>
      <w:r>
        <w:rPr>
          <w:rFonts w:hint="eastAsia" w:ascii="仿宋_GB2312" w:hAnsi="仿宋_GB2312" w:eastAsia="仿宋_GB2312" w:cs="仿宋_GB2312"/>
          <w:strike w:val="0"/>
          <w:color w:val="auto"/>
          <w:sz w:val="32"/>
          <w:szCs w:val="32"/>
          <w:lang w:val="en-US" w:eastAsia="zh-CN"/>
        </w:rPr>
        <w:t>林木和草的</w:t>
      </w:r>
      <w:r>
        <w:rPr>
          <w:rFonts w:hint="eastAsia" w:ascii="仿宋_GB2312" w:hAnsi="仿宋_GB2312" w:eastAsia="仿宋_GB2312" w:cs="仿宋_GB2312"/>
          <w:color w:val="auto"/>
          <w:sz w:val="32"/>
          <w:szCs w:val="32"/>
          <w:lang w:eastAsia="zh-CN"/>
        </w:rPr>
        <w:t>具有不同遗传基础的个体和群体的各种繁殖材料总称，是选育林</w:t>
      </w:r>
      <w:r>
        <w:rPr>
          <w:rFonts w:hint="eastAsia" w:ascii="仿宋_GB2312" w:hAnsi="仿宋_GB2312" w:eastAsia="仿宋_GB2312" w:cs="仿宋_GB2312"/>
          <w:color w:val="auto"/>
          <w:sz w:val="32"/>
          <w:szCs w:val="32"/>
          <w:lang w:val="en-US" w:eastAsia="zh-CN"/>
        </w:rPr>
        <w:t>草</w:t>
      </w:r>
      <w:r>
        <w:rPr>
          <w:rFonts w:hint="eastAsia" w:ascii="仿宋_GB2312" w:hAnsi="仿宋_GB2312" w:eastAsia="仿宋_GB2312" w:cs="仿宋_GB2312"/>
          <w:color w:val="auto"/>
          <w:sz w:val="32"/>
          <w:szCs w:val="32"/>
          <w:lang w:eastAsia="zh-CN"/>
        </w:rPr>
        <w:t>新品种的基础材料。具体包括林木</w:t>
      </w:r>
      <w:r>
        <w:rPr>
          <w:rFonts w:hint="eastAsia" w:ascii="仿宋_GB2312" w:hAnsi="仿宋_GB2312" w:eastAsia="仿宋_GB2312" w:cs="仿宋_GB2312"/>
          <w:color w:val="auto"/>
          <w:sz w:val="32"/>
          <w:szCs w:val="32"/>
          <w:lang w:val="en-US" w:eastAsia="zh-CN"/>
        </w:rPr>
        <w:t>和草的</w:t>
      </w:r>
      <w:r>
        <w:rPr>
          <w:rFonts w:hint="eastAsia" w:ascii="仿宋_GB2312" w:hAnsi="仿宋_GB2312" w:eastAsia="仿宋_GB2312" w:cs="仿宋_GB2312"/>
          <w:color w:val="auto"/>
          <w:sz w:val="32"/>
          <w:szCs w:val="32"/>
          <w:lang w:eastAsia="zh-CN"/>
        </w:rPr>
        <w:t>栽培种、野生种的繁殖材料，以及利用上述繁殖材料人工创造的</w:t>
      </w:r>
      <w:r>
        <w:rPr>
          <w:rFonts w:hint="eastAsia" w:ascii="仿宋_GB2312" w:hAnsi="仿宋_GB2312" w:eastAsia="仿宋_GB2312" w:cs="仿宋_GB2312"/>
          <w:color w:val="auto"/>
          <w:sz w:val="32"/>
          <w:szCs w:val="32"/>
          <w:lang w:val="en-US" w:eastAsia="zh-CN"/>
        </w:rPr>
        <w:t>各种</w:t>
      </w:r>
      <w:r>
        <w:rPr>
          <w:rFonts w:hint="eastAsia" w:ascii="仿宋_GB2312" w:hAnsi="仿宋_GB2312" w:eastAsia="仿宋_GB2312" w:cs="仿宋_GB2312"/>
          <w:color w:val="auto"/>
          <w:sz w:val="32"/>
          <w:szCs w:val="32"/>
          <w:lang w:eastAsia="zh-CN"/>
        </w:rPr>
        <w:t>遗传材料。</w:t>
      </w:r>
      <w:r>
        <w:rPr>
          <w:rFonts w:hint="eastAsia" w:ascii="仿宋_GB2312" w:hAnsi="仿宋_GB2312" w:eastAsia="仿宋_GB2312" w:cs="仿宋_GB2312"/>
          <w:color w:val="auto"/>
          <w:sz w:val="32"/>
          <w:szCs w:val="32"/>
          <w:lang w:val="en-US" w:eastAsia="zh-CN"/>
        </w:rPr>
        <w:t>种质资源的具体形态，包括植株、苗、果实、籽粒、根、茎、叶、芽、花、花粉、组织、细胞和DNA、DNA片段及基因等。</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70" w:lineRule="exact"/>
        <w:ind w:right="0" w:rightChars="0"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第三条</w:t>
      </w:r>
      <w:r>
        <w:rPr>
          <w:rFonts w:hint="eastAsia" w:ascii="仿宋_GB2312" w:hAnsi="仿宋_GB2312" w:eastAsia="仿宋_GB2312" w:cs="仿宋_GB2312"/>
          <w:color w:val="auto"/>
          <w:sz w:val="32"/>
          <w:szCs w:val="32"/>
          <w:lang w:val="en-US" w:eastAsia="zh-CN"/>
        </w:rPr>
        <w:t xml:space="preserve">  林草种质资源库是保存林草种质资源的场所，按其保存的方法可以分为原地、异地和设施保存库。</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70" w:lineRule="exact"/>
        <w:ind w:right="0" w:rightChars="0"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省林草种质资源库是指收集保存了类型丰富、代表性强的林草种质资源，在种质资源保护和开发利用方面具有示范作用，经省林业局评定和公布的种质资源库。</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40" w:lineRule="exact"/>
        <w:ind w:right="0" w:rightChars="0" w:firstLine="640" w:firstLineChars="200"/>
        <w:jc w:val="both"/>
        <w:textAlignment w:val="auto"/>
        <w:outlineLvl w:val="9"/>
        <w:rPr>
          <w:rFonts w:hint="eastAsia" w:ascii="仿宋_GB2312" w:hAnsi="仿宋_GB2312" w:eastAsia="仿宋_GB2312" w:cs="仿宋_GB2312"/>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0" w:beforeLines="0" w:beforeAutospacing="0" w:after="312" w:afterLines="100" w:afterAutospacing="0" w:line="640" w:lineRule="exact"/>
        <w:ind w:left="0" w:leftChars="0" w:right="0" w:rightChars="0" w:firstLine="640" w:firstLineChars="200"/>
        <w:jc w:val="center"/>
        <w:textAlignment w:val="auto"/>
        <w:outlineLvl w:val="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第二章 基本条件</w:t>
      </w:r>
    </w:p>
    <w:p>
      <w:pPr>
        <w:keepNext w:val="0"/>
        <w:keepLines w:val="0"/>
        <w:widowControl/>
        <w:suppressLineNumbers w:val="0"/>
        <w:ind w:firstLine="640" w:firstLineChars="200"/>
        <w:jc w:val="left"/>
        <w:rPr>
          <w:rFonts w:hint="eastAsia" w:ascii="仿宋_GB2312" w:hAnsi="宋体" w:eastAsia="仿宋_GB2312" w:cs="仿宋_GB2312"/>
          <w:color w:val="000000"/>
          <w:kern w:val="0"/>
          <w:sz w:val="31"/>
          <w:szCs w:val="31"/>
          <w:lang w:val="en-US" w:eastAsia="zh-CN" w:bidi="ar"/>
        </w:rPr>
      </w:pPr>
      <w:r>
        <w:rPr>
          <w:rFonts w:hint="eastAsia" w:ascii="黑体" w:hAnsi="黑体" w:eastAsia="黑体" w:cs="黑体"/>
          <w:color w:val="auto"/>
          <w:sz w:val="32"/>
          <w:szCs w:val="32"/>
          <w:lang w:val="en-US" w:eastAsia="zh-CN"/>
        </w:rPr>
        <w:t>第四条</w:t>
      </w:r>
      <w:r>
        <w:rPr>
          <w:rFonts w:hint="eastAsia" w:ascii="仿宋_GB2312" w:hAnsi="仿宋_GB2312" w:eastAsia="仿宋_GB2312" w:cs="仿宋_GB2312"/>
          <w:color w:val="auto"/>
          <w:sz w:val="32"/>
          <w:szCs w:val="32"/>
          <w:lang w:val="en-US" w:eastAsia="zh-CN"/>
        </w:rPr>
        <w:t xml:space="preserve">  建立</w:t>
      </w:r>
      <w:r>
        <w:rPr>
          <w:rFonts w:hint="default" w:ascii="仿宋_GB2312" w:hAnsi="仿宋_GB2312" w:eastAsia="仿宋_GB2312" w:cs="仿宋_GB2312"/>
          <w:color w:val="auto"/>
          <w:sz w:val="32"/>
          <w:szCs w:val="32"/>
          <w:lang w:val="en-US" w:eastAsia="zh-CN"/>
        </w:rPr>
        <w:t>省</w:t>
      </w:r>
      <w:r>
        <w:rPr>
          <w:rFonts w:hint="eastAsia" w:ascii="仿宋_GB2312" w:hAnsi="仿宋_GB2312" w:eastAsia="仿宋_GB2312" w:cs="仿宋_GB2312"/>
          <w:color w:val="auto"/>
          <w:sz w:val="32"/>
          <w:szCs w:val="32"/>
          <w:lang w:val="en-US" w:eastAsia="zh-CN"/>
        </w:rPr>
        <w:t>林草</w:t>
      </w:r>
      <w:r>
        <w:rPr>
          <w:rFonts w:hint="default" w:ascii="仿宋_GB2312" w:hAnsi="仿宋_GB2312" w:eastAsia="仿宋_GB2312" w:cs="仿宋_GB2312"/>
          <w:color w:val="auto"/>
          <w:sz w:val="32"/>
          <w:szCs w:val="32"/>
          <w:lang w:val="en-US" w:eastAsia="zh-CN"/>
        </w:rPr>
        <w:t>种质资源库应当具备下列条件</w:t>
      </w:r>
      <w:r>
        <w:rPr>
          <w:rFonts w:hint="eastAsia" w:ascii="仿宋_GB2312" w:hAnsi="仿宋_GB2312" w:eastAsia="仿宋_GB2312" w:cs="仿宋_GB2312"/>
          <w:color w:val="auto"/>
          <w:sz w:val="32"/>
          <w:szCs w:val="32"/>
          <w:lang w:val="en-US" w:eastAsia="zh-CN"/>
        </w:rPr>
        <w:t>：</w:t>
      </w:r>
    </w:p>
    <w:p>
      <w:pPr>
        <w:keepNext w:val="0"/>
        <w:keepLines w:val="0"/>
        <w:widowControl/>
        <w:suppressLineNumbers w:val="0"/>
        <w:ind w:firstLine="640" w:firstLineChars="200"/>
        <w:jc w:val="left"/>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（一）具备一定的保存规模和发展潜力，保存保护的种质资源具有多样性和代表性，或具有重要保护和利用价值，且知识产权明确；</w:t>
      </w:r>
    </w:p>
    <w:p>
      <w:pPr>
        <w:keepNext w:val="0"/>
        <w:keepLines w:val="0"/>
        <w:widowControl/>
        <w:suppressLineNumbers w:val="0"/>
        <w:ind w:firstLine="640" w:firstLineChars="200"/>
        <w:jc w:val="left"/>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（二）种质资源库建设地点的土地权属</w:t>
      </w:r>
      <w:r>
        <w:rPr>
          <w:rFonts w:hint="eastAsia" w:ascii="仿宋_GB2312" w:hAnsi="仿宋_GB2312" w:eastAsia="仿宋_GB2312" w:cs="仿宋_GB2312"/>
          <w:color w:val="auto"/>
          <w:sz w:val="32"/>
          <w:szCs w:val="32"/>
          <w:lang w:val="en-US" w:eastAsia="zh-CN"/>
        </w:rPr>
        <w:t>应当明晰，并能保障林草种质资源保护工作长期稳定开展；</w:t>
      </w:r>
    </w:p>
    <w:p>
      <w:pPr>
        <w:keepNext w:val="0"/>
        <w:keepLines w:val="0"/>
        <w:widowControl/>
        <w:suppressLineNumbers w:val="0"/>
        <w:ind w:firstLine="640" w:firstLineChars="200"/>
        <w:jc w:val="left"/>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（三）具备较好的生产基础设施，能满足种质资源长期保存的需要；</w:t>
      </w:r>
    </w:p>
    <w:p>
      <w:pPr>
        <w:keepNext w:val="0"/>
        <w:keepLines w:val="0"/>
        <w:widowControl/>
        <w:suppressLineNumbers w:val="0"/>
        <w:ind w:firstLine="640" w:firstLineChars="200"/>
        <w:jc w:val="left"/>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（四）管理机构健全，人员配备合理，具备与开展林草种质资源收集保存工作相适应的专业技术人员，具有自主育种创新能力或建立了生产与科研长期合作创新的机制；</w:t>
      </w:r>
    </w:p>
    <w:p>
      <w:pPr>
        <w:keepNext w:val="0"/>
        <w:keepLines w:val="0"/>
        <w:widowControl/>
        <w:suppressLineNumbers w:val="0"/>
        <w:ind w:firstLine="640" w:firstLineChars="200"/>
        <w:jc w:val="left"/>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（五）管理规范、制度健全，种质资源档案资料齐全且保存完整；</w:t>
      </w:r>
    </w:p>
    <w:p>
      <w:pPr>
        <w:keepNext w:val="0"/>
        <w:keepLines w:val="0"/>
        <w:widowControl/>
        <w:suppressLineNumbers w:val="0"/>
        <w:ind w:firstLine="640" w:firstLineChars="200"/>
        <w:jc w:val="left"/>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（六）法律法规规定的其他条件。</w:t>
      </w:r>
    </w:p>
    <w:p>
      <w:pPr>
        <w:pStyle w:val="8"/>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7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2"/>
          <w:sz w:val="32"/>
          <w:szCs w:val="32"/>
          <w:lang w:val="en-US" w:eastAsia="zh-CN"/>
        </w:rPr>
      </w:pPr>
      <w:r>
        <w:rPr>
          <w:rFonts w:hint="eastAsia" w:ascii="黑体" w:hAnsi="黑体" w:eastAsia="黑体" w:cs="黑体"/>
          <w:color w:val="auto"/>
          <w:kern w:val="2"/>
          <w:sz w:val="32"/>
          <w:szCs w:val="32"/>
          <w:lang w:val="en-US" w:eastAsia="zh-CN"/>
        </w:rPr>
        <w:t>第六条</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kern w:val="2"/>
          <w:sz w:val="32"/>
          <w:szCs w:val="32"/>
          <w:lang w:val="en-US" w:eastAsia="zh-CN"/>
        </w:rPr>
        <w:t>建立原地保存库还应具备如下条件：</w:t>
      </w:r>
    </w:p>
    <w:p>
      <w:pPr>
        <w:pStyle w:val="8"/>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7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t>（一）保存的对象主要是珍稀、濒危、特有、优良的天然林木群体。</w:t>
      </w:r>
    </w:p>
    <w:p>
      <w:pPr>
        <w:pStyle w:val="8"/>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7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t>（二）林分郁闭度≥0.3，目标树种的组成比例相对较高，目标树种宜无病虫害，树龄为中龄林、近熟林或成熟林。</w:t>
      </w:r>
    </w:p>
    <w:p>
      <w:pPr>
        <w:pStyle w:val="8"/>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7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t>（三）原地保存库的每处原地保存林的面积原则上≥150亩，天然分布不足150亩的应全部保存。</w:t>
      </w:r>
    </w:p>
    <w:p>
      <w:pPr>
        <w:pStyle w:val="8"/>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7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2"/>
          <w:sz w:val="32"/>
          <w:szCs w:val="32"/>
          <w:lang w:val="en-US" w:eastAsia="zh-CN"/>
        </w:rPr>
      </w:pPr>
      <w:r>
        <w:rPr>
          <w:rFonts w:hint="eastAsia" w:ascii="黑体" w:hAnsi="黑体" w:eastAsia="黑体" w:cs="黑体"/>
          <w:color w:val="auto"/>
          <w:kern w:val="2"/>
          <w:sz w:val="32"/>
          <w:szCs w:val="32"/>
          <w:lang w:val="en-US" w:eastAsia="zh-CN"/>
        </w:rPr>
        <w:t>第七条</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kern w:val="2"/>
          <w:sz w:val="32"/>
          <w:szCs w:val="32"/>
          <w:lang w:val="en-US" w:eastAsia="zh-CN"/>
        </w:rPr>
        <w:t>建立异地保存库还应具备如下条件：</w:t>
      </w:r>
    </w:p>
    <w:p>
      <w:pPr>
        <w:pStyle w:val="8"/>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7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t>（一）保存的对象主要是用材、生态修复、经济林树种，观赏植物、重要草种的种源、家系、无性系及其品种（系）、杂交种、地方品种等种质资源。</w:t>
      </w:r>
    </w:p>
    <w:p>
      <w:pPr>
        <w:pStyle w:val="8"/>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7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t>（二）建设地点应具备与保存对象相适应的环境和立地条件，保障林草种质资源生长、繁殖。土地性质原则上为国有非耕地，如为承包经营土地，自申报林草种质资源库之日起算，承包经营期不少于10年。</w:t>
      </w:r>
    </w:p>
    <w:p>
      <w:pPr>
        <w:pStyle w:val="8"/>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7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2"/>
          <w:sz w:val="32"/>
          <w:szCs w:val="32"/>
          <w:lang w:val="en-US" w:eastAsia="zh-CN"/>
        </w:rPr>
      </w:pPr>
      <w:r>
        <w:rPr>
          <w:rFonts w:hint="eastAsia" w:ascii="仿宋_GB2312" w:hAnsi="仿宋_GB2312" w:eastAsia="仿宋_GB2312" w:cs="仿宋_GB2312"/>
          <w:color w:val="auto"/>
          <w:kern w:val="2"/>
          <w:sz w:val="32"/>
          <w:szCs w:val="32"/>
          <w:lang w:val="en-US" w:eastAsia="zh-CN"/>
        </w:rPr>
        <w:t>（三）收集保存单一物种的种质资源份数原则上不低于</w:t>
      </w:r>
      <w:r>
        <w:rPr>
          <w:rFonts w:hint="default" w:ascii="仿宋_GB2312" w:hAnsi="仿宋_GB2312" w:eastAsia="仿宋_GB2312" w:cs="仿宋_GB2312"/>
          <w:color w:val="auto"/>
          <w:kern w:val="2"/>
          <w:sz w:val="32"/>
          <w:szCs w:val="32"/>
          <w:lang w:val="en-US" w:eastAsia="zh-CN"/>
        </w:rPr>
        <w:t>50</w:t>
      </w:r>
      <w:r>
        <w:rPr>
          <w:rFonts w:hint="eastAsia" w:ascii="仿宋_GB2312" w:hAnsi="仿宋_GB2312" w:eastAsia="仿宋_GB2312" w:cs="仿宋_GB2312"/>
          <w:color w:val="auto"/>
          <w:kern w:val="2"/>
          <w:sz w:val="32"/>
          <w:szCs w:val="32"/>
          <w:lang w:val="en-US" w:eastAsia="zh-CN"/>
        </w:rPr>
        <w:t>份，收集保存多物种及草种的原则上不低于100份，定植图等档案资料齐全且保存完整。</w:t>
      </w:r>
    </w:p>
    <w:p>
      <w:pPr>
        <w:pStyle w:val="5"/>
        <w:widowControl/>
        <w:numPr>
          <w:ilvl w:val="0"/>
          <w:numId w:val="0"/>
        </w:numPr>
        <w:pBdr>
          <w:top w:val="none" w:color="auto" w:sz="0" w:space="0"/>
          <w:left w:val="none" w:color="auto" w:sz="0" w:space="0"/>
          <w:bottom w:val="none" w:color="auto" w:sz="0" w:space="0"/>
          <w:right w:val="none" w:color="auto" w:sz="0" w:space="0"/>
        </w:pBdr>
        <w:overflowPunct w:val="0"/>
        <w:topLinePunct/>
        <w:autoSpaceDE/>
        <w:autoSpaceDN/>
        <w:snapToGrid/>
        <w:ind w:left="0" w:leftChars="0" w:firstLine="616" w:firstLineChars="200"/>
        <w:rPr>
          <w:rFonts w:hint="eastAsia" w:ascii="仿宋_GB2312" w:hAnsi="仿宋_GB2312" w:eastAsia="仿宋_GB2312" w:cs="仿宋_GB2312"/>
          <w:color w:val="auto"/>
          <w:spacing w:val="0"/>
          <w:kern w:val="2"/>
          <w:sz w:val="32"/>
          <w:szCs w:val="32"/>
          <w:lang w:val="en-US" w:eastAsia="zh-CN" w:bidi="ar-SA"/>
        </w:rPr>
      </w:pPr>
      <w:r>
        <w:rPr>
          <w:rFonts w:hint="eastAsia" w:ascii="黑体" w:hAnsi="黑体" w:eastAsia="黑体" w:cs="黑体"/>
          <w:color w:val="auto"/>
          <w:sz w:val="32"/>
          <w:szCs w:val="32"/>
          <w:lang w:val="en-US" w:eastAsia="zh-CN"/>
        </w:rPr>
        <w:t>第八条</w:t>
      </w:r>
      <w:r>
        <w:rPr>
          <w:rFonts w:hint="eastAsia" w:ascii="仿宋_GB2312" w:eastAsia="仿宋_GB2312"/>
          <w:color w:val="auto"/>
          <w:sz w:val="32"/>
          <w:szCs w:val="32"/>
          <w:lang w:val="en-US" w:eastAsia="zh-CN"/>
        </w:rPr>
        <w:t xml:space="preserve">  </w:t>
      </w:r>
      <w:r>
        <w:rPr>
          <w:rFonts w:hint="eastAsia" w:ascii="仿宋_GB2312" w:hAnsi="仿宋_GB2312" w:eastAsia="仿宋_GB2312" w:cs="仿宋_GB2312"/>
          <w:color w:val="auto"/>
          <w:spacing w:val="0"/>
          <w:kern w:val="2"/>
          <w:sz w:val="32"/>
          <w:szCs w:val="32"/>
          <w:lang w:val="en-US" w:eastAsia="zh-CN" w:bidi="ar-SA"/>
        </w:rPr>
        <w:t>以低温保存种子或其它方式保存离体材料的设施保存库，种质资源保存份数和设施条件可根据实际情况综合论证确定。</w:t>
      </w:r>
    </w:p>
    <w:p>
      <w:pPr>
        <w:pStyle w:val="8"/>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20" w:lineRule="exact"/>
        <w:ind w:left="0" w:leftChars="0" w:right="0" w:rightChars="0" w:firstLine="640" w:firstLineChars="200"/>
        <w:jc w:val="left"/>
        <w:textAlignment w:val="auto"/>
        <w:outlineLvl w:val="9"/>
        <w:rPr>
          <w:rFonts w:hint="eastAsia" w:ascii="仿宋_GB2312" w:hAnsi="仿宋_GB2312" w:eastAsia="仿宋_GB2312" w:cs="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before="0" w:beforeLines="0" w:beforeAutospacing="0" w:after="312" w:afterLines="100" w:afterAutospacing="0" w:line="640" w:lineRule="exact"/>
        <w:ind w:left="0" w:leftChars="0" w:right="0" w:rightChars="0" w:firstLine="0" w:firstLineChars="0"/>
        <w:jc w:val="center"/>
        <w:textAlignment w:val="auto"/>
        <w:outlineLvl w:val="0"/>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第三章</w:t>
      </w:r>
      <w:r>
        <w:rPr>
          <w:rFonts w:hint="eastAsia" w:ascii="黑体" w:hAnsi="黑体" w:eastAsia="黑体" w:cs="黑体"/>
          <w:color w:val="auto"/>
          <w:sz w:val="32"/>
          <w:szCs w:val="32"/>
          <w:lang w:val="en-US" w:eastAsia="zh-CN"/>
        </w:rPr>
        <w:t xml:space="preserve"> 建立程序</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eastAsia="仿宋_GB2312"/>
          <w:color w:val="auto"/>
          <w:sz w:val="32"/>
          <w:szCs w:val="32"/>
          <w:lang w:val="en-US" w:eastAsia="zh-CN"/>
        </w:rPr>
      </w:pPr>
      <w:r>
        <w:rPr>
          <w:rFonts w:hint="eastAsia" w:ascii="黑体" w:hAnsi="黑体" w:eastAsia="黑体" w:cs="黑体"/>
          <w:color w:val="auto"/>
          <w:sz w:val="32"/>
          <w:szCs w:val="32"/>
          <w:lang w:val="en-US" w:eastAsia="zh-CN"/>
        </w:rPr>
        <w:t>第九条</w:t>
      </w:r>
      <w:r>
        <w:rPr>
          <w:rFonts w:hint="eastAsia" w:ascii="仿宋_GB2312" w:eastAsia="仿宋_GB2312"/>
          <w:color w:val="auto"/>
          <w:sz w:val="32"/>
          <w:szCs w:val="32"/>
          <w:lang w:val="en-US" w:eastAsia="zh-CN"/>
        </w:rPr>
        <w:t xml:space="preserve">  </w:t>
      </w:r>
      <w:r>
        <w:rPr>
          <w:rFonts w:hint="eastAsia" w:ascii="仿宋_GB2312" w:hAnsi="仿宋_GB2312" w:eastAsia="仿宋_GB2312" w:cs="仿宋_GB2312"/>
          <w:color w:val="auto"/>
          <w:spacing w:val="0"/>
          <w:kern w:val="2"/>
          <w:sz w:val="32"/>
          <w:szCs w:val="32"/>
          <w:lang w:val="en-US" w:eastAsia="zh-CN" w:bidi="ar-SA"/>
        </w:rPr>
        <w:t>省</w:t>
      </w:r>
      <w:r>
        <w:rPr>
          <w:rFonts w:hint="eastAsia" w:ascii="仿宋_GB2312" w:hAnsi="仿宋_GB2312" w:eastAsia="仿宋_GB2312" w:cs="仿宋_GB2312"/>
          <w:color w:val="auto"/>
          <w:spacing w:val="0"/>
          <w:kern w:val="2"/>
          <w:sz w:val="32"/>
          <w:szCs w:val="32"/>
          <w:lang w:val="en-US" w:eastAsia="zh-CN" w:bidi="ar-SA"/>
        </w:rPr>
        <w:t>林草种质资源库一般按照省林业局发布申报通知、建设单位或个人向所在地县级林业主管部门提交申报材料、市（州）林业主管部门复核、省林业局确认的程序建立。省、市（州）直单位直接向其林业主管部门申报。省林业局根据特殊情况需要，可以直接建立省林草种质资源库。</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黑体" w:hAnsi="黑体" w:eastAsia="黑体" w:cs="黑体"/>
          <w:color w:val="auto"/>
          <w:sz w:val="32"/>
          <w:szCs w:val="32"/>
          <w:lang w:eastAsia="zh-CN"/>
        </w:rPr>
        <w:t>第</w:t>
      </w:r>
      <w:r>
        <w:rPr>
          <w:rFonts w:hint="eastAsia" w:ascii="黑体" w:hAnsi="黑体" w:eastAsia="黑体" w:cs="黑体"/>
          <w:color w:val="auto"/>
          <w:sz w:val="32"/>
          <w:szCs w:val="32"/>
          <w:lang w:val="en-US" w:eastAsia="zh-CN"/>
        </w:rPr>
        <w:t>十</w:t>
      </w:r>
      <w:r>
        <w:rPr>
          <w:rFonts w:hint="eastAsia" w:ascii="黑体" w:hAnsi="黑体" w:eastAsia="黑体" w:cs="黑体"/>
          <w:color w:val="auto"/>
          <w:sz w:val="32"/>
          <w:szCs w:val="32"/>
          <w:lang w:eastAsia="zh-CN"/>
        </w:rPr>
        <w:t>条</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pacing w:val="0"/>
          <w:kern w:val="2"/>
          <w:sz w:val="32"/>
          <w:szCs w:val="32"/>
          <w:lang w:val="en-US" w:eastAsia="zh-CN" w:bidi="ar-SA"/>
        </w:rPr>
        <w:t>申报省林草种质资源库应当提供以下材料，并保证材料的真实性和准确性：</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（一）拟建林草种质资源库申报书（见附件）；</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（二）林草种质资源库的主要保护对象资料及照片；</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（三）位置图、区界图和矢量数据等相关图件资料；</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（四）土地使用权属证明文件；</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（五）申报单位或个人身份证明材料；</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（六）从事种质资源收集保存的专业技术人员证明材料，以及具备自主创新能力或建立生产和科研合作机制的证明材料；</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pacing w:val="0"/>
          <w:kern w:val="2"/>
          <w:sz w:val="32"/>
          <w:szCs w:val="32"/>
          <w:lang w:val="en-US" w:eastAsia="zh-CN" w:bidi="ar-SA"/>
        </w:rPr>
        <w:t>（七）其他必要的材料或图件。</w:t>
      </w:r>
    </w:p>
    <w:p>
      <w:pPr>
        <w:keepNext w:val="0"/>
        <w:keepLines w:val="0"/>
        <w:pageBreakBefore w:val="0"/>
        <w:widowControl w:val="0"/>
        <w:kinsoku/>
        <w:wordWrap/>
        <w:overflowPunct/>
        <w:topLinePunct w:val="0"/>
        <w:autoSpaceDE/>
        <w:autoSpaceDN/>
        <w:bidi w:val="0"/>
        <w:adjustRightInd/>
        <w:snapToGrid/>
        <w:spacing w:before="0" w:beforeLines="0" w:after="0" w:afterLines="0" w:afterAutospacing="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黑体" w:hAnsi="黑体" w:eastAsia="黑体" w:cs="黑体"/>
          <w:color w:val="auto"/>
          <w:sz w:val="32"/>
          <w:szCs w:val="32"/>
          <w:lang w:eastAsia="zh-CN"/>
        </w:rPr>
        <w:t>第</w:t>
      </w:r>
      <w:r>
        <w:rPr>
          <w:rFonts w:hint="eastAsia" w:ascii="黑体" w:hAnsi="黑体" w:eastAsia="黑体" w:cs="黑体"/>
          <w:color w:val="auto"/>
          <w:sz w:val="32"/>
          <w:szCs w:val="32"/>
          <w:lang w:val="en-US" w:eastAsia="zh-CN"/>
        </w:rPr>
        <w:t>十一</w:t>
      </w:r>
      <w:r>
        <w:rPr>
          <w:rFonts w:hint="eastAsia" w:ascii="黑体" w:hAnsi="黑体" w:eastAsia="黑体" w:cs="黑体"/>
          <w:color w:val="auto"/>
          <w:sz w:val="32"/>
          <w:szCs w:val="32"/>
          <w:lang w:eastAsia="zh-CN"/>
        </w:rPr>
        <w:t>条</w:t>
      </w:r>
      <w:r>
        <w:rPr>
          <w:rFonts w:hint="eastAsia" w:ascii="仿宋_GB2312" w:hAnsi="仿宋_GB2312" w:eastAsia="仿宋_GB2312" w:cs="仿宋_GB2312"/>
          <w:color w:val="auto"/>
          <w:sz w:val="32"/>
          <w:szCs w:val="32"/>
          <w:lang w:eastAsia="zh-CN"/>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pacing w:val="0"/>
          <w:kern w:val="2"/>
          <w:sz w:val="32"/>
          <w:szCs w:val="32"/>
          <w:lang w:val="en-US" w:eastAsia="zh-CN" w:bidi="ar-SA"/>
        </w:rPr>
        <w:t>省林业局受理申报材料后，应组织专家进行论证，必要时可开展实地考察。论证通过的，在省林业局网站上公示7个工作日。无异议的由省林业局命名公布。</w:t>
      </w:r>
    </w:p>
    <w:p>
      <w:pPr>
        <w:pStyle w:val="5"/>
        <w:widowControl/>
        <w:numPr>
          <w:ilvl w:val="0"/>
          <w:numId w:val="1"/>
        </w:numPr>
        <w:overflowPunct w:val="0"/>
        <w:topLinePunct/>
        <w:autoSpaceDE/>
        <w:autoSpaceDN/>
        <w:snapToGrid/>
        <w:ind w:firstLine="616" w:firstLineChars="0"/>
        <w:jc w:val="both"/>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省林草种质资源库由省林业局统一命名，命名方式为：林草种质资源库所在地名称或单位名称+具有代表性的保护对象名称+省级林草种质资源库。保护对象扩大且达到一定规模的，可提请更名，由省林业局审核后公布。</w:t>
      </w:r>
    </w:p>
    <w:p>
      <w:pPr>
        <w:keepNext w:val="0"/>
        <w:keepLines w:val="0"/>
        <w:pageBreakBefore w:val="0"/>
        <w:widowControl w:val="0"/>
        <w:kinsoku/>
        <w:wordWrap/>
        <w:overflowPunct/>
        <w:topLinePunct w:val="0"/>
        <w:autoSpaceDE/>
        <w:autoSpaceDN/>
        <w:bidi w:val="0"/>
        <w:adjustRightInd/>
        <w:snapToGrid/>
        <w:spacing w:before="0" w:beforeLines="0" w:after="0" w:afterLines="0" w:afterAutospacing="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before="0" w:beforeLines="0" w:beforeAutospacing="0" w:after="312" w:afterLines="100" w:afterAutospacing="0" w:line="640" w:lineRule="exact"/>
        <w:ind w:left="0" w:leftChars="0" w:right="0" w:rightChars="0" w:firstLine="0" w:firstLineChars="0"/>
        <w:jc w:val="center"/>
        <w:textAlignment w:val="auto"/>
        <w:outlineLvl w:val="0"/>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第四章</w:t>
      </w:r>
      <w:r>
        <w:rPr>
          <w:rFonts w:hint="eastAsia" w:ascii="黑体" w:hAnsi="黑体" w:eastAsia="黑体" w:cs="黑体"/>
          <w:color w:val="auto"/>
          <w:sz w:val="32"/>
          <w:szCs w:val="32"/>
          <w:lang w:val="en-US" w:eastAsia="zh-CN"/>
        </w:rPr>
        <w:t xml:space="preserve">  建设与管理</w:t>
      </w:r>
    </w:p>
    <w:p>
      <w:pPr>
        <w:keepNext w:val="0"/>
        <w:keepLines w:val="0"/>
        <w:pageBreakBefore w:val="0"/>
        <w:widowControl w:val="0"/>
        <w:kinsoku/>
        <w:wordWrap/>
        <w:overflowPunct/>
        <w:topLinePunct w:val="0"/>
        <w:autoSpaceDE/>
        <w:autoSpaceDN/>
        <w:bidi w:val="0"/>
        <w:adjustRightInd/>
        <w:snapToGrid/>
        <w:spacing w:before="0" w:beforeLines="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黑体" w:hAnsi="黑体" w:eastAsia="黑体" w:cs="黑体"/>
          <w:color w:val="auto"/>
          <w:sz w:val="32"/>
          <w:szCs w:val="32"/>
          <w:lang w:val="en-US" w:eastAsia="zh-CN"/>
        </w:rPr>
        <w:t>第十三条</w:t>
      </w:r>
      <w:r>
        <w:rPr>
          <w:rFonts w:hint="eastAsia" w:ascii="仿宋_GB2312" w:eastAsia="仿宋_GB2312"/>
          <w:color w:val="auto"/>
          <w:sz w:val="32"/>
          <w:szCs w:val="32"/>
          <w:lang w:val="en-US" w:eastAsia="zh-CN"/>
        </w:rPr>
        <w:t xml:space="preserve">  </w:t>
      </w:r>
      <w:r>
        <w:rPr>
          <w:rFonts w:hint="eastAsia" w:ascii="仿宋_GB2312" w:hAnsi="仿宋_GB2312" w:eastAsia="仿宋_GB2312" w:cs="仿宋_GB2312"/>
          <w:color w:val="auto"/>
          <w:spacing w:val="0"/>
          <w:kern w:val="2"/>
          <w:sz w:val="32"/>
          <w:szCs w:val="32"/>
          <w:lang w:val="en-US" w:eastAsia="zh-CN" w:bidi="ar-SA"/>
        </w:rPr>
        <w:t>省林草种质资源库重点开展以下工作：</w:t>
      </w:r>
    </w:p>
    <w:p>
      <w:pPr>
        <w:keepNext w:val="0"/>
        <w:keepLines w:val="0"/>
        <w:pageBreakBefore w:val="0"/>
        <w:widowControl w:val="0"/>
        <w:kinsoku/>
        <w:wordWrap/>
        <w:overflowPunct/>
        <w:topLinePunct w:val="0"/>
        <w:autoSpaceDE/>
        <w:autoSpaceDN/>
        <w:bidi w:val="0"/>
        <w:adjustRightInd/>
        <w:snapToGrid/>
        <w:spacing w:before="0" w:beforeLines="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（一）配备必要的设施设备和设立保护标志，强化林草种质资源的培育管理，确保库内种质资源安全保存；</w:t>
      </w:r>
    </w:p>
    <w:p>
      <w:pPr>
        <w:keepNext w:val="0"/>
        <w:keepLines w:val="0"/>
        <w:pageBreakBefore w:val="0"/>
        <w:widowControl w:val="0"/>
        <w:kinsoku/>
        <w:wordWrap/>
        <w:overflowPunct/>
        <w:topLinePunct w:val="0"/>
        <w:autoSpaceDE/>
        <w:autoSpaceDN/>
        <w:bidi w:val="0"/>
        <w:adjustRightInd/>
        <w:snapToGrid/>
        <w:spacing w:before="0" w:beforeLines="0" w:after="0" w:afterLines="0" w:line="570" w:lineRule="exact"/>
        <w:ind w:left="0" w:leftChars="0" w:right="0" w:rightChars="0" w:firstLine="640" w:firstLineChars="200"/>
        <w:jc w:val="both"/>
        <w:textAlignment w:val="auto"/>
        <w:outlineLvl w:val="9"/>
        <w:rPr>
          <w:rFonts w:hint="default"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（二）持续开展种质资源调查收集、扩繁保存、评价和利用等工作；及时完善种质资源档案，推进电子化管理；</w:t>
      </w:r>
    </w:p>
    <w:p>
      <w:pPr>
        <w:keepNext w:val="0"/>
        <w:keepLines w:val="0"/>
        <w:pageBreakBefore w:val="0"/>
        <w:widowControl w:val="0"/>
        <w:kinsoku/>
        <w:wordWrap/>
        <w:overflowPunct/>
        <w:topLinePunct w:val="0"/>
        <w:autoSpaceDE/>
        <w:autoSpaceDN/>
        <w:bidi w:val="0"/>
        <w:adjustRightInd/>
        <w:snapToGrid/>
        <w:spacing w:before="0" w:beforeLines="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（三）按照上级林业主管部门的要求，依法提供可供利用的林草种质资源目录‌，促进种质资源开放共享；</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（四）配合开展种质资源、品种选育等相关的科普教育；</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（五）鼓励将珍稀、濒危、特有与特色地方资源，以及符合地方林草事业发展需求的物种纳入保护研究范围，建设保护多个树种草种的种质资源库。</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黑体" w:hAnsi="黑体" w:eastAsia="黑体" w:cs="黑体"/>
          <w:color w:val="auto"/>
          <w:sz w:val="32"/>
          <w:szCs w:val="32"/>
          <w:lang w:eastAsia="zh-CN"/>
        </w:rPr>
        <w:t>第十</w:t>
      </w:r>
      <w:r>
        <w:rPr>
          <w:rFonts w:hint="eastAsia" w:ascii="黑体" w:hAnsi="黑体" w:eastAsia="黑体" w:cs="黑体"/>
          <w:color w:val="auto"/>
          <w:sz w:val="32"/>
          <w:szCs w:val="32"/>
          <w:lang w:val="en-US" w:eastAsia="zh-CN"/>
        </w:rPr>
        <w:t>四</w:t>
      </w:r>
      <w:r>
        <w:rPr>
          <w:rFonts w:hint="eastAsia" w:ascii="黑体" w:hAnsi="黑体" w:eastAsia="黑体" w:cs="黑体"/>
          <w:color w:val="auto"/>
          <w:sz w:val="32"/>
          <w:szCs w:val="32"/>
          <w:lang w:eastAsia="zh-CN"/>
        </w:rPr>
        <w:t>条</w:t>
      </w:r>
      <w:r>
        <w:rPr>
          <w:rFonts w:hint="eastAsia" w:ascii="仿宋_GB2312" w:hAnsi="仿宋_GB2312" w:eastAsia="仿宋_GB2312" w:cs="仿宋_GB2312"/>
          <w:color w:val="auto"/>
          <w:sz w:val="32"/>
          <w:szCs w:val="32"/>
          <w:lang w:eastAsia="zh-CN"/>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pacing w:val="0"/>
          <w:kern w:val="2"/>
          <w:sz w:val="32"/>
          <w:szCs w:val="32"/>
          <w:lang w:val="en-US" w:eastAsia="zh-CN" w:bidi="ar-SA"/>
        </w:rPr>
        <w:t>任何单位和个人不得侵占和破坏林草种质资源及其保存用地、保护设施和保护标志。占用或破坏林草种质资源库的，按照《中华人民共和国种子法》《中华人民共和国森林法》及其它法律法规的有关规定处理。</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70" w:lineRule="exact"/>
        <w:ind w:right="0" w:rightChars="0"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黑体" w:hAnsi="黑体" w:eastAsia="黑体" w:cs="黑体"/>
          <w:color w:val="auto"/>
          <w:sz w:val="32"/>
          <w:szCs w:val="32"/>
          <w:lang w:val="en-US" w:eastAsia="zh-CN"/>
        </w:rPr>
        <w:t>第十五</w:t>
      </w:r>
      <w:r>
        <w:rPr>
          <w:rFonts w:hint="eastAsia" w:ascii="仿宋_GB2312" w:hAnsi="仿宋_GB2312" w:eastAsia="仿宋_GB2312" w:cs="仿宋_GB2312"/>
          <w:color w:val="auto"/>
          <w:spacing w:val="0"/>
          <w:kern w:val="2"/>
          <w:sz w:val="32"/>
          <w:szCs w:val="32"/>
          <w:lang w:val="en-US" w:eastAsia="zh-CN" w:bidi="ar-SA"/>
        </w:rPr>
        <w:t>条  省林草种质资源库所属县级以上林业主管部门对省林草种质资源库的日常生产和建设情况进行监督管理。</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70" w:lineRule="exact"/>
        <w:ind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黑体" w:hAnsi="黑体" w:eastAsia="黑体" w:cs="黑体"/>
          <w:color w:val="auto"/>
          <w:sz w:val="32"/>
          <w:szCs w:val="32"/>
          <w:lang w:val="en-US" w:eastAsia="zh-CN"/>
        </w:rPr>
        <w:t>第十六条</w:t>
      </w:r>
      <w:r>
        <w:rPr>
          <w:rFonts w:hint="eastAsia" w:ascii="仿宋_GB2312" w:eastAsia="仿宋_GB2312"/>
          <w:color w:val="auto"/>
          <w:sz w:val="32"/>
          <w:szCs w:val="32"/>
          <w:lang w:val="en-US" w:eastAsia="zh-CN"/>
        </w:rPr>
        <w:t xml:space="preserve">  </w:t>
      </w:r>
      <w:r>
        <w:rPr>
          <w:rFonts w:hint="eastAsia" w:ascii="仿宋_GB2312" w:hAnsi="仿宋_GB2312" w:eastAsia="仿宋_GB2312" w:cs="仿宋_GB2312"/>
          <w:color w:val="auto"/>
          <w:spacing w:val="0"/>
          <w:kern w:val="2"/>
          <w:sz w:val="32"/>
          <w:szCs w:val="32"/>
          <w:lang w:val="en-US" w:eastAsia="zh-CN" w:bidi="ar-SA"/>
        </w:rPr>
        <w:t>省林草种质资源库内的种质资源因受自然灾害影响被破坏的，建设单位应将受损情况和拟采取的补救措施报送省林业局。</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黑体" w:hAnsi="黑体" w:eastAsia="黑体" w:cs="黑体"/>
          <w:color w:val="auto"/>
          <w:sz w:val="32"/>
          <w:szCs w:val="32"/>
          <w:lang w:val="en-US" w:eastAsia="zh-CN"/>
        </w:rPr>
        <w:t>第十七条</w:t>
      </w:r>
      <w:r>
        <w:rPr>
          <w:rFonts w:hint="eastAsia" w:ascii="仿宋_GB2312" w:eastAsia="仿宋_GB2312"/>
          <w:color w:val="auto"/>
          <w:sz w:val="32"/>
          <w:szCs w:val="32"/>
          <w:lang w:val="en-US" w:eastAsia="zh-CN"/>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pacing w:val="0"/>
          <w:kern w:val="2"/>
          <w:sz w:val="32"/>
          <w:szCs w:val="32"/>
          <w:lang w:val="en-US" w:eastAsia="zh-CN" w:bidi="ar-SA"/>
        </w:rPr>
        <w:t>各市（州）和县级林业主管部门应从资金投入、人力保障、技术交流等方面配合省林业局，共同做好林草种质资源库建设管理工作，并按规定推荐其申报国家林草种质资源库。公布成为国家级种质资源库的，按国家级种质资源库的相关要求进行管理。</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黑体" w:hAnsi="黑体" w:eastAsia="黑体" w:cs="黑体"/>
          <w:color w:val="auto"/>
          <w:sz w:val="32"/>
          <w:szCs w:val="32"/>
          <w:lang w:eastAsia="zh-CN"/>
        </w:rPr>
        <w:t>第十</w:t>
      </w:r>
      <w:r>
        <w:rPr>
          <w:rFonts w:hint="eastAsia" w:ascii="黑体" w:hAnsi="黑体" w:eastAsia="黑体" w:cs="黑体"/>
          <w:color w:val="auto"/>
          <w:sz w:val="32"/>
          <w:szCs w:val="32"/>
          <w:lang w:val="en-US" w:eastAsia="zh-CN"/>
        </w:rPr>
        <w:t>八</w:t>
      </w:r>
      <w:r>
        <w:rPr>
          <w:rFonts w:hint="eastAsia" w:ascii="黑体" w:hAnsi="黑体" w:eastAsia="黑体" w:cs="黑体"/>
          <w:color w:val="auto"/>
          <w:sz w:val="32"/>
          <w:szCs w:val="32"/>
          <w:lang w:eastAsia="zh-CN"/>
        </w:rPr>
        <w:t>条</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pacing w:val="0"/>
          <w:kern w:val="2"/>
          <w:sz w:val="32"/>
          <w:szCs w:val="32"/>
          <w:lang w:val="en-US" w:eastAsia="zh-CN" w:bidi="ar-SA"/>
        </w:rPr>
        <w:t>省林业局根据本省实际需要，坚持合理布局、总量控制、优胜劣汰的原则，对省林草种质资源库实行动态管理，不定期开展抽查评估，具有下列情形之一的，将不再作为省林草种质资源库：</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（一）管理混乱，导致保存的种质资源遗失或损毁严重，已丧失原有保护价值和意义的；</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（二）林草种质资源库的原地保存林被占用的；</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（三）未经批准私自向境外提供林草种质资源，或者未经批准与境外机构、个人开展合作研究利用种质资源的；</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（四）违反财经纪律及资金管理有关规定的；</w:t>
      </w:r>
    </w:p>
    <w:p>
      <w:pPr>
        <w:keepNext w:val="0"/>
        <w:keepLines w:val="0"/>
        <w:pageBreakBefore w:val="0"/>
        <w:widowControl w:val="0"/>
        <w:kinsoku/>
        <w:wordWrap/>
        <w:overflowPunct/>
        <w:topLinePunct w:val="0"/>
        <w:autoSpaceDE/>
        <w:autoSpaceDN/>
        <w:bidi w:val="0"/>
        <w:adjustRightInd/>
        <w:snapToGrid/>
        <w:spacing w:before="0" w:beforeLines="0" w:beforeAutospacing="0" w:after="0" w:afterLines="0" w:line="570" w:lineRule="exact"/>
        <w:ind w:left="0" w:leftChars="0" w:right="0" w:rightChars="0" w:firstLine="640" w:firstLineChars="20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（五）出现其它不再适合建立种质资源库情形的。</w:t>
      </w:r>
    </w:p>
    <w:p>
      <w:pPr>
        <w:keepNext w:val="0"/>
        <w:keepLines w:val="0"/>
        <w:pageBreakBefore w:val="0"/>
        <w:widowControl w:val="0"/>
        <w:kinsoku/>
        <w:wordWrap/>
        <w:overflowPunct/>
        <w:topLinePunct w:val="0"/>
        <w:autoSpaceDE/>
        <w:autoSpaceDN/>
        <w:bidi w:val="0"/>
        <w:adjustRightInd/>
        <w:snapToGrid/>
        <w:spacing w:before="0" w:beforeLines="0" w:after="0" w:afterLines="0" w:line="640" w:lineRule="exact"/>
        <w:ind w:right="0" w:rightChars="0"/>
        <w:jc w:val="both"/>
        <w:textAlignment w:val="auto"/>
        <w:outlineLvl w:val="9"/>
        <w:rPr>
          <w:rFonts w:hint="eastAsia" w:ascii="黑体" w:hAnsi="黑体" w:eastAsia="黑体" w:cs="黑体"/>
          <w:color w:val="auto"/>
          <w:sz w:val="32"/>
          <w:szCs w:val="32"/>
          <w:lang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before="0" w:beforeLines="0" w:after="0" w:afterLines="0" w:line="640" w:lineRule="exact"/>
        <w:ind w:left="0" w:leftChars="0" w:right="0" w:rightChars="0" w:firstLine="0" w:firstLineChars="0"/>
        <w:jc w:val="center"/>
        <w:textAlignment w:val="auto"/>
        <w:outlineLvl w:val="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 xml:space="preserve"> 附则</w:t>
      </w:r>
    </w:p>
    <w:p>
      <w:pPr>
        <w:keepNext w:val="0"/>
        <w:keepLines w:val="0"/>
        <w:pageBreakBefore w:val="0"/>
        <w:widowControl w:val="0"/>
        <w:numPr>
          <w:numId w:val="0"/>
        </w:numPr>
        <w:kinsoku/>
        <w:wordWrap/>
        <w:overflowPunct/>
        <w:topLinePunct w:val="0"/>
        <w:autoSpaceDE/>
        <w:autoSpaceDN/>
        <w:bidi w:val="0"/>
        <w:adjustRightInd/>
        <w:snapToGrid/>
        <w:spacing w:before="0" w:beforeLines="0" w:after="0" w:afterLines="0" w:line="640" w:lineRule="exact"/>
        <w:ind w:leftChars="0" w:right="0" w:rightChars="0"/>
        <w:jc w:val="both"/>
        <w:textAlignment w:val="auto"/>
        <w:outlineLvl w:val="0"/>
        <w:rPr>
          <w:rFonts w:hint="eastAsia" w:ascii="黑体" w:hAnsi="黑体" w:eastAsia="黑体" w:cs="黑体"/>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40" w:lineRule="exact"/>
        <w:ind w:left="0" w:leftChars="0" w:right="0" w:rightChars="0" w:firstLine="640" w:firstLineChars="0"/>
        <w:jc w:val="both"/>
        <w:textAlignment w:val="auto"/>
        <w:outlineLvl w:val="9"/>
        <w:rPr>
          <w:rFonts w:hint="eastAsia" w:ascii="仿宋_GB2312" w:hAnsi="仿宋_GB2312" w:eastAsia="仿宋_GB2312" w:cs="仿宋_GB2312"/>
          <w:color w:val="auto"/>
          <w:sz w:val="32"/>
          <w:szCs w:val="32"/>
          <w:lang w:eastAsia="zh-CN"/>
        </w:rPr>
      </w:pPr>
      <w:r>
        <w:rPr>
          <w:rFonts w:hint="eastAsia" w:ascii="黑体" w:hAnsi="黑体" w:eastAsia="黑体" w:cs="黑体"/>
          <w:color w:val="auto"/>
          <w:kern w:val="2"/>
          <w:sz w:val="32"/>
          <w:szCs w:val="32"/>
          <w:lang w:val="en-US" w:eastAsia="zh-CN"/>
        </w:rPr>
        <w:t>第十九条</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pacing w:val="0"/>
          <w:kern w:val="2"/>
          <w:sz w:val="32"/>
          <w:szCs w:val="32"/>
          <w:lang w:val="en-US" w:eastAsia="zh-CN" w:bidi="ar-SA"/>
        </w:rPr>
        <w:t>本办法自2026年 月 日起实施。《贵州省林业厅关于印发&lt;贵州省林木种质资源库管理办法&gt;的通知》（黔林种通〔2018〕288号）同时废止。</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40" w:lineRule="exact"/>
        <w:ind w:left="0" w:leftChars="0" w:right="0" w:rightChars="0" w:firstLine="640" w:firstLineChars="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黑体" w:hAnsi="黑体" w:eastAsia="黑体" w:cs="黑体"/>
          <w:color w:val="auto"/>
          <w:kern w:val="2"/>
          <w:sz w:val="32"/>
          <w:szCs w:val="32"/>
          <w:lang w:val="en-US" w:eastAsia="zh-CN"/>
        </w:rPr>
        <w:t>第二十条</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pacing w:val="0"/>
          <w:kern w:val="2"/>
          <w:sz w:val="32"/>
          <w:szCs w:val="32"/>
          <w:lang w:val="en-US" w:eastAsia="zh-CN" w:bidi="ar-SA"/>
        </w:rPr>
        <w:t>本办法由省林业局负责解释。</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40" w:lineRule="exact"/>
        <w:ind w:left="0" w:leftChars="0" w:right="0" w:rightChars="0" w:firstLine="640" w:firstLineChars="0"/>
        <w:jc w:val="both"/>
        <w:textAlignment w:val="auto"/>
        <w:outlineLvl w:val="9"/>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附件：贵州省省级林草种质资源库申报书</w:t>
      </w:r>
    </w:p>
    <w:p>
      <w:pPr>
        <w:spacing w:after="156" w:afterLines="50"/>
        <w:jc w:val="both"/>
        <w:rPr>
          <w:rFonts w:hint="eastAsia" w:ascii="黑体" w:hAnsi="黑体" w:eastAsia="黑体" w:cs="黑体"/>
          <w:b w:val="0"/>
          <w:bCs w:val="0"/>
          <w:sz w:val="32"/>
          <w:szCs w:val="32"/>
          <w:lang w:eastAsia="zh-CN"/>
        </w:rPr>
      </w:pPr>
      <w:r>
        <w:rPr>
          <w:rFonts w:hint="eastAsia" w:ascii="仿宋_GB2312" w:hAnsi="仿宋_GB2312" w:eastAsia="仿宋_GB2312" w:cs="仿宋_GB2312"/>
          <w:color w:val="auto"/>
          <w:sz w:val="32"/>
          <w:szCs w:val="32"/>
          <w:lang w:eastAsia="zh-CN"/>
        </w:rPr>
        <w:br w:type="page"/>
      </w:r>
      <w:r>
        <w:rPr>
          <w:rFonts w:hint="eastAsia" w:ascii="黑体" w:hAnsi="黑体" w:eastAsia="黑体" w:cs="黑体"/>
          <w:b w:val="0"/>
          <w:bCs w:val="0"/>
          <w:sz w:val="32"/>
          <w:szCs w:val="32"/>
          <w:lang w:eastAsia="zh-CN"/>
        </w:rPr>
        <w:t>附件</w:t>
      </w:r>
    </w:p>
    <w:p>
      <w:pPr>
        <w:ind w:firstLine="5880" w:firstLineChars="2100"/>
        <w:rPr>
          <w:rFonts w:hint="default" w:ascii="Times New Roman" w:hAnsi="Times New Roman" w:cs="Times New Roman"/>
          <w:lang w:bidi="ar-SA"/>
        </w:rPr>
      </w:pPr>
      <w:r>
        <w:rPr>
          <w:rFonts w:hint="default" w:ascii="Times New Roman" w:hAnsi="Times New Roman" w:cs="Times New Roman"/>
          <w:sz w:val="28"/>
          <w:szCs w:val="28"/>
          <w:lang w:bidi="ar-SA"/>
        </w:rPr>
        <w:t>编号：</w:t>
      </w:r>
    </w:p>
    <w:p>
      <w:pPr>
        <w:ind w:firstLine="510"/>
        <w:rPr>
          <w:rFonts w:hint="default" w:ascii="Times New Roman" w:hAnsi="Times New Roman" w:cs="Times New Roman"/>
          <w:lang w:bidi="ar-SA"/>
        </w:rPr>
      </w:pPr>
      <w:r>
        <w:rPr>
          <w:rFonts w:hint="default" w:ascii="Times New Roman" w:hAnsi="Times New Roman" w:cs="Times New Roman"/>
          <w:lang w:bidi="ar-SA"/>
        </w:rPr>
        <w:t xml:space="preserve">                                 </w:t>
      </w:r>
    </w:p>
    <w:p>
      <w:pPr>
        <w:ind w:firstLine="510"/>
        <w:jc w:val="center"/>
        <w:rPr>
          <w:rFonts w:hint="default" w:ascii="Times New Roman" w:hAnsi="Times New Roman" w:eastAsia="黑体" w:cs="Times New Roman"/>
          <w:b/>
          <w:sz w:val="48"/>
          <w:lang w:bidi="ar-SA"/>
        </w:rPr>
      </w:pPr>
    </w:p>
    <w:p>
      <w:pPr>
        <w:jc w:val="center"/>
        <w:rPr>
          <w:rFonts w:hint="default" w:ascii="Times New Roman" w:hAnsi="Times New Roman" w:eastAsia="黑体" w:cs="Times New Roman"/>
          <w:b/>
          <w:sz w:val="48"/>
          <w:lang w:bidi="ar-SA"/>
        </w:rPr>
      </w:pPr>
      <w:r>
        <w:rPr>
          <w:rFonts w:hint="eastAsia" w:ascii="Times New Roman" w:hAnsi="Times New Roman" w:eastAsia="黑体" w:cs="Times New Roman"/>
          <w:b/>
          <w:sz w:val="48"/>
          <w:lang w:eastAsia="zh-CN" w:bidi="ar-SA"/>
        </w:rPr>
        <w:t>贵州</w:t>
      </w:r>
      <w:r>
        <w:rPr>
          <w:rFonts w:hint="default" w:ascii="Times New Roman" w:hAnsi="Times New Roman" w:eastAsia="黑体" w:cs="Times New Roman"/>
          <w:b/>
          <w:sz w:val="48"/>
          <w:lang w:bidi="ar-SA"/>
        </w:rPr>
        <w:t>省省级林</w:t>
      </w:r>
      <w:r>
        <w:rPr>
          <w:rFonts w:hint="eastAsia" w:ascii="Times New Roman" w:hAnsi="Times New Roman" w:eastAsia="黑体" w:cs="Times New Roman"/>
          <w:b/>
          <w:sz w:val="48"/>
          <w:lang w:eastAsia="zh-CN" w:bidi="ar-SA"/>
        </w:rPr>
        <w:t>草</w:t>
      </w:r>
      <w:r>
        <w:rPr>
          <w:rFonts w:hint="default" w:ascii="Times New Roman" w:hAnsi="Times New Roman" w:eastAsia="黑体" w:cs="Times New Roman"/>
          <w:b/>
          <w:sz w:val="48"/>
          <w:lang w:bidi="ar-SA"/>
        </w:rPr>
        <w:t>种质资源库</w:t>
      </w:r>
    </w:p>
    <w:p>
      <w:pPr>
        <w:ind w:firstLine="510"/>
        <w:jc w:val="center"/>
        <w:rPr>
          <w:rFonts w:hint="default" w:ascii="Times New Roman" w:hAnsi="Times New Roman" w:eastAsia="黑体" w:cs="Times New Roman"/>
          <w:b/>
          <w:sz w:val="48"/>
          <w:lang w:bidi="ar-SA"/>
        </w:rPr>
      </w:pPr>
    </w:p>
    <w:p>
      <w:pPr>
        <w:jc w:val="center"/>
        <w:rPr>
          <w:rFonts w:hint="default" w:ascii="Times New Roman" w:hAnsi="Times New Roman" w:eastAsia="黑体" w:cs="Times New Roman"/>
          <w:b/>
          <w:sz w:val="48"/>
          <w:lang w:bidi="ar-SA"/>
        </w:rPr>
      </w:pPr>
      <w:r>
        <w:rPr>
          <w:rFonts w:hint="default" w:ascii="Times New Roman" w:hAnsi="Times New Roman" w:eastAsia="黑体" w:cs="Times New Roman"/>
          <w:b/>
          <w:sz w:val="48"/>
          <w:lang w:bidi="ar-SA"/>
        </w:rPr>
        <w:t>申   报   书</w:t>
      </w:r>
    </w:p>
    <w:p>
      <w:pPr>
        <w:ind w:firstLine="510"/>
        <w:jc w:val="center"/>
        <w:rPr>
          <w:rFonts w:hint="default" w:ascii="Times New Roman" w:hAnsi="Times New Roman" w:eastAsia="仿宋_GB2312" w:cs="Times New Roman"/>
          <w:b/>
          <w:sz w:val="44"/>
          <w:lang w:bidi="ar-SA"/>
        </w:rPr>
      </w:pPr>
    </w:p>
    <w:p>
      <w:pPr>
        <w:ind w:firstLine="510"/>
        <w:jc w:val="center"/>
        <w:rPr>
          <w:rFonts w:hint="default" w:ascii="Times New Roman" w:hAnsi="Times New Roman" w:eastAsia="仿宋_GB2312" w:cs="Times New Roman"/>
          <w:b/>
          <w:sz w:val="44"/>
          <w:lang w:bidi="ar-SA"/>
        </w:rPr>
      </w:pPr>
    </w:p>
    <w:p>
      <w:pPr>
        <w:ind w:firstLine="510"/>
        <w:jc w:val="center"/>
        <w:rPr>
          <w:rFonts w:hint="default" w:ascii="Times New Roman" w:hAnsi="Times New Roman" w:eastAsia="仿宋_GB2312" w:cs="Times New Roman"/>
          <w:b/>
          <w:sz w:val="44"/>
          <w:lang w:bidi="ar-SA"/>
        </w:rPr>
      </w:pPr>
    </w:p>
    <w:p>
      <w:pPr>
        <w:ind w:firstLine="510"/>
        <w:jc w:val="center"/>
        <w:rPr>
          <w:rFonts w:hint="default" w:ascii="Times New Roman" w:hAnsi="Times New Roman" w:eastAsia="仿宋_GB2312" w:cs="Times New Roman"/>
          <w:b/>
          <w:sz w:val="44"/>
          <w:lang w:bidi="ar-SA"/>
        </w:rPr>
      </w:pPr>
    </w:p>
    <w:p>
      <w:pPr>
        <w:rPr>
          <w:rFonts w:hint="default" w:ascii="Times New Roman" w:hAnsi="Times New Roman" w:eastAsia="仿宋_GB2312" w:cs="Times New Roman"/>
          <w:b/>
          <w:sz w:val="36"/>
          <w:lang w:bidi="ar-SA"/>
        </w:rPr>
      </w:pPr>
    </w:p>
    <w:p>
      <w:pPr>
        <w:ind w:left="-1" w:leftChars="-50" w:hanging="104" w:hangingChars="29"/>
        <w:rPr>
          <w:rFonts w:hint="default" w:ascii="Times New Roman" w:hAnsi="Times New Roman" w:cs="Times New Roman"/>
          <w:b/>
          <w:sz w:val="30"/>
          <w:szCs w:val="30"/>
          <w:lang w:bidi="ar-SA"/>
        </w:rPr>
      </w:pPr>
      <w:r>
        <w:rPr>
          <w:rFonts w:hint="default" w:ascii="Times New Roman" w:hAnsi="Times New Roman" w:cs="Times New Roman"/>
          <w:sz w:val="36"/>
          <w:lang w:bidi="ar-SA"/>
        </w:rPr>
        <w:t xml:space="preserve">        </w:t>
      </w:r>
      <w:r>
        <w:rPr>
          <w:rFonts w:hint="default" w:ascii="Times New Roman" w:hAnsi="Times New Roman" w:cs="Times New Roman"/>
          <w:b/>
          <w:sz w:val="30"/>
          <w:szCs w:val="30"/>
          <w:lang w:bidi="ar-SA"/>
        </w:rPr>
        <w:t xml:space="preserve">种质资源库名称 </w:t>
      </w:r>
      <w:r>
        <w:rPr>
          <w:rFonts w:hint="default" w:ascii="Times New Roman" w:hAnsi="Times New Roman" w:cs="Times New Roman"/>
          <w:b/>
          <w:sz w:val="30"/>
          <w:szCs w:val="30"/>
          <w:u w:val="single"/>
          <w:lang w:bidi="ar-SA"/>
        </w:rPr>
        <w:t xml:space="preserve">    </w:t>
      </w:r>
      <w:r>
        <w:rPr>
          <w:rFonts w:hint="eastAsia" w:ascii="Times New Roman" w:hAnsi="Times New Roman" w:cs="Times New Roman"/>
          <w:b/>
          <w:sz w:val="30"/>
          <w:szCs w:val="30"/>
          <w:u w:val="single"/>
          <w:lang w:val="en-US" w:eastAsia="zh-CN" w:bidi="ar-SA"/>
        </w:rPr>
        <w:t xml:space="preserve">    </w:t>
      </w:r>
      <w:r>
        <w:rPr>
          <w:rFonts w:hint="default" w:ascii="Times New Roman" w:hAnsi="Times New Roman" w:cs="Times New Roman"/>
          <w:b/>
          <w:sz w:val="30"/>
          <w:szCs w:val="30"/>
          <w:u w:val="single"/>
          <w:lang w:bidi="ar-SA"/>
        </w:rPr>
        <w:t xml:space="preserve">            </w:t>
      </w:r>
    </w:p>
    <w:p>
      <w:pPr>
        <w:ind w:firstLine="894" w:firstLineChars="297"/>
        <w:rPr>
          <w:rFonts w:hint="default" w:ascii="Times New Roman" w:hAnsi="Times New Roman" w:cs="Times New Roman"/>
          <w:b/>
          <w:sz w:val="30"/>
          <w:szCs w:val="30"/>
          <w:lang w:bidi="ar-SA"/>
        </w:rPr>
      </w:pPr>
      <w:r>
        <w:rPr>
          <w:rFonts w:hint="default" w:ascii="Times New Roman" w:hAnsi="Times New Roman" w:cs="Times New Roman"/>
          <w:b/>
          <w:sz w:val="30"/>
          <w:szCs w:val="30"/>
          <w:lang w:bidi="ar-SA"/>
        </w:rPr>
        <w:t xml:space="preserve">   申  报  单  位 </w:t>
      </w:r>
      <w:r>
        <w:rPr>
          <w:rFonts w:hint="default" w:ascii="Times New Roman" w:hAnsi="Times New Roman" w:cs="Times New Roman"/>
          <w:b/>
          <w:sz w:val="30"/>
          <w:szCs w:val="30"/>
          <w:u w:val="single"/>
          <w:lang w:bidi="ar-SA"/>
        </w:rPr>
        <w:t xml:space="preserve">                    </w:t>
      </w:r>
    </w:p>
    <w:p>
      <w:pPr>
        <w:ind w:firstLine="894" w:firstLineChars="297"/>
        <w:rPr>
          <w:rFonts w:hint="default" w:ascii="Times New Roman" w:hAnsi="Times New Roman" w:cs="Times New Roman"/>
          <w:b/>
          <w:sz w:val="30"/>
          <w:szCs w:val="30"/>
          <w:lang w:bidi="ar-SA"/>
        </w:rPr>
      </w:pPr>
      <w:r>
        <w:rPr>
          <w:rFonts w:hint="default" w:ascii="Times New Roman" w:hAnsi="Times New Roman" w:cs="Times New Roman"/>
          <w:b/>
          <w:sz w:val="30"/>
          <w:szCs w:val="30"/>
          <w:lang w:bidi="ar-SA"/>
        </w:rPr>
        <w:t xml:space="preserve">   申  报  时  间 </w:t>
      </w:r>
      <w:r>
        <w:rPr>
          <w:rFonts w:hint="default" w:ascii="Times New Roman" w:hAnsi="Times New Roman" w:cs="Times New Roman"/>
          <w:b/>
          <w:sz w:val="30"/>
          <w:szCs w:val="30"/>
          <w:u w:val="single"/>
          <w:lang w:bidi="ar-SA"/>
        </w:rPr>
        <w:t xml:space="preserve">                    </w:t>
      </w:r>
    </w:p>
    <w:p>
      <w:pPr>
        <w:ind w:firstLine="1343" w:firstLineChars="446"/>
        <w:rPr>
          <w:rFonts w:hint="default" w:ascii="Times New Roman" w:hAnsi="Times New Roman" w:cs="Times New Roman"/>
          <w:b/>
          <w:sz w:val="30"/>
          <w:szCs w:val="30"/>
          <w:lang w:bidi="ar-SA"/>
        </w:rPr>
      </w:pPr>
      <w:r>
        <w:rPr>
          <w:rFonts w:hint="default" w:ascii="Times New Roman" w:hAnsi="Times New Roman" w:cs="Times New Roman"/>
          <w:b/>
          <w:sz w:val="30"/>
          <w:szCs w:val="30"/>
          <w:lang w:bidi="ar-SA"/>
        </w:rPr>
        <w:t xml:space="preserve">联    系    人 </w:t>
      </w:r>
      <w:r>
        <w:rPr>
          <w:rFonts w:hint="default" w:ascii="Times New Roman" w:hAnsi="Times New Roman" w:cs="Times New Roman"/>
          <w:b/>
          <w:sz w:val="30"/>
          <w:szCs w:val="30"/>
          <w:u w:val="single"/>
          <w:lang w:bidi="ar-SA"/>
        </w:rPr>
        <w:t xml:space="preserve">                    </w:t>
      </w:r>
    </w:p>
    <w:p>
      <w:pPr>
        <w:ind w:firstLine="1343" w:firstLineChars="446"/>
        <w:rPr>
          <w:rFonts w:hint="default" w:ascii="Times New Roman" w:hAnsi="Times New Roman" w:cs="Times New Roman"/>
          <w:b/>
          <w:sz w:val="30"/>
          <w:szCs w:val="30"/>
          <w:lang w:bidi="ar-SA"/>
        </w:rPr>
      </w:pPr>
      <w:r>
        <w:rPr>
          <w:rFonts w:hint="default" w:ascii="Times New Roman" w:hAnsi="Times New Roman" w:cs="Times New Roman"/>
          <w:b/>
          <w:sz w:val="30"/>
          <w:szCs w:val="30"/>
          <w:lang w:bidi="ar-SA"/>
        </w:rPr>
        <w:t xml:space="preserve">联  系  电  话 </w:t>
      </w:r>
      <w:r>
        <w:rPr>
          <w:rFonts w:hint="default" w:ascii="Times New Roman" w:hAnsi="Times New Roman" w:cs="Times New Roman"/>
          <w:b/>
          <w:sz w:val="30"/>
          <w:szCs w:val="30"/>
          <w:u w:val="single"/>
          <w:lang w:bidi="ar-SA"/>
        </w:rPr>
        <w:t xml:space="preserve">                    </w:t>
      </w:r>
    </w:p>
    <w:p>
      <w:pPr>
        <w:rPr>
          <w:rFonts w:hint="default" w:ascii="Times New Roman" w:hAnsi="Times New Roman" w:eastAsia="仿宋_GB2312" w:cs="Times New Roman"/>
          <w:b/>
          <w:sz w:val="44"/>
          <w:lang w:bidi="ar-SA"/>
        </w:rPr>
      </w:pPr>
    </w:p>
    <w:p>
      <w:pPr>
        <w:jc w:val="center"/>
        <w:rPr>
          <w:rFonts w:hint="default" w:ascii="Times New Roman" w:hAnsi="Times New Roman" w:eastAsia="黑体" w:cs="Times New Roman"/>
          <w:sz w:val="28"/>
          <w:szCs w:val="28"/>
          <w:lang w:bidi="ar-SA"/>
        </w:rPr>
      </w:pPr>
    </w:p>
    <w:p>
      <w:pPr>
        <w:jc w:val="center"/>
        <w:rPr>
          <w:rFonts w:hint="default" w:ascii="Times New Roman" w:hAnsi="Times New Roman" w:eastAsia="黑体" w:cs="Times New Roman"/>
          <w:sz w:val="28"/>
          <w:szCs w:val="28"/>
          <w:lang w:bidi="ar-SA"/>
        </w:rPr>
      </w:pPr>
    </w:p>
    <w:p>
      <w:pPr>
        <w:jc w:val="center"/>
        <w:rPr>
          <w:rFonts w:hint="default" w:ascii="Times New Roman" w:hAnsi="Times New Roman" w:cs="Times New Roman"/>
          <w:sz w:val="36"/>
          <w:lang w:bidi="ar-SA"/>
        </w:rPr>
      </w:pPr>
      <w:r>
        <w:rPr>
          <w:rFonts w:hint="eastAsia" w:ascii="Times New Roman" w:hAnsi="Times New Roman" w:eastAsia="黑体" w:cs="Times New Roman"/>
          <w:sz w:val="28"/>
          <w:szCs w:val="28"/>
          <w:lang w:eastAsia="zh-CN" w:bidi="ar-SA"/>
        </w:rPr>
        <w:t>贵州</w:t>
      </w:r>
      <w:r>
        <w:rPr>
          <w:rFonts w:hint="default" w:ascii="Times New Roman" w:hAnsi="Times New Roman" w:eastAsia="黑体" w:cs="Times New Roman"/>
          <w:sz w:val="28"/>
          <w:szCs w:val="28"/>
          <w:lang w:bidi="ar-SA"/>
        </w:rPr>
        <w:t>省林业</w:t>
      </w:r>
      <w:r>
        <w:rPr>
          <w:rFonts w:hint="default" w:ascii="Times New Roman" w:hAnsi="Times New Roman" w:eastAsia="黑体" w:cs="Times New Roman"/>
          <w:sz w:val="28"/>
          <w:szCs w:val="28"/>
          <w:lang w:eastAsia="zh-CN" w:bidi="ar-SA"/>
        </w:rPr>
        <w:t>局</w:t>
      </w:r>
      <w:r>
        <w:rPr>
          <w:rFonts w:hint="default" w:ascii="Times New Roman" w:hAnsi="Times New Roman" w:eastAsia="黑体" w:cs="Times New Roman"/>
          <w:sz w:val="28"/>
          <w:szCs w:val="28"/>
          <w:lang w:bidi="ar-SA"/>
        </w:rPr>
        <w:t>编制</w:t>
      </w:r>
    </w:p>
    <w:p>
      <w:pPr>
        <w:jc w:val="center"/>
        <w:rPr>
          <w:rFonts w:hint="default" w:ascii="Times New Roman" w:hAnsi="Times New Roman" w:eastAsia="仿宋_GB2312" w:cs="Times New Roman"/>
          <w:b/>
          <w:sz w:val="30"/>
          <w:lang w:bidi="ar-SA"/>
        </w:rPr>
      </w:pPr>
    </w:p>
    <w:p>
      <w:pPr>
        <w:jc w:val="center"/>
        <w:rPr>
          <w:rFonts w:hint="default" w:ascii="Times New Roman" w:hAnsi="Times New Roman" w:eastAsia="黑体" w:cs="Times New Roman"/>
          <w:sz w:val="44"/>
          <w:szCs w:val="44"/>
          <w:lang w:bidi="ar-SA"/>
        </w:rPr>
      </w:pPr>
      <w:r>
        <w:rPr>
          <w:rFonts w:hint="eastAsia" w:ascii="仿宋_GB2312" w:hAnsi="仿宋_GB2312" w:eastAsia="仿宋_GB2312" w:cs="仿宋_GB2312"/>
          <w:color w:val="auto"/>
          <w:sz w:val="32"/>
          <w:szCs w:val="32"/>
          <w:lang w:eastAsia="zh-CN"/>
        </w:rPr>
        <w:br w:type="page"/>
      </w:r>
      <w:r>
        <w:rPr>
          <w:rFonts w:hint="eastAsia" w:ascii="Times New Roman" w:hAnsi="Times New Roman" w:eastAsia="黑体" w:cs="Times New Roman"/>
          <w:sz w:val="44"/>
          <w:szCs w:val="44"/>
          <w:lang w:eastAsia="zh-CN" w:bidi="ar-SA"/>
        </w:rPr>
        <w:t>填写</w:t>
      </w:r>
      <w:r>
        <w:rPr>
          <w:rFonts w:hint="default" w:ascii="Times New Roman" w:hAnsi="Times New Roman" w:eastAsia="黑体" w:cs="Times New Roman"/>
          <w:sz w:val="44"/>
          <w:szCs w:val="44"/>
          <w:lang w:bidi="ar-SA"/>
        </w:rPr>
        <w:t>说明</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10" w:firstLineChars="0"/>
        <w:jc w:val="both"/>
        <w:textAlignment w:val="auto"/>
        <w:outlineLvl w:val="9"/>
        <w:rPr>
          <w:rFonts w:hint="default" w:ascii="Times New Roman" w:hAnsi="Times New Roman" w:eastAsia="方正仿宋_GBK" w:cs="Times New Roman"/>
          <w:sz w:val="32"/>
          <w:szCs w:val="32"/>
          <w:lang w:bidi="ar-SA"/>
        </w:rPr>
      </w:pPr>
      <w:r>
        <w:rPr>
          <w:rFonts w:hint="default" w:ascii="Times New Roman" w:hAnsi="Times New Roman" w:eastAsia="方正仿宋_GBK" w:cs="Times New Roman"/>
          <w:sz w:val="32"/>
          <w:szCs w:val="32"/>
          <w:lang w:bidi="ar-SA"/>
        </w:rPr>
        <w:t>一、种质资源库建设单位申请设立</w:t>
      </w:r>
      <w:r>
        <w:rPr>
          <w:rFonts w:hint="eastAsia" w:ascii="Times New Roman" w:hAnsi="Times New Roman" w:eastAsia="方正仿宋_GBK" w:cs="Times New Roman"/>
          <w:sz w:val="32"/>
          <w:szCs w:val="32"/>
          <w:lang w:eastAsia="zh-CN" w:bidi="ar-SA"/>
        </w:rPr>
        <w:t>贵州</w:t>
      </w:r>
      <w:r>
        <w:rPr>
          <w:rFonts w:hint="default" w:ascii="Times New Roman" w:hAnsi="Times New Roman" w:eastAsia="方正仿宋_GBK" w:cs="Times New Roman"/>
          <w:sz w:val="32"/>
          <w:szCs w:val="32"/>
          <w:lang w:bidi="ar-SA"/>
        </w:rPr>
        <w:t>省</w:t>
      </w:r>
      <w:r>
        <w:rPr>
          <w:rFonts w:hint="eastAsia" w:ascii="Times New Roman" w:hAnsi="Times New Roman" w:eastAsia="方正仿宋_GBK" w:cs="Times New Roman"/>
          <w:sz w:val="32"/>
          <w:szCs w:val="32"/>
          <w:lang w:eastAsia="zh-CN" w:bidi="ar-SA"/>
        </w:rPr>
        <w:t>省级林草</w:t>
      </w:r>
      <w:r>
        <w:rPr>
          <w:rFonts w:hint="default" w:ascii="Times New Roman" w:hAnsi="Times New Roman" w:eastAsia="方正仿宋_GBK" w:cs="Times New Roman"/>
          <w:sz w:val="32"/>
          <w:szCs w:val="32"/>
          <w:lang w:bidi="ar-SA"/>
        </w:rPr>
        <w:t>种质资源库，应按照本申报书格式和要求填报，编号不填写。</w:t>
      </w:r>
    </w:p>
    <w:p>
      <w:pPr>
        <w:keepNext w:val="0"/>
        <w:keepLines w:val="0"/>
        <w:pageBreakBefore w:val="0"/>
        <w:widowControl/>
        <w:suppressLineNumbers w:val="0"/>
        <w:kinsoku/>
        <w:wordWrap/>
        <w:overflowPunct/>
        <w:topLinePunct w:val="0"/>
        <w:autoSpaceDE/>
        <w:autoSpaceDN/>
        <w:bidi w:val="0"/>
        <w:adjustRightInd/>
        <w:snapToGrid/>
        <w:spacing w:line="540" w:lineRule="exact"/>
        <w:ind w:left="0" w:leftChars="0" w:firstLine="560" w:firstLineChars="0"/>
        <w:jc w:val="left"/>
        <w:textAlignment w:val="auto"/>
        <w:rPr>
          <w:rFonts w:hint="default" w:ascii="Times New Roman" w:hAnsi="Times New Roman" w:eastAsia="方正仿宋_GBK" w:cs="Times New Roman"/>
          <w:sz w:val="32"/>
          <w:szCs w:val="32"/>
          <w:lang w:bidi="ar-SA"/>
        </w:rPr>
      </w:pPr>
      <w:r>
        <w:rPr>
          <w:rFonts w:hint="default" w:ascii="Times New Roman" w:hAnsi="Times New Roman" w:eastAsia="方正仿宋_GBK" w:cs="Times New Roman"/>
          <w:sz w:val="32"/>
          <w:szCs w:val="32"/>
          <w:lang w:bidi="ar-SA"/>
        </w:rPr>
        <w:t>二、申报单位为拟建省</w:t>
      </w:r>
      <w:r>
        <w:rPr>
          <w:rFonts w:hint="eastAsia" w:ascii="Times New Roman" w:hAnsi="Times New Roman" w:eastAsia="方正仿宋_GBK" w:cs="Times New Roman"/>
          <w:sz w:val="32"/>
          <w:szCs w:val="32"/>
          <w:lang w:eastAsia="zh-CN" w:bidi="ar-SA"/>
        </w:rPr>
        <w:t>级林草</w:t>
      </w:r>
      <w:r>
        <w:rPr>
          <w:rFonts w:hint="default" w:ascii="Times New Roman" w:hAnsi="Times New Roman" w:eastAsia="方正仿宋_GBK" w:cs="Times New Roman"/>
          <w:sz w:val="32"/>
          <w:szCs w:val="32"/>
          <w:lang w:bidi="ar-SA"/>
        </w:rPr>
        <w:t>种质资源库的具体实施单位</w:t>
      </w:r>
      <w:r>
        <w:rPr>
          <w:rFonts w:hint="eastAsia" w:ascii="Times New Roman" w:hAnsi="Times New Roman" w:eastAsia="方正仿宋_GBK" w:cs="Times New Roman"/>
          <w:sz w:val="32"/>
          <w:szCs w:val="32"/>
          <w:lang w:eastAsia="zh-CN" w:bidi="ar-SA"/>
        </w:rPr>
        <w:t>；</w:t>
      </w:r>
      <w:r>
        <w:rPr>
          <w:rFonts w:ascii="仿宋_GB2312" w:hAnsi="宋体" w:eastAsia="仿宋_GB2312" w:cs="仿宋_GB2312"/>
          <w:color w:val="000000"/>
          <w:kern w:val="0"/>
          <w:sz w:val="31"/>
          <w:szCs w:val="31"/>
          <w:lang w:val="en-US" w:eastAsia="zh-CN" w:bidi="ar"/>
        </w:rPr>
        <w:t>两个主体联合申报的，</w:t>
      </w:r>
      <w:r>
        <w:rPr>
          <w:rFonts w:hint="eastAsia" w:ascii="仿宋_GB2312" w:hAnsi="宋体" w:eastAsia="仿宋_GB2312" w:cs="仿宋_GB2312"/>
          <w:color w:val="000000"/>
          <w:kern w:val="0"/>
          <w:sz w:val="31"/>
          <w:szCs w:val="31"/>
          <w:lang w:val="en-US" w:eastAsia="zh-CN" w:bidi="ar"/>
        </w:rPr>
        <w:t>一并填写</w:t>
      </w:r>
      <w:r>
        <w:rPr>
          <w:rFonts w:hint="default" w:ascii="Times New Roman" w:hAnsi="Times New Roman" w:eastAsia="方正仿宋_GBK" w:cs="Times New Roman"/>
          <w:sz w:val="32"/>
          <w:szCs w:val="32"/>
          <w:lang w:bidi="ar-SA"/>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10" w:firstLineChars="0"/>
        <w:jc w:val="both"/>
        <w:textAlignment w:val="auto"/>
        <w:outlineLvl w:val="9"/>
        <w:rPr>
          <w:rFonts w:hint="default" w:ascii="Times New Roman" w:hAnsi="Times New Roman" w:eastAsia="方正仿宋_GBK" w:cs="Times New Roman"/>
          <w:sz w:val="32"/>
          <w:szCs w:val="32"/>
          <w:lang w:bidi="ar-SA"/>
        </w:rPr>
      </w:pPr>
      <w:r>
        <w:rPr>
          <w:rFonts w:hint="default" w:ascii="Times New Roman" w:hAnsi="Times New Roman" w:eastAsia="方正仿宋_GBK" w:cs="Times New Roman"/>
          <w:sz w:val="32"/>
          <w:szCs w:val="32"/>
          <w:lang w:bidi="ar-SA"/>
        </w:rPr>
        <w:t>三、“地理位置”指种质资源库所在的行政区划</w:t>
      </w:r>
      <w:r>
        <w:rPr>
          <w:rFonts w:hint="eastAsia" w:ascii="Times New Roman" w:hAnsi="Times New Roman" w:eastAsia="方正仿宋_GBK" w:cs="Times New Roman"/>
          <w:sz w:val="32"/>
          <w:szCs w:val="32"/>
          <w:lang w:eastAsia="zh-CN" w:bidi="ar-SA"/>
        </w:rPr>
        <w:t>单位，具体到村组或工区</w:t>
      </w:r>
      <w:r>
        <w:rPr>
          <w:rFonts w:hint="default" w:ascii="Times New Roman" w:hAnsi="Times New Roman" w:eastAsia="方正仿宋_GBK" w:cs="Times New Roman"/>
          <w:sz w:val="32"/>
          <w:szCs w:val="32"/>
          <w:lang w:bidi="ar-SA"/>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10" w:firstLineChars="0"/>
        <w:jc w:val="both"/>
        <w:textAlignment w:val="auto"/>
        <w:outlineLvl w:val="9"/>
        <w:rPr>
          <w:rFonts w:hint="default" w:ascii="Times New Roman" w:hAnsi="Times New Roman" w:eastAsia="方正仿宋_GBK" w:cs="Times New Roman"/>
          <w:sz w:val="32"/>
          <w:szCs w:val="32"/>
          <w:lang w:bidi="ar-SA"/>
        </w:rPr>
      </w:pPr>
      <w:r>
        <w:rPr>
          <w:rFonts w:hint="default" w:ascii="Times New Roman" w:hAnsi="Times New Roman" w:eastAsia="方正仿宋_GBK" w:cs="Times New Roman"/>
          <w:sz w:val="32"/>
          <w:szCs w:val="32"/>
          <w:lang w:bidi="ar-SA"/>
        </w:rPr>
        <w:t>四、“地理坐标”指种质资源库所跨的经纬度范围。</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10" w:firstLineChars="0"/>
        <w:jc w:val="both"/>
        <w:textAlignment w:val="auto"/>
        <w:outlineLvl w:val="9"/>
        <w:rPr>
          <w:rFonts w:hint="default" w:ascii="Times New Roman" w:hAnsi="Times New Roman" w:eastAsia="方正仿宋_GBK" w:cs="Times New Roman"/>
          <w:sz w:val="32"/>
          <w:szCs w:val="32"/>
          <w:lang w:bidi="ar-SA"/>
        </w:rPr>
      </w:pPr>
      <w:r>
        <w:rPr>
          <w:rFonts w:hint="default" w:ascii="Times New Roman" w:hAnsi="Times New Roman" w:eastAsia="方正仿宋_GBK" w:cs="Times New Roman"/>
          <w:sz w:val="32"/>
          <w:szCs w:val="32"/>
          <w:lang w:bidi="ar-SA"/>
        </w:rPr>
        <w:t>五、“自养能力情况”主要包括自养手段，每年纯收入及其占总支出的比例等内容。</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10" w:firstLineChars="0"/>
        <w:jc w:val="both"/>
        <w:textAlignment w:val="auto"/>
        <w:outlineLvl w:val="9"/>
        <w:rPr>
          <w:rFonts w:hint="default" w:ascii="Times New Roman" w:hAnsi="Times New Roman" w:eastAsia="方正仿宋_GBK" w:cs="Times New Roman"/>
          <w:sz w:val="32"/>
          <w:szCs w:val="32"/>
          <w:lang w:bidi="ar-SA"/>
        </w:rPr>
      </w:pPr>
      <w:r>
        <w:rPr>
          <w:rFonts w:hint="default" w:ascii="Times New Roman" w:hAnsi="Times New Roman" w:eastAsia="方正仿宋_GBK" w:cs="Times New Roman"/>
          <w:sz w:val="32"/>
          <w:szCs w:val="32"/>
          <w:lang w:bidi="ar-SA"/>
        </w:rPr>
        <w:t>六、“基础设施概况”主要包括现有业务用房、辅助用房、生活用房、交通工具、通讯手段、重要仪器设备的情况。</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10" w:firstLineChars="0"/>
        <w:jc w:val="both"/>
        <w:textAlignment w:val="auto"/>
        <w:outlineLvl w:val="9"/>
        <w:rPr>
          <w:rFonts w:hint="default" w:ascii="Times New Roman" w:hAnsi="Times New Roman" w:eastAsia="方正仿宋_GBK" w:cs="Times New Roman"/>
          <w:sz w:val="32"/>
          <w:szCs w:val="32"/>
          <w:lang w:bidi="ar-SA"/>
        </w:rPr>
      </w:pPr>
      <w:r>
        <w:rPr>
          <w:rFonts w:hint="default" w:ascii="Times New Roman" w:hAnsi="Times New Roman" w:eastAsia="方正仿宋_GBK" w:cs="Times New Roman"/>
          <w:sz w:val="32"/>
          <w:szCs w:val="32"/>
          <w:lang w:bidi="ar-SA"/>
        </w:rPr>
        <w:t>七、“研究概况”主要包括</w:t>
      </w:r>
      <w:r>
        <w:rPr>
          <w:rFonts w:hint="eastAsia" w:ascii="Times New Roman" w:hAnsi="Times New Roman" w:eastAsia="方正仿宋_GBK" w:cs="Times New Roman"/>
          <w:sz w:val="32"/>
          <w:szCs w:val="32"/>
          <w:lang w:eastAsia="zh-CN" w:bidi="ar-SA"/>
        </w:rPr>
        <w:t>独立或合作，且已</w:t>
      </w:r>
      <w:r>
        <w:rPr>
          <w:rFonts w:hint="default" w:ascii="Times New Roman" w:hAnsi="Times New Roman" w:eastAsia="方正仿宋_GBK" w:cs="Times New Roman"/>
          <w:sz w:val="32"/>
          <w:szCs w:val="32"/>
          <w:lang w:bidi="ar-SA"/>
        </w:rPr>
        <w:t>完成的科研项目名称及成果、正在进行的科研项目名称、科研计划及国际合作交流计划等内容。</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10" w:firstLineChars="0"/>
        <w:jc w:val="both"/>
        <w:textAlignment w:val="auto"/>
        <w:outlineLvl w:val="9"/>
        <w:rPr>
          <w:rFonts w:hint="default" w:ascii="Times New Roman" w:hAnsi="Times New Roman" w:eastAsia="方正仿宋_GBK" w:cs="Times New Roman"/>
          <w:sz w:val="32"/>
          <w:szCs w:val="32"/>
          <w:lang w:bidi="ar-SA"/>
        </w:rPr>
      </w:pPr>
      <w:r>
        <w:rPr>
          <w:rFonts w:hint="default" w:ascii="Times New Roman" w:hAnsi="Times New Roman" w:eastAsia="方正仿宋_GBK" w:cs="Times New Roman"/>
          <w:sz w:val="32"/>
          <w:szCs w:val="32"/>
          <w:lang w:bidi="ar-SA"/>
        </w:rPr>
        <w:t>八、“自然环境状况”主要包括自然条件和自然资源概况、现存和潜在的环境问题等内容。</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10" w:firstLineChars="0"/>
        <w:jc w:val="both"/>
        <w:textAlignment w:val="auto"/>
        <w:outlineLvl w:val="9"/>
        <w:rPr>
          <w:rFonts w:hint="default" w:ascii="Times New Roman" w:hAnsi="Times New Roman" w:eastAsia="方正仿宋_GBK" w:cs="Times New Roman"/>
          <w:sz w:val="32"/>
          <w:szCs w:val="32"/>
          <w:lang w:bidi="ar-SA"/>
        </w:rPr>
      </w:pPr>
      <w:r>
        <w:rPr>
          <w:rFonts w:hint="default" w:ascii="Times New Roman" w:hAnsi="Times New Roman" w:eastAsia="方正仿宋_GBK" w:cs="Times New Roman"/>
          <w:sz w:val="32"/>
          <w:szCs w:val="32"/>
          <w:lang w:bidi="ar-SA"/>
        </w:rPr>
        <w:t>九、“周围地区社会经济状况”主要指社会、经济活动对保护对象可能造成的影响及其预防措施。</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10" w:firstLineChars="0"/>
        <w:jc w:val="both"/>
        <w:textAlignment w:val="auto"/>
        <w:outlineLvl w:val="9"/>
        <w:rPr>
          <w:rFonts w:hint="default" w:ascii="Times New Roman" w:hAnsi="Times New Roman" w:eastAsia="方正仿宋_GBK" w:cs="Times New Roman"/>
          <w:sz w:val="32"/>
          <w:szCs w:val="32"/>
          <w:lang w:bidi="ar-SA"/>
        </w:rPr>
      </w:pPr>
      <w:r>
        <w:rPr>
          <w:rFonts w:hint="default" w:ascii="Times New Roman" w:hAnsi="Times New Roman" w:eastAsia="方正仿宋_GBK" w:cs="Times New Roman"/>
          <w:sz w:val="32"/>
          <w:szCs w:val="32"/>
          <w:lang w:bidi="ar-SA"/>
        </w:rPr>
        <w:t>十、按申报书格式填写，位置不够可适当加页，但不得改变格式和内容。</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10" w:firstLineChars="0"/>
        <w:jc w:val="both"/>
        <w:textAlignment w:val="auto"/>
        <w:outlineLvl w:val="9"/>
      </w:pPr>
      <w:r>
        <w:rPr>
          <w:rFonts w:hint="default" w:ascii="Times New Roman" w:hAnsi="Times New Roman" w:eastAsia="方正仿宋_GBK" w:cs="Times New Roman"/>
          <w:sz w:val="32"/>
          <w:szCs w:val="32"/>
          <w:lang w:bidi="ar-SA"/>
        </w:rPr>
        <w:t>十一、</w:t>
      </w:r>
      <w:r>
        <w:rPr>
          <w:rFonts w:ascii="仿宋_GB2312" w:hAnsi="宋体" w:eastAsia="仿宋_GB2312" w:cs="仿宋_GB2312"/>
          <w:color w:val="000000"/>
          <w:kern w:val="0"/>
          <w:sz w:val="31"/>
          <w:szCs w:val="31"/>
          <w:lang w:val="en-US" w:eastAsia="zh-CN" w:bidi="ar"/>
        </w:rPr>
        <w:t>“所在地县级（市级）林业主管部门意见”主要对申请单</w:t>
      </w:r>
      <w:r>
        <w:rPr>
          <w:rFonts w:hint="eastAsia" w:ascii="仿宋_GB2312" w:hAnsi="宋体" w:eastAsia="仿宋_GB2312" w:cs="仿宋_GB2312"/>
          <w:color w:val="000000"/>
          <w:kern w:val="0"/>
          <w:sz w:val="31"/>
          <w:szCs w:val="31"/>
          <w:lang w:val="en-US" w:eastAsia="zh-CN" w:bidi="ar"/>
        </w:rPr>
        <w:t>位运行情况、申报材料及种质资源保有真实性等情况出具意见。</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10" w:firstLineChars="0"/>
        <w:jc w:val="both"/>
        <w:textAlignment w:val="auto"/>
        <w:outlineLvl w:val="9"/>
        <w:rPr>
          <w:rFonts w:hint="default" w:ascii="Times New Roman" w:hAnsi="Times New Roman" w:eastAsia="方正仿宋简体" w:cs="Times New Roman"/>
          <w:sz w:val="32"/>
          <w:szCs w:val="32"/>
          <w:lang w:bidi="ar-SA"/>
        </w:rPr>
      </w:pPr>
      <w:r>
        <w:rPr>
          <w:rFonts w:hint="default" w:ascii="Times New Roman" w:hAnsi="Times New Roman" w:eastAsia="方正仿宋_GBK" w:cs="Times New Roman"/>
          <w:sz w:val="32"/>
          <w:szCs w:val="32"/>
          <w:lang w:bidi="ar-SA"/>
        </w:rPr>
        <w:t>十二、</w:t>
      </w:r>
      <w:r>
        <w:rPr>
          <w:rFonts w:hint="eastAsia" w:ascii="Times New Roman" w:hAnsi="Times New Roman" w:eastAsia="方正仿宋_GBK" w:cs="Times New Roman"/>
          <w:sz w:val="32"/>
          <w:szCs w:val="32"/>
          <w:lang w:eastAsia="zh-CN" w:bidi="ar-SA"/>
        </w:rPr>
        <w:t>填报过程中，如有任何问题请及时与</w:t>
      </w:r>
      <w:r>
        <w:rPr>
          <w:rFonts w:hint="default" w:ascii="Times New Roman" w:hAnsi="Times New Roman" w:eastAsia="方正仿宋_GBK" w:cs="Times New Roman"/>
          <w:sz w:val="32"/>
          <w:szCs w:val="32"/>
          <w:lang w:bidi="ar-SA"/>
        </w:rPr>
        <w:t>省林业</w:t>
      </w:r>
      <w:r>
        <w:rPr>
          <w:rFonts w:hint="default" w:ascii="Times New Roman" w:hAnsi="Times New Roman" w:eastAsia="方正仿宋_GBK" w:cs="Times New Roman"/>
          <w:sz w:val="32"/>
          <w:szCs w:val="32"/>
          <w:lang w:eastAsia="zh-CN" w:bidi="ar-SA"/>
        </w:rPr>
        <w:t>局</w:t>
      </w:r>
      <w:r>
        <w:rPr>
          <w:rFonts w:hint="eastAsia" w:ascii="Times New Roman" w:hAnsi="Times New Roman" w:eastAsia="方正仿宋_GBK" w:cs="Times New Roman"/>
          <w:sz w:val="32"/>
          <w:szCs w:val="32"/>
          <w:lang w:eastAsia="zh-CN" w:bidi="ar-SA"/>
        </w:rPr>
        <w:t>种苗管理部门联系</w:t>
      </w:r>
      <w:r>
        <w:rPr>
          <w:rFonts w:hint="default" w:ascii="Times New Roman" w:hAnsi="Times New Roman" w:eastAsia="方正仿宋_GBK" w:cs="Times New Roman"/>
          <w:sz w:val="32"/>
          <w:szCs w:val="32"/>
          <w:lang w:bidi="ar-SA"/>
        </w:rPr>
        <w:t>。</w:t>
      </w:r>
    </w:p>
    <w:p>
      <w:pPr>
        <w:spacing w:after="156" w:afterLines="50"/>
        <w:jc w:val="both"/>
        <w:rPr>
          <w:rFonts w:hint="eastAsia" w:ascii="黑体" w:hAnsi="黑体" w:eastAsia="黑体" w:cs="黑体"/>
          <w:b w:val="0"/>
          <w:bCs w:val="0"/>
          <w:sz w:val="32"/>
          <w:szCs w:val="32"/>
          <w:lang w:eastAsia="zh-CN"/>
        </w:rPr>
      </w:pPr>
      <w:r>
        <w:rPr>
          <w:rFonts w:hint="eastAsia" w:ascii="仿宋_GB2312" w:hAnsi="仿宋_GB2312" w:eastAsia="仿宋_GB2312" w:cs="仿宋_GB2312"/>
          <w:color w:val="auto"/>
          <w:sz w:val="32"/>
          <w:szCs w:val="32"/>
          <w:lang w:eastAsia="zh-CN"/>
        </w:rPr>
        <w:br w:type="page"/>
      </w:r>
    </w:p>
    <w:p>
      <w:pPr>
        <w:keepNext w:val="0"/>
        <w:keepLines w:val="0"/>
        <w:pageBreakBefore w:val="0"/>
        <w:widowControl w:val="0"/>
        <w:kinsoku/>
        <w:wordWrap/>
        <w:overflowPunct/>
        <w:topLinePunct w:val="0"/>
        <w:autoSpaceDE/>
        <w:autoSpaceDN/>
        <w:bidi w:val="0"/>
        <w:adjustRightInd/>
        <w:snapToGrid/>
        <w:spacing w:after="156" w:afterLines="50" w:line="720" w:lineRule="exact"/>
        <w:jc w:val="center"/>
        <w:textAlignment w:val="auto"/>
        <w:rPr>
          <w:rFonts w:hint="eastAsia" w:ascii="方正小标宋简体" w:hAnsi="仿宋_GB2312" w:eastAsia="方正小标宋简体" w:cs="仿宋_GB2312"/>
          <w:sz w:val="44"/>
          <w:szCs w:val="44"/>
        </w:rPr>
      </w:pPr>
      <w:r>
        <w:rPr>
          <w:rFonts w:hint="eastAsia" w:ascii="方正小标宋简体" w:hAnsi="宋体" w:eastAsia="方正小标宋简体" w:cs="仿宋_GB2312"/>
          <w:sz w:val="44"/>
          <w:szCs w:val="44"/>
          <w:lang w:eastAsia="zh-CN"/>
        </w:rPr>
        <w:t>贵州</w:t>
      </w:r>
      <w:r>
        <w:rPr>
          <w:rFonts w:hint="eastAsia" w:ascii="方正小标宋简体" w:hAnsi="宋体" w:eastAsia="方正小标宋简体" w:cs="仿宋_GB2312"/>
          <w:sz w:val="44"/>
          <w:szCs w:val="44"/>
        </w:rPr>
        <w:t>省</w:t>
      </w:r>
      <w:r>
        <w:rPr>
          <w:rFonts w:hint="eastAsia" w:ascii="方正小标宋简体" w:hAnsi="宋体" w:eastAsia="方正小标宋简体" w:cs="仿宋_GB2312"/>
          <w:sz w:val="44"/>
          <w:szCs w:val="44"/>
          <w:lang w:eastAsia="zh-CN"/>
        </w:rPr>
        <w:t>林草</w:t>
      </w:r>
      <w:r>
        <w:rPr>
          <w:rFonts w:hint="eastAsia" w:ascii="方正小标宋简体" w:hAnsi="宋体" w:eastAsia="方正小标宋简体" w:cs="仿宋_GB2312"/>
          <w:sz w:val="44"/>
          <w:szCs w:val="44"/>
        </w:rPr>
        <w:t>种质资源库</w:t>
      </w:r>
      <w:r>
        <w:rPr>
          <w:rFonts w:hint="eastAsia" w:ascii="方正小标宋简体" w:hAnsi="宋体" w:eastAsia="方正小标宋简体" w:cs="仿宋_GB2312"/>
          <w:sz w:val="44"/>
          <w:szCs w:val="44"/>
          <w:lang w:eastAsia="zh-CN"/>
        </w:rPr>
        <w:t>推荐表</w:t>
      </w:r>
    </w:p>
    <w:tbl>
      <w:tblPr>
        <w:tblStyle w:val="9"/>
        <w:tblW w:w="89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2309"/>
        <w:gridCol w:w="1257"/>
        <w:gridCol w:w="809"/>
        <w:gridCol w:w="1223"/>
        <w:gridCol w:w="625"/>
        <w:gridCol w:w="2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80" w:hRule="exact"/>
        </w:trPr>
        <w:tc>
          <w:tcPr>
            <w:tcW w:w="230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before="0" w:beforeLines="0" w:after="0" w:afterLines="0" w:line="300" w:lineRule="exact"/>
              <w:ind w:left="0" w:leftChars="0" w:right="0" w:rightChars="0" w:firstLine="0" w:firstLineChars="0"/>
              <w:jc w:val="center"/>
              <w:textAlignment w:val="auto"/>
              <w:outlineLvl w:val="9"/>
              <w:rPr>
                <w:rFonts w:hint="eastAsia" w:ascii="黑体" w:hAnsi="黑体" w:eastAsia="黑体" w:cs="黑体"/>
                <w:sz w:val="24"/>
                <w:lang w:eastAsia="zh-CN"/>
              </w:rPr>
            </w:pPr>
            <w:r>
              <w:rPr>
                <w:rFonts w:hint="eastAsia" w:ascii="黑体" w:hAnsi="黑体" w:eastAsia="黑体" w:cs="黑体"/>
                <w:sz w:val="24"/>
                <w:lang w:eastAsia="zh-CN"/>
              </w:rPr>
              <w:t>种质资源库</w:t>
            </w:r>
          </w:p>
          <w:p>
            <w:pPr>
              <w:keepNext w:val="0"/>
              <w:keepLines w:val="0"/>
              <w:pageBreakBefore w:val="0"/>
              <w:widowControl w:val="0"/>
              <w:kinsoku/>
              <w:wordWrap/>
              <w:overflowPunct/>
              <w:topLinePunct w:val="0"/>
              <w:autoSpaceDE/>
              <w:autoSpaceDN/>
              <w:bidi w:val="0"/>
              <w:adjustRightInd/>
              <w:snapToGrid/>
              <w:spacing w:before="0" w:beforeLines="0" w:after="0" w:afterLines="0" w:line="300" w:lineRule="exact"/>
              <w:ind w:left="0" w:leftChars="0" w:right="0" w:rightChars="0" w:firstLine="0" w:firstLineChars="0"/>
              <w:jc w:val="center"/>
              <w:textAlignment w:val="auto"/>
              <w:outlineLvl w:val="9"/>
              <w:rPr>
                <w:rFonts w:hint="eastAsia" w:ascii="黑体" w:hAnsi="黑体" w:eastAsia="黑体" w:cs="黑体"/>
                <w:sz w:val="24"/>
                <w:lang w:eastAsia="zh-CN"/>
              </w:rPr>
            </w:pPr>
            <w:r>
              <w:rPr>
                <w:rFonts w:hint="eastAsia" w:ascii="黑体" w:hAnsi="黑体" w:eastAsia="黑体" w:cs="黑体"/>
                <w:sz w:val="24"/>
                <w:lang w:eastAsia="zh-CN"/>
              </w:rPr>
              <w:t>申报单位全称</w:t>
            </w:r>
          </w:p>
        </w:tc>
        <w:tc>
          <w:tcPr>
            <w:tcW w:w="6649" w:type="dxa"/>
            <w:gridSpan w:val="5"/>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80" w:hRule="exact"/>
        </w:trPr>
        <w:tc>
          <w:tcPr>
            <w:tcW w:w="2309"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黑体" w:hAnsi="黑体" w:eastAsia="黑体" w:cs="黑体"/>
                <w:sz w:val="24"/>
                <w:lang w:eastAsia="zh-CN"/>
              </w:rPr>
            </w:pPr>
            <w:r>
              <w:rPr>
                <w:rFonts w:hint="eastAsia" w:ascii="黑体" w:hAnsi="黑体" w:eastAsia="黑体" w:cs="黑体"/>
                <w:sz w:val="24"/>
                <w:lang w:eastAsia="zh-CN"/>
              </w:rPr>
              <w:t>联系人</w:t>
            </w:r>
          </w:p>
        </w:tc>
        <w:tc>
          <w:tcPr>
            <w:tcW w:w="2066" w:type="dxa"/>
            <w:gridSpan w:val="2"/>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sz w:val="24"/>
              </w:rPr>
            </w:pPr>
          </w:p>
        </w:tc>
        <w:tc>
          <w:tcPr>
            <w:tcW w:w="1223"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sz w:val="24"/>
                <w:lang w:eastAsia="zh-CN"/>
              </w:rPr>
            </w:pPr>
            <w:r>
              <w:rPr>
                <w:rFonts w:hint="eastAsia" w:ascii="黑体" w:hAnsi="黑体" w:eastAsia="黑体" w:cs="黑体"/>
                <w:sz w:val="24"/>
                <w:lang w:eastAsia="zh-CN"/>
              </w:rPr>
              <w:t>电话</w:t>
            </w:r>
          </w:p>
        </w:tc>
        <w:tc>
          <w:tcPr>
            <w:tcW w:w="3360" w:type="dxa"/>
            <w:gridSpan w:val="2"/>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80" w:hRule="exact"/>
        </w:trPr>
        <w:tc>
          <w:tcPr>
            <w:tcW w:w="230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before="0" w:beforeLines="0" w:after="0" w:afterLines="0" w:line="300" w:lineRule="exact"/>
              <w:ind w:left="0" w:leftChars="0" w:right="0" w:rightChars="0" w:firstLine="0" w:firstLineChars="0"/>
              <w:jc w:val="center"/>
              <w:textAlignment w:val="auto"/>
              <w:outlineLvl w:val="9"/>
              <w:rPr>
                <w:rFonts w:hint="eastAsia" w:ascii="黑体" w:hAnsi="黑体" w:eastAsia="黑体" w:cs="黑体"/>
                <w:sz w:val="24"/>
              </w:rPr>
            </w:pPr>
            <w:r>
              <w:rPr>
                <w:rFonts w:hint="eastAsia" w:ascii="黑体" w:hAnsi="黑体" w:eastAsia="黑体" w:cs="黑体"/>
                <w:sz w:val="24"/>
              </w:rPr>
              <w:t>主要保存对象</w:t>
            </w:r>
          </w:p>
          <w:p>
            <w:pPr>
              <w:keepNext w:val="0"/>
              <w:keepLines w:val="0"/>
              <w:pageBreakBefore w:val="0"/>
              <w:widowControl w:val="0"/>
              <w:kinsoku/>
              <w:wordWrap/>
              <w:overflowPunct/>
              <w:topLinePunct w:val="0"/>
              <w:autoSpaceDE/>
              <w:autoSpaceDN/>
              <w:bidi w:val="0"/>
              <w:adjustRightInd/>
              <w:snapToGrid/>
              <w:spacing w:before="0" w:beforeLines="0" w:after="0" w:afterLines="0" w:line="300" w:lineRule="exact"/>
              <w:ind w:left="0" w:leftChars="0" w:right="0" w:rightChars="0" w:firstLine="0" w:firstLineChars="0"/>
              <w:jc w:val="center"/>
              <w:textAlignment w:val="auto"/>
              <w:outlineLvl w:val="9"/>
              <w:rPr>
                <w:rFonts w:hint="eastAsia" w:ascii="黑体" w:hAnsi="黑体" w:eastAsia="黑体" w:cs="黑体"/>
                <w:sz w:val="24"/>
              </w:rPr>
            </w:pPr>
            <w:r>
              <w:rPr>
                <w:rFonts w:hint="eastAsia" w:ascii="黑体" w:hAnsi="黑体" w:eastAsia="黑体" w:cs="黑体"/>
                <w:sz w:val="24"/>
                <w:lang w:eastAsia="zh-CN"/>
              </w:rPr>
              <w:t>（注明拉丁学名）</w:t>
            </w:r>
          </w:p>
        </w:tc>
        <w:tc>
          <w:tcPr>
            <w:tcW w:w="6649" w:type="dxa"/>
            <w:gridSpan w:val="5"/>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80" w:hRule="exact"/>
        </w:trPr>
        <w:tc>
          <w:tcPr>
            <w:tcW w:w="2309"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黑体" w:hAnsi="黑体" w:eastAsia="黑体" w:cs="黑体"/>
                <w:sz w:val="24"/>
              </w:rPr>
            </w:pPr>
            <w:r>
              <w:rPr>
                <w:rFonts w:hint="eastAsia" w:ascii="黑体" w:hAnsi="黑体" w:eastAsia="黑体" w:cs="黑体"/>
                <w:sz w:val="24"/>
              </w:rPr>
              <w:t>地理位置</w:t>
            </w:r>
          </w:p>
        </w:tc>
        <w:tc>
          <w:tcPr>
            <w:tcW w:w="6649" w:type="dxa"/>
            <w:gridSpan w:val="5"/>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80" w:hRule="exact"/>
        </w:trPr>
        <w:tc>
          <w:tcPr>
            <w:tcW w:w="2309"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黑体" w:hAnsi="黑体" w:eastAsia="黑体" w:cs="黑体"/>
                <w:sz w:val="24"/>
              </w:rPr>
            </w:pPr>
            <w:r>
              <w:rPr>
                <w:rFonts w:hint="eastAsia" w:ascii="黑体" w:hAnsi="黑体" w:eastAsia="黑体" w:cs="黑体"/>
                <w:sz w:val="24"/>
                <w:lang w:eastAsia="zh-CN"/>
              </w:rPr>
              <w:t>总面积</w:t>
            </w:r>
            <w:r>
              <w:rPr>
                <w:rFonts w:hint="eastAsia" w:ascii="黑体" w:hAnsi="黑体" w:eastAsia="黑体" w:cs="黑体"/>
                <w:sz w:val="24"/>
              </w:rPr>
              <w:t>（</w:t>
            </w:r>
            <w:r>
              <w:rPr>
                <w:rFonts w:hint="eastAsia" w:ascii="黑体" w:hAnsi="黑体" w:eastAsia="黑体" w:cs="黑体"/>
                <w:sz w:val="24"/>
                <w:lang w:eastAsia="zh-CN"/>
              </w:rPr>
              <w:t>亩</w:t>
            </w:r>
            <w:r>
              <w:rPr>
                <w:rFonts w:hint="eastAsia" w:ascii="黑体" w:hAnsi="黑体" w:eastAsia="黑体" w:cs="黑体"/>
                <w:sz w:val="24"/>
              </w:rPr>
              <w:t>）</w:t>
            </w:r>
          </w:p>
        </w:tc>
        <w:tc>
          <w:tcPr>
            <w:tcW w:w="6649" w:type="dxa"/>
            <w:gridSpan w:val="5"/>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80" w:hRule="exact"/>
        </w:trPr>
        <w:tc>
          <w:tcPr>
            <w:tcW w:w="2309"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黑体" w:hAnsi="黑体" w:eastAsia="黑体" w:cs="黑体"/>
                <w:sz w:val="24"/>
              </w:rPr>
            </w:pPr>
            <w:r>
              <w:rPr>
                <w:rFonts w:hint="eastAsia" w:ascii="黑体" w:hAnsi="黑体" w:eastAsia="黑体" w:cs="黑体"/>
                <w:sz w:val="24"/>
              </w:rPr>
              <w:t>主管部门</w:t>
            </w:r>
          </w:p>
        </w:tc>
        <w:tc>
          <w:tcPr>
            <w:tcW w:w="6649" w:type="dxa"/>
            <w:gridSpan w:val="5"/>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80" w:hRule="exact"/>
        </w:trPr>
        <w:tc>
          <w:tcPr>
            <w:tcW w:w="230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before="0" w:beforeLines="0" w:after="0" w:afterLines="0" w:line="300" w:lineRule="exact"/>
              <w:ind w:left="0" w:leftChars="0" w:right="0" w:rightChars="0" w:firstLine="0" w:firstLineChars="0"/>
              <w:jc w:val="center"/>
              <w:textAlignment w:val="auto"/>
              <w:outlineLvl w:val="9"/>
              <w:rPr>
                <w:rFonts w:hint="eastAsia" w:ascii="黑体" w:hAnsi="黑体" w:eastAsia="黑体" w:cs="黑体"/>
                <w:sz w:val="24"/>
              </w:rPr>
            </w:pPr>
            <w:r>
              <w:rPr>
                <w:rFonts w:hint="eastAsia" w:ascii="黑体" w:hAnsi="黑体" w:eastAsia="黑体" w:cs="黑体"/>
                <w:sz w:val="24"/>
              </w:rPr>
              <w:t>技术依托单位和</w:t>
            </w:r>
          </w:p>
          <w:p>
            <w:pPr>
              <w:keepNext w:val="0"/>
              <w:keepLines w:val="0"/>
              <w:pageBreakBefore w:val="0"/>
              <w:widowControl w:val="0"/>
              <w:kinsoku/>
              <w:wordWrap/>
              <w:overflowPunct/>
              <w:topLinePunct w:val="0"/>
              <w:autoSpaceDE/>
              <w:autoSpaceDN/>
              <w:bidi w:val="0"/>
              <w:adjustRightInd/>
              <w:snapToGrid/>
              <w:spacing w:before="0" w:beforeLines="0" w:after="0" w:afterLines="0" w:line="300" w:lineRule="exact"/>
              <w:ind w:left="0" w:leftChars="0" w:right="0" w:rightChars="0" w:firstLine="0" w:firstLineChars="0"/>
              <w:jc w:val="center"/>
              <w:textAlignment w:val="auto"/>
              <w:outlineLvl w:val="9"/>
              <w:rPr>
                <w:rFonts w:hint="eastAsia" w:ascii="黑体" w:hAnsi="黑体" w:eastAsia="黑体" w:cs="黑体"/>
                <w:sz w:val="24"/>
              </w:rPr>
            </w:pPr>
            <w:r>
              <w:rPr>
                <w:rFonts w:hint="eastAsia" w:ascii="黑体" w:hAnsi="黑体" w:eastAsia="黑体" w:cs="黑体"/>
                <w:sz w:val="24"/>
              </w:rPr>
              <w:t>科技支撑专家</w:t>
            </w:r>
          </w:p>
        </w:tc>
        <w:tc>
          <w:tcPr>
            <w:tcW w:w="6649" w:type="dxa"/>
            <w:gridSpan w:val="5"/>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80" w:hRule="exact"/>
        </w:trPr>
        <w:tc>
          <w:tcPr>
            <w:tcW w:w="2309" w:type="dxa"/>
            <w:vMerge w:val="restart"/>
            <w:tcBorders>
              <w:top w:val="single" w:color="auto" w:sz="4" w:space="0"/>
              <w:left w:val="single" w:color="auto" w:sz="4" w:space="0"/>
              <w:right w:val="single" w:color="auto" w:sz="4" w:space="0"/>
            </w:tcBorders>
            <w:noWrap w:val="0"/>
            <w:vAlign w:val="center"/>
          </w:tcPr>
          <w:p>
            <w:pPr>
              <w:spacing w:line="400" w:lineRule="exact"/>
              <w:jc w:val="center"/>
              <w:rPr>
                <w:rFonts w:hint="eastAsia" w:ascii="黑体" w:hAnsi="黑体" w:eastAsia="黑体" w:cs="黑体"/>
                <w:sz w:val="24"/>
                <w:lang w:eastAsia="zh-CN"/>
              </w:rPr>
            </w:pPr>
            <w:r>
              <w:rPr>
                <w:rFonts w:hint="eastAsia" w:ascii="黑体" w:hAnsi="黑体" w:eastAsia="黑体" w:cs="黑体"/>
                <w:sz w:val="24"/>
                <w:lang w:eastAsia="zh-CN"/>
              </w:rPr>
              <w:t>原地保存</w:t>
            </w:r>
          </w:p>
        </w:tc>
        <w:tc>
          <w:tcPr>
            <w:tcW w:w="206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hint="eastAsia" w:ascii="黑体" w:hAnsi="黑体" w:eastAsia="黑体" w:cs="黑体"/>
                <w:sz w:val="24"/>
                <w:lang w:eastAsia="zh-CN"/>
              </w:rPr>
            </w:pPr>
            <w:r>
              <w:rPr>
                <w:rFonts w:hint="eastAsia" w:ascii="黑体" w:hAnsi="黑体" w:eastAsia="黑体" w:cs="黑体"/>
                <w:sz w:val="24"/>
                <w:lang w:eastAsia="zh-CN"/>
              </w:rPr>
              <w:t>林权所有人</w:t>
            </w:r>
          </w:p>
        </w:tc>
        <w:tc>
          <w:tcPr>
            <w:tcW w:w="4583"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exact"/>
              <w:jc w:val="both"/>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98" w:hRule="exact"/>
        </w:trPr>
        <w:tc>
          <w:tcPr>
            <w:tcW w:w="2309" w:type="dxa"/>
            <w:vMerge w:val="continue"/>
            <w:tcBorders>
              <w:left w:val="single" w:color="auto" w:sz="4" w:space="0"/>
              <w:right w:val="single" w:color="auto" w:sz="4" w:space="0"/>
            </w:tcBorders>
            <w:noWrap w:val="0"/>
            <w:vAlign w:val="center"/>
          </w:tcPr>
          <w:p>
            <w:pPr>
              <w:spacing w:line="400" w:lineRule="exact"/>
              <w:jc w:val="center"/>
              <w:rPr>
                <w:rFonts w:hint="eastAsia" w:ascii="黑体" w:hAnsi="黑体" w:eastAsia="黑体" w:cs="黑体"/>
                <w:sz w:val="24"/>
                <w:lang w:eastAsia="zh-CN"/>
              </w:rPr>
            </w:pPr>
          </w:p>
        </w:tc>
        <w:tc>
          <w:tcPr>
            <w:tcW w:w="2066" w:type="dxa"/>
            <w:gridSpan w:val="2"/>
            <w:tcBorders>
              <w:top w:val="single" w:color="auto" w:sz="4" w:space="0"/>
              <w:left w:val="single" w:color="auto" w:sz="4" w:space="0"/>
              <w:right w:val="single" w:color="auto" w:sz="4" w:space="0"/>
            </w:tcBorders>
            <w:noWrap w:val="0"/>
            <w:vAlign w:val="center"/>
          </w:tcPr>
          <w:p>
            <w:pPr>
              <w:spacing w:line="360" w:lineRule="exact"/>
              <w:jc w:val="center"/>
              <w:rPr>
                <w:rFonts w:hint="eastAsia" w:ascii="黑体" w:hAnsi="黑体" w:eastAsia="黑体" w:cs="黑体"/>
                <w:sz w:val="24"/>
                <w:lang w:eastAsia="zh-CN"/>
              </w:rPr>
            </w:pPr>
            <w:r>
              <w:rPr>
                <w:rFonts w:hint="eastAsia" w:ascii="黑体" w:hAnsi="黑体" w:eastAsia="黑体" w:cs="黑体"/>
                <w:sz w:val="24"/>
                <w:lang w:eastAsia="zh-CN"/>
              </w:rPr>
              <w:t>林分类型（公益林、商品林或其他）</w:t>
            </w:r>
          </w:p>
        </w:tc>
        <w:tc>
          <w:tcPr>
            <w:tcW w:w="4583" w:type="dxa"/>
            <w:gridSpan w:val="3"/>
            <w:tcBorders>
              <w:top w:val="single" w:color="auto" w:sz="4" w:space="0"/>
              <w:left w:val="single" w:color="auto" w:sz="4" w:space="0"/>
              <w:bottom w:val="single" w:color="auto" w:sz="4" w:space="0"/>
              <w:right w:val="single" w:color="auto" w:sz="4" w:space="0"/>
            </w:tcBorders>
            <w:noWrap w:val="0"/>
            <w:vAlign w:val="center"/>
          </w:tcPr>
          <w:p>
            <w:pPr>
              <w:spacing w:line="400" w:lineRule="exact"/>
              <w:jc w:val="both"/>
              <w:rPr>
                <w:rFonts w:hint="eastAsia" w:ascii="仿宋_GB2312" w:hAnsi="仿宋_GB2312" w:eastAsia="仿宋_GB2312" w:cs="仿宋_GB2312"/>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72" w:hRule="exact"/>
        </w:trPr>
        <w:tc>
          <w:tcPr>
            <w:tcW w:w="2309" w:type="dxa"/>
            <w:vMerge w:val="restart"/>
            <w:tcBorders>
              <w:top w:val="single" w:color="auto" w:sz="4" w:space="0"/>
              <w:left w:val="single" w:color="auto" w:sz="4" w:space="0"/>
              <w:right w:val="single" w:color="auto" w:sz="4" w:space="0"/>
            </w:tcBorders>
            <w:noWrap w:val="0"/>
            <w:vAlign w:val="center"/>
          </w:tcPr>
          <w:p>
            <w:pPr>
              <w:spacing w:line="400" w:lineRule="exact"/>
              <w:jc w:val="center"/>
              <w:rPr>
                <w:rFonts w:hint="eastAsia" w:ascii="黑体" w:hAnsi="黑体" w:eastAsia="黑体" w:cs="黑体"/>
                <w:sz w:val="24"/>
                <w:lang w:eastAsia="zh-CN"/>
              </w:rPr>
            </w:pPr>
            <w:r>
              <w:rPr>
                <w:rFonts w:hint="eastAsia" w:ascii="黑体" w:hAnsi="黑体" w:eastAsia="黑体" w:cs="黑体"/>
                <w:sz w:val="24"/>
                <w:lang w:eastAsia="zh-CN"/>
              </w:rPr>
              <w:t>异地保存</w:t>
            </w:r>
          </w:p>
        </w:tc>
        <w:tc>
          <w:tcPr>
            <w:tcW w:w="2066"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黑体" w:hAnsi="黑体" w:eastAsia="黑体" w:cs="黑体"/>
                <w:spacing w:val="-20"/>
                <w:sz w:val="24"/>
                <w:lang w:eastAsia="zh-CN"/>
              </w:rPr>
            </w:pPr>
            <w:r>
              <w:rPr>
                <w:rFonts w:hint="eastAsia" w:ascii="黑体" w:hAnsi="黑体" w:eastAsia="黑体" w:cs="黑体"/>
                <w:spacing w:val="0"/>
                <w:sz w:val="24"/>
                <w:lang w:eastAsia="zh-CN"/>
              </w:rPr>
              <w:t>土地权属</w:t>
            </w:r>
          </w:p>
        </w:tc>
        <w:tc>
          <w:tcPr>
            <w:tcW w:w="4583" w:type="dxa"/>
            <w:gridSpan w:val="3"/>
            <w:tcBorders>
              <w:top w:val="single" w:color="auto" w:sz="4" w:space="0"/>
              <w:left w:val="single" w:color="auto" w:sz="4" w:space="0"/>
              <w:bottom w:val="single" w:color="auto" w:sz="4" w:space="0"/>
              <w:right w:val="single" w:color="auto" w:sz="4" w:space="0"/>
            </w:tcBorders>
            <w:noWrap w:val="0"/>
            <w:vAlign w:val="center"/>
          </w:tcPr>
          <w:p>
            <w:pPr>
              <w:spacing w:line="400" w:lineRule="exact"/>
              <w:jc w:val="left"/>
              <w:rPr>
                <w:rFonts w:hint="eastAsia" w:ascii="仿宋_GB2312" w:hAnsi="仿宋_GB2312" w:eastAsia="仿宋_GB2312" w:cs="仿宋_GB2312"/>
                <w:spacing w:val="-2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05" w:hRule="exact"/>
        </w:trPr>
        <w:tc>
          <w:tcPr>
            <w:tcW w:w="2309" w:type="dxa"/>
            <w:vMerge w:val="continue"/>
            <w:tcBorders>
              <w:left w:val="single" w:color="auto" w:sz="4" w:space="0"/>
              <w:right w:val="single" w:color="auto" w:sz="4" w:space="0"/>
            </w:tcBorders>
            <w:noWrap w:val="0"/>
            <w:vAlign w:val="center"/>
          </w:tcPr>
          <w:p>
            <w:pPr>
              <w:spacing w:line="400" w:lineRule="exact"/>
              <w:jc w:val="center"/>
              <w:rPr>
                <w:rFonts w:hint="eastAsia" w:ascii="黑体" w:hAnsi="黑体" w:eastAsia="黑体" w:cs="黑体"/>
                <w:sz w:val="24"/>
                <w:lang w:eastAsia="zh-CN"/>
              </w:rPr>
            </w:pPr>
          </w:p>
        </w:tc>
        <w:tc>
          <w:tcPr>
            <w:tcW w:w="2066" w:type="dxa"/>
            <w:gridSpan w:val="2"/>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before="0" w:beforeLines="0" w:after="0" w:afterLines="0" w:line="300" w:lineRule="exact"/>
              <w:ind w:left="0" w:leftChars="0" w:right="0" w:rightChars="0" w:firstLine="0" w:firstLineChars="0"/>
              <w:jc w:val="center"/>
              <w:textAlignment w:val="auto"/>
              <w:outlineLvl w:val="9"/>
              <w:rPr>
                <w:rFonts w:hint="eastAsia" w:ascii="黑体" w:hAnsi="黑体" w:eastAsia="黑体" w:cs="黑体"/>
                <w:spacing w:val="0"/>
                <w:sz w:val="24"/>
              </w:rPr>
            </w:pPr>
            <w:r>
              <w:rPr>
                <w:rFonts w:hint="eastAsia" w:ascii="黑体" w:hAnsi="黑体" w:eastAsia="黑体" w:cs="黑体"/>
                <w:spacing w:val="0"/>
                <w:sz w:val="24"/>
              </w:rPr>
              <w:t>始建时间和</w:t>
            </w:r>
          </w:p>
          <w:p>
            <w:pPr>
              <w:keepNext w:val="0"/>
              <w:keepLines w:val="0"/>
              <w:pageBreakBefore w:val="0"/>
              <w:widowControl w:val="0"/>
              <w:kinsoku/>
              <w:wordWrap/>
              <w:overflowPunct/>
              <w:topLinePunct w:val="0"/>
              <w:autoSpaceDE/>
              <w:autoSpaceDN/>
              <w:bidi w:val="0"/>
              <w:adjustRightInd/>
              <w:snapToGrid/>
              <w:spacing w:before="0" w:beforeLines="0" w:after="0" w:afterLines="0" w:line="300" w:lineRule="exact"/>
              <w:ind w:left="0" w:leftChars="0" w:right="0" w:rightChars="0" w:firstLine="0" w:firstLineChars="0"/>
              <w:jc w:val="center"/>
              <w:textAlignment w:val="auto"/>
              <w:outlineLvl w:val="9"/>
              <w:rPr>
                <w:rFonts w:hint="eastAsia" w:ascii="黑体" w:hAnsi="黑体" w:eastAsia="黑体" w:cs="黑体"/>
                <w:sz w:val="24"/>
                <w:lang w:eastAsia="zh-CN"/>
              </w:rPr>
            </w:pPr>
            <w:r>
              <w:rPr>
                <w:rFonts w:hint="eastAsia" w:ascii="黑体" w:hAnsi="黑体" w:eastAsia="黑体" w:cs="黑体"/>
                <w:spacing w:val="0"/>
                <w:sz w:val="24"/>
              </w:rPr>
              <w:t>主要投资来源</w:t>
            </w:r>
          </w:p>
        </w:tc>
        <w:tc>
          <w:tcPr>
            <w:tcW w:w="4583" w:type="dxa"/>
            <w:gridSpan w:val="3"/>
            <w:tcBorders>
              <w:top w:val="single" w:color="auto" w:sz="4" w:space="0"/>
              <w:left w:val="single" w:color="auto" w:sz="4" w:space="0"/>
              <w:bottom w:val="single" w:color="auto" w:sz="4" w:space="0"/>
              <w:right w:val="single" w:color="auto" w:sz="4" w:space="0"/>
            </w:tcBorders>
            <w:noWrap w:val="0"/>
            <w:vAlign w:val="center"/>
          </w:tcPr>
          <w:p>
            <w:pPr>
              <w:spacing w:line="400" w:lineRule="exact"/>
              <w:jc w:val="left"/>
              <w:rPr>
                <w:rFonts w:hint="eastAsia" w:ascii="仿宋_GB2312" w:hAnsi="仿宋_GB2312" w:eastAsia="仿宋_GB2312" w:cs="仿宋_GB2312"/>
                <w:spacing w:val="-2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1515" w:hRule="atLeast"/>
        </w:trPr>
        <w:tc>
          <w:tcPr>
            <w:tcW w:w="2309"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黑体" w:hAnsi="黑体" w:eastAsia="黑体" w:cs="黑体"/>
                <w:sz w:val="24"/>
                <w:lang w:eastAsia="zh-CN"/>
              </w:rPr>
            </w:pPr>
            <w:r>
              <w:rPr>
                <w:rFonts w:hint="eastAsia" w:ascii="黑体" w:hAnsi="黑体" w:eastAsia="黑体" w:cs="黑体"/>
                <w:sz w:val="24"/>
                <w:lang w:eastAsia="zh-CN"/>
              </w:rPr>
              <w:t>种质资源收集保存单位或管护单位情况</w:t>
            </w:r>
          </w:p>
        </w:tc>
        <w:tc>
          <w:tcPr>
            <w:tcW w:w="6649" w:type="dxa"/>
            <w:gridSpan w:val="5"/>
            <w:tcBorders>
              <w:top w:val="single" w:color="auto" w:sz="4" w:space="0"/>
              <w:left w:val="single" w:color="auto" w:sz="4" w:space="0"/>
              <w:bottom w:val="single" w:color="auto" w:sz="4" w:space="0"/>
              <w:right w:val="single" w:color="auto" w:sz="4" w:space="0"/>
            </w:tcBorders>
            <w:noWrap w:val="0"/>
            <w:vAlign w:val="center"/>
          </w:tcPr>
          <w:p>
            <w:pPr>
              <w:spacing w:line="400" w:lineRule="exact"/>
              <w:jc w:val="left"/>
              <w:rPr>
                <w:rFonts w:hint="eastAsia" w:ascii="仿宋_GB2312" w:hAnsi="仿宋_GB2312" w:eastAsia="仿宋_GB2312" w:cs="仿宋_GB2312"/>
                <w:sz w:val="24"/>
              </w:rPr>
            </w:pPr>
          </w:p>
          <w:p>
            <w:pPr>
              <w:bidi w:val="0"/>
              <w:rPr>
                <w:rFonts w:hint="eastAsia"/>
                <w:kern w:val="2"/>
                <w:sz w:val="21"/>
                <w:szCs w:val="22"/>
                <w:lang w:val="en-US" w:eastAsia="zh-CN" w:bidi="ar-SA"/>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tabs>
                <w:tab w:val="left" w:pos="1765"/>
              </w:tabs>
              <w:bidi w:val="0"/>
              <w:jc w:val="left"/>
              <w:rPr>
                <w:rFonts w:hint="eastAsia"/>
                <w:lang w:val="en-US" w:eastAsia="zh-CN"/>
              </w:rPr>
            </w:pPr>
            <w:r>
              <w:rPr>
                <w:rFonts w:hint="eastAsia"/>
                <w:lang w:val="en-US" w:eastAsia="zh-CN"/>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3405" w:hRule="atLeast"/>
        </w:trPr>
        <w:tc>
          <w:tcPr>
            <w:tcW w:w="2309"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黑体" w:hAnsi="黑体" w:eastAsia="黑体" w:cs="黑体"/>
                <w:sz w:val="24"/>
                <w:lang w:eastAsia="zh-CN"/>
              </w:rPr>
            </w:pPr>
            <w:r>
              <w:rPr>
                <w:rFonts w:hint="eastAsia" w:ascii="黑体" w:hAnsi="黑体" w:eastAsia="黑体" w:cs="黑体"/>
                <w:sz w:val="24"/>
                <w:lang w:eastAsia="zh-CN"/>
              </w:rPr>
              <w:t>现有保护措施及</w:t>
            </w:r>
          </w:p>
          <w:p>
            <w:pPr>
              <w:spacing w:line="400" w:lineRule="exact"/>
              <w:jc w:val="center"/>
              <w:rPr>
                <w:rFonts w:hint="eastAsia" w:ascii="仿宋_GB2312" w:hAnsi="仿宋_GB2312" w:eastAsia="仿宋_GB2312" w:cs="仿宋_GB2312"/>
                <w:sz w:val="24"/>
              </w:rPr>
            </w:pPr>
            <w:r>
              <w:rPr>
                <w:rFonts w:hint="eastAsia" w:ascii="黑体" w:hAnsi="黑体" w:eastAsia="黑体" w:cs="黑体"/>
                <w:sz w:val="24"/>
                <w:lang w:eastAsia="zh-CN"/>
              </w:rPr>
              <w:t>经费来源</w:t>
            </w:r>
          </w:p>
        </w:tc>
        <w:tc>
          <w:tcPr>
            <w:tcW w:w="6649" w:type="dxa"/>
            <w:gridSpan w:val="5"/>
            <w:tcBorders>
              <w:top w:val="single" w:color="auto" w:sz="4" w:space="0"/>
              <w:left w:val="single" w:color="auto" w:sz="4" w:space="0"/>
              <w:bottom w:val="single" w:color="auto" w:sz="4" w:space="0"/>
              <w:right w:val="single" w:color="auto" w:sz="4" w:space="0"/>
            </w:tcBorders>
            <w:noWrap w:val="0"/>
            <w:vAlign w:val="center"/>
          </w:tcPr>
          <w:p>
            <w:pPr>
              <w:spacing w:line="400" w:lineRule="exact"/>
              <w:jc w:val="left"/>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574" w:hRule="atLeast"/>
        </w:trPr>
        <w:tc>
          <w:tcPr>
            <w:tcW w:w="8958" w:type="dxa"/>
            <w:gridSpan w:val="6"/>
            <w:tcBorders>
              <w:top w:val="single" w:color="auto" w:sz="4" w:space="0"/>
              <w:left w:val="single" w:color="auto" w:sz="4" w:space="0"/>
              <w:bottom w:val="single" w:color="auto" w:sz="4" w:space="0"/>
              <w:right w:val="single" w:color="auto" w:sz="4" w:space="0"/>
            </w:tcBorders>
            <w:noWrap w:val="0"/>
            <w:vAlign w:val="top"/>
          </w:tcPr>
          <w:p>
            <w:pPr>
              <w:spacing w:before="156" w:beforeLines="50"/>
              <w:rPr>
                <w:rFonts w:hint="eastAsia" w:ascii="黑体" w:hAnsi="黑体" w:eastAsia="黑体" w:cs="黑体"/>
                <w:sz w:val="24"/>
              </w:rPr>
            </w:pPr>
            <w:r>
              <w:rPr>
                <w:rFonts w:hint="eastAsia" w:ascii="黑体" w:hAnsi="黑体" w:eastAsia="黑体" w:cs="黑体"/>
                <w:sz w:val="24"/>
              </w:rPr>
              <w:t>基础设施概况</w:t>
            </w:r>
            <w:r>
              <w:rPr>
                <w:rFonts w:hint="eastAsia" w:ascii="仿宋_GB2312" w:hAnsi="仿宋_GB2312" w:eastAsia="仿宋_GB2312" w:cs="仿宋_GB2312"/>
                <w:sz w:val="24"/>
              </w:rPr>
              <w:t>（包括</w:t>
            </w:r>
            <w:r>
              <w:rPr>
                <w:rFonts w:hint="eastAsia" w:ascii="仿宋_GB2312" w:hAnsi="仿宋_GB2312" w:eastAsia="仿宋_GB2312" w:cs="仿宋_GB2312"/>
                <w:sz w:val="24"/>
                <w:lang w:eastAsia="zh-CN"/>
              </w:rPr>
              <w:t>交通灌溉等</w:t>
            </w:r>
            <w:r>
              <w:rPr>
                <w:rFonts w:hint="eastAsia" w:ascii="仿宋_GB2312" w:hAnsi="仿宋_GB2312" w:eastAsia="仿宋_GB2312" w:cs="仿宋_GB2312"/>
                <w:sz w:val="24"/>
              </w:rPr>
              <w:t>生产设施设备、</w:t>
            </w:r>
            <w:r>
              <w:rPr>
                <w:rFonts w:hint="eastAsia" w:ascii="仿宋_GB2312" w:hAnsi="仿宋_GB2312" w:eastAsia="仿宋_GB2312" w:cs="仿宋_GB2312"/>
                <w:sz w:val="24"/>
                <w:lang w:eastAsia="zh-CN"/>
              </w:rPr>
              <w:t>围栏等</w:t>
            </w:r>
            <w:r>
              <w:rPr>
                <w:rFonts w:hint="eastAsia" w:ascii="仿宋_GB2312" w:hAnsi="仿宋_GB2312" w:eastAsia="仿宋_GB2312" w:cs="仿宋_GB2312"/>
                <w:sz w:val="24"/>
              </w:rPr>
              <w:t>保护设施、研究设施设备等）</w:t>
            </w: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lang w:val="en-US" w:eastAsia="zh-CN"/>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lang w:val="en-US" w:eastAsia="zh-CN"/>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lang w:val="en-US" w:eastAsia="zh-CN"/>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lang w:val="en-US" w:eastAsia="zh-CN"/>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lang w:val="en-US" w:eastAsia="zh-CN"/>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lang w:val="en-US" w:eastAsia="zh-CN"/>
              </w:rPr>
            </w:pPr>
          </w:p>
          <w:p>
            <w:pPr>
              <w:spacing w:before="156" w:beforeLines="50"/>
              <w:rPr>
                <w:rFonts w:hint="eastAsia" w:ascii="仿宋_GB2312" w:hAnsi="仿宋_GB2312" w:eastAsia="仿宋_GB2312" w:cs="仿宋_GB2312"/>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90" w:hRule="atLeast"/>
        </w:trPr>
        <w:tc>
          <w:tcPr>
            <w:tcW w:w="8958" w:type="dxa"/>
            <w:gridSpan w:val="6"/>
            <w:tcBorders>
              <w:top w:val="single" w:color="auto" w:sz="4" w:space="0"/>
              <w:left w:val="single" w:color="auto" w:sz="4" w:space="0"/>
              <w:bottom w:val="single" w:color="auto" w:sz="4" w:space="0"/>
              <w:right w:val="single" w:color="auto" w:sz="4" w:space="0"/>
            </w:tcBorders>
            <w:noWrap w:val="0"/>
            <w:vAlign w:val="top"/>
          </w:tcPr>
          <w:p>
            <w:pPr>
              <w:spacing w:before="156" w:beforeLines="50"/>
              <w:rPr>
                <w:rFonts w:hint="eastAsia" w:ascii="仿宋_GB2312" w:hAnsi="仿宋_GB2312" w:eastAsia="仿宋_GB2312" w:cs="仿宋_GB2312"/>
                <w:sz w:val="24"/>
              </w:rPr>
            </w:pPr>
            <w:r>
              <w:rPr>
                <w:rFonts w:hint="eastAsia" w:ascii="黑体" w:hAnsi="黑体" w:eastAsia="黑体" w:cs="黑体"/>
                <w:sz w:val="24"/>
              </w:rPr>
              <w:t>主要保存对象概况</w:t>
            </w:r>
            <w:r>
              <w:rPr>
                <w:rFonts w:hint="eastAsia" w:ascii="仿宋_GB2312" w:hAnsi="仿宋_GB2312" w:eastAsia="仿宋_GB2312" w:cs="仿宋_GB2312"/>
                <w:sz w:val="24"/>
              </w:rPr>
              <w:t>（包括主要保存对象名称、保护目的、用途等）</w:t>
            </w: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spacing w:before="156" w:beforeLines="50"/>
              <w:rPr>
                <w:rFonts w:hint="eastAsia" w:ascii="仿宋_GB2312" w:hAnsi="仿宋_GB2312" w:eastAsia="仿宋_GB2312" w:cs="仿宋_GB2312"/>
                <w:sz w:val="24"/>
              </w:rPr>
            </w:pPr>
          </w:p>
          <w:p>
            <w:pPr>
              <w:spacing w:before="156" w:beforeLines="50"/>
              <w:rPr>
                <w:rFonts w:hint="eastAsia" w:ascii="仿宋_GB2312" w:hAnsi="仿宋_GB2312" w:eastAsia="仿宋_GB2312" w:cs="仿宋_GB2312"/>
                <w:sz w:val="24"/>
              </w:rPr>
            </w:pPr>
          </w:p>
          <w:p>
            <w:pPr>
              <w:spacing w:before="156" w:beforeLines="50"/>
              <w:rPr>
                <w:rFonts w:hint="eastAsia" w:ascii="仿宋_GB2312" w:hAnsi="仿宋_GB2312" w:eastAsia="仿宋_GB2312" w:cs="仿宋_GB2312"/>
                <w:sz w:val="24"/>
              </w:rPr>
            </w:pPr>
          </w:p>
          <w:p>
            <w:pPr>
              <w:spacing w:before="156" w:beforeLines="50"/>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897" w:hRule="atLeast"/>
        </w:trPr>
        <w:tc>
          <w:tcPr>
            <w:tcW w:w="8958" w:type="dxa"/>
            <w:gridSpan w:val="6"/>
            <w:tcBorders>
              <w:top w:val="single" w:color="auto" w:sz="4" w:space="0"/>
              <w:left w:val="single" w:color="auto" w:sz="4" w:space="0"/>
              <w:bottom w:val="single" w:color="auto" w:sz="4" w:space="0"/>
              <w:right w:val="single" w:color="auto" w:sz="4" w:space="0"/>
            </w:tcBorders>
            <w:noWrap w:val="0"/>
            <w:vAlign w:val="top"/>
          </w:tcPr>
          <w:p>
            <w:pPr>
              <w:spacing w:before="156" w:beforeLines="50"/>
              <w:rPr>
                <w:rFonts w:hint="eastAsia" w:ascii="仿宋_GB2312" w:hAnsi="仿宋_GB2312" w:eastAsia="仿宋_GB2312" w:cs="仿宋_GB2312"/>
                <w:sz w:val="24"/>
              </w:rPr>
            </w:pPr>
            <w:r>
              <w:rPr>
                <w:rFonts w:hint="eastAsia" w:ascii="黑体" w:hAnsi="黑体" w:eastAsia="黑体" w:cs="黑体"/>
                <w:sz w:val="24"/>
              </w:rPr>
              <w:t>种质资源收集保存及研究概况</w:t>
            </w:r>
            <w:r>
              <w:rPr>
                <w:rFonts w:hint="eastAsia" w:ascii="仿宋_GB2312" w:hAnsi="仿宋_GB2312" w:eastAsia="仿宋_GB2312" w:cs="仿宋_GB2312"/>
                <w:sz w:val="24"/>
              </w:rPr>
              <w:t>（</w:t>
            </w:r>
            <w:r>
              <w:rPr>
                <w:rFonts w:hint="eastAsia" w:ascii="仿宋_GB2312" w:hAnsi="仿宋_GB2312" w:eastAsia="仿宋_GB2312" w:cs="仿宋_GB2312"/>
                <w:sz w:val="24"/>
                <w:lang w:eastAsia="zh-CN"/>
              </w:rPr>
              <w:t>种质资源概况</w:t>
            </w:r>
            <w:r>
              <w:rPr>
                <w:rFonts w:hint="eastAsia" w:ascii="仿宋_GB2312" w:hAnsi="仿宋_GB2312" w:eastAsia="仿宋_GB2312" w:cs="仿宋_GB2312"/>
                <w:sz w:val="24"/>
              </w:rPr>
              <w:t>包括</w:t>
            </w:r>
            <w:r>
              <w:rPr>
                <w:rFonts w:hint="eastAsia" w:ascii="仿宋_GB2312" w:hAnsi="仿宋_GB2312" w:eastAsia="仿宋_GB2312" w:cs="仿宋_GB2312"/>
                <w:sz w:val="24"/>
                <w:lang w:eastAsia="zh-CN"/>
              </w:rPr>
              <w:t>：异地</w:t>
            </w:r>
            <w:r>
              <w:rPr>
                <w:rFonts w:hint="eastAsia" w:ascii="仿宋_GB2312" w:hAnsi="仿宋_GB2312" w:eastAsia="仿宋_GB2312" w:cs="仿宋_GB2312"/>
                <w:sz w:val="24"/>
              </w:rPr>
              <w:t>收集保存的份数</w:t>
            </w:r>
            <w:r>
              <w:rPr>
                <w:rFonts w:hint="eastAsia" w:ascii="仿宋_GB2312" w:hAnsi="仿宋_GB2312" w:eastAsia="仿宋_GB2312" w:cs="仿宋_GB2312"/>
                <w:sz w:val="24"/>
                <w:lang w:eastAsia="zh-CN"/>
              </w:rPr>
              <w:t>、</w:t>
            </w:r>
            <w:r>
              <w:rPr>
                <w:rFonts w:hint="eastAsia" w:ascii="仿宋_GB2312" w:hAnsi="仿宋_GB2312" w:eastAsia="仿宋_GB2312" w:cs="仿宋_GB2312"/>
                <w:sz w:val="24"/>
              </w:rPr>
              <w:t>数量、来源等</w:t>
            </w:r>
            <w:r>
              <w:rPr>
                <w:rFonts w:hint="eastAsia" w:ascii="仿宋_GB2312" w:hAnsi="仿宋_GB2312" w:eastAsia="仿宋_GB2312" w:cs="仿宋_GB2312"/>
                <w:sz w:val="24"/>
                <w:lang w:eastAsia="zh-CN"/>
              </w:rPr>
              <w:t>；原地保存林的林分结构情况，如树种组成、目标树种各龄级的平均胸径、平均树高，天然更新情况，林分郁闭度、病虫害情况等。</w:t>
            </w:r>
            <w:r>
              <w:rPr>
                <w:rFonts w:hint="eastAsia" w:ascii="仿宋_GB2312" w:hAnsi="仿宋_GB2312" w:eastAsia="仿宋_GB2312" w:cs="仿宋_GB2312"/>
                <w:sz w:val="24"/>
              </w:rPr>
              <w:t>）</w:t>
            </w: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spacing w:before="156" w:beforeLines="50"/>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3933" w:hRule="atLeast"/>
        </w:trPr>
        <w:tc>
          <w:tcPr>
            <w:tcW w:w="8958" w:type="dxa"/>
            <w:gridSpan w:val="6"/>
            <w:tcBorders>
              <w:top w:val="single" w:color="auto" w:sz="4" w:space="0"/>
              <w:left w:val="single" w:color="auto" w:sz="4" w:space="0"/>
              <w:bottom w:val="single" w:color="auto" w:sz="4" w:space="0"/>
              <w:right w:val="single" w:color="auto" w:sz="4" w:space="0"/>
            </w:tcBorders>
            <w:noWrap w:val="0"/>
            <w:vAlign w:val="top"/>
          </w:tcPr>
          <w:p>
            <w:pPr>
              <w:spacing w:before="156" w:beforeLines="50"/>
              <w:rPr>
                <w:rFonts w:hint="eastAsia" w:ascii="黑体" w:hAnsi="黑体" w:eastAsia="黑体" w:cs="黑体"/>
                <w:sz w:val="24"/>
                <w:lang w:eastAsia="zh-CN"/>
              </w:rPr>
            </w:pPr>
            <w:r>
              <w:rPr>
                <w:rFonts w:hint="eastAsia" w:ascii="黑体" w:hAnsi="黑体" w:eastAsia="黑体" w:cs="黑体"/>
                <w:sz w:val="24"/>
                <w:lang w:eastAsia="zh-CN"/>
              </w:rPr>
              <w:t>开展种质资源保护的有利条件：</w:t>
            </w: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lang w:eastAsia="zh-CN"/>
              </w:rPr>
            </w:pPr>
          </w:p>
          <w:p>
            <w:pPr>
              <w:spacing w:before="156" w:beforeLines="50"/>
              <w:rPr>
                <w:rFonts w:hint="eastAsia" w:ascii="仿宋_GB2312" w:hAnsi="仿宋_GB2312" w:eastAsia="仿宋_GB2312" w:cs="仿宋_GB2312"/>
                <w:sz w:val="24"/>
                <w:lang w:eastAsia="zh-CN"/>
              </w:rPr>
            </w:pPr>
          </w:p>
          <w:p>
            <w:pPr>
              <w:spacing w:before="156" w:beforeLines="50"/>
              <w:rPr>
                <w:rFonts w:hint="eastAsia" w:ascii="仿宋_GB2312" w:hAnsi="仿宋_GB2312" w:eastAsia="仿宋_GB2312" w:cs="仿宋_GB2312"/>
                <w:sz w:val="24"/>
                <w:lang w:eastAsia="zh-CN"/>
              </w:rPr>
            </w:pPr>
          </w:p>
          <w:p>
            <w:pPr>
              <w:spacing w:before="156" w:beforeLines="50"/>
              <w:rPr>
                <w:rFonts w:hint="eastAsia" w:ascii="仿宋_GB2312" w:hAnsi="仿宋_GB2312" w:eastAsia="仿宋_GB2312" w:cs="仿宋_GB2312"/>
                <w:sz w:val="24"/>
                <w:lang w:eastAsia="zh-CN"/>
              </w:rPr>
            </w:pPr>
          </w:p>
          <w:p>
            <w:pPr>
              <w:spacing w:before="156" w:beforeLines="50"/>
              <w:rPr>
                <w:rFonts w:hint="eastAsia" w:ascii="仿宋_GB2312" w:hAnsi="仿宋_GB2312" w:eastAsia="仿宋_GB2312" w:cs="仿宋_GB2312"/>
                <w:sz w:val="24"/>
                <w:lang w:eastAsia="zh-CN"/>
              </w:rPr>
            </w:pPr>
          </w:p>
          <w:p>
            <w:pPr>
              <w:spacing w:before="156" w:beforeLines="50"/>
              <w:rPr>
                <w:rFonts w:hint="eastAsia" w:ascii="仿宋_GB2312" w:hAnsi="仿宋_GB2312" w:eastAsia="仿宋_GB2312" w:cs="仿宋_GB2312"/>
                <w:sz w:val="24"/>
                <w:lang w:eastAsia="zh-CN"/>
              </w:rPr>
            </w:pPr>
          </w:p>
          <w:p>
            <w:pPr>
              <w:spacing w:before="156" w:beforeLines="50"/>
              <w:rPr>
                <w:rFonts w:hint="eastAsia" w:ascii="仿宋_GB2312" w:hAnsi="仿宋_GB2312" w:eastAsia="仿宋_GB2312" w:cs="仿宋_GB2312"/>
                <w:sz w:val="24"/>
                <w:lang w:eastAsia="zh-CN"/>
              </w:rPr>
            </w:pPr>
          </w:p>
          <w:p>
            <w:pPr>
              <w:spacing w:before="156" w:beforeLines="50"/>
              <w:rPr>
                <w:rFonts w:hint="eastAsia" w:ascii="仿宋_GB2312" w:hAnsi="仿宋_GB2312" w:eastAsia="仿宋_GB2312" w:cs="仿宋_GB2312"/>
                <w:sz w:val="24"/>
                <w:lang w:eastAsia="zh-CN"/>
              </w:rPr>
            </w:pPr>
          </w:p>
          <w:p>
            <w:pPr>
              <w:spacing w:before="156" w:beforeLines="50"/>
              <w:rPr>
                <w:rFonts w:hint="eastAsia" w:ascii="仿宋_GB2312" w:hAnsi="仿宋_GB2312" w:eastAsia="仿宋_GB2312" w:cs="仿宋_GB2312"/>
                <w:sz w:val="24"/>
                <w:lang w:eastAsia="zh-CN"/>
              </w:rPr>
            </w:pPr>
          </w:p>
          <w:p>
            <w:pPr>
              <w:spacing w:before="156" w:beforeLines="50"/>
              <w:rPr>
                <w:rFonts w:hint="eastAsia" w:ascii="仿宋_GB2312" w:hAnsi="仿宋_GB2312" w:eastAsia="仿宋_GB2312" w:cs="仿宋_GB2312"/>
                <w:sz w:val="24"/>
                <w:lang w:eastAsia="zh-CN"/>
              </w:rPr>
            </w:pPr>
          </w:p>
          <w:p>
            <w:pPr>
              <w:spacing w:before="156" w:beforeLines="50"/>
              <w:rPr>
                <w:rFonts w:hint="eastAsia" w:ascii="仿宋_GB2312" w:hAnsi="仿宋_GB2312" w:eastAsia="仿宋_GB2312" w:cs="仿宋_GB2312"/>
                <w:sz w:val="24"/>
                <w:lang w:eastAsia="zh-CN"/>
              </w:rPr>
            </w:pPr>
          </w:p>
          <w:p>
            <w:pPr>
              <w:spacing w:before="156" w:beforeLines="50"/>
              <w:rPr>
                <w:rFonts w:hint="eastAsia" w:ascii="仿宋_GB2312" w:hAnsi="仿宋_GB2312" w:eastAsia="仿宋_GB2312" w:cs="仿宋_GB2312"/>
                <w:sz w:val="24"/>
                <w:lang w:eastAsia="zh-CN"/>
              </w:rPr>
            </w:pPr>
          </w:p>
          <w:p>
            <w:pPr>
              <w:spacing w:before="156" w:beforeLines="50"/>
              <w:rPr>
                <w:rFonts w:hint="eastAsia" w:ascii="仿宋_GB2312" w:hAnsi="仿宋_GB2312" w:eastAsia="仿宋_GB2312" w:cs="仿宋_GB2312"/>
                <w:sz w:val="24"/>
                <w:lang w:eastAsia="zh-CN"/>
              </w:rPr>
            </w:pPr>
          </w:p>
          <w:p>
            <w:pPr>
              <w:spacing w:before="156" w:beforeLines="50"/>
              <w:rPr>
                <w:rFonts w:hint="eastAsia" w:ascii="仿宋_GB2312" w:hAnsi="仿宋_GB2312" w:eastAsia="仿宋_GB2312" w:cs="仿宋_GB2312"/>
                <w:sz w:val="24"/>
                <w:lang w:eastAsia="zh-CN"/>
              </w:rPr>
            </w:pPr>
          </w:p>
          <w:p>
            <w:pPr>
              <w:spacing w:before="156" w:beforeLines="50"/>
              <w:rPr>
                <w:rFonts w:hint="eastAsia" w:ascii="仿宋_GB2312" w:hAnsi="仿宋_GB2312" w:eastAsia="仿宋_GB2312" w:cs="仿宋_GB2312"/>
                <w:sz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3900" w:hRule="atLeast"/>
        </w:trPr>
        <w:tc>
          <w:tcPr>
            <w:tcW w:w="8958" w:type="dxa"/>
            <w:gridSpan w:val="6"/>
            <w:tcBorders>
              <w:top w:val="single" w:color="auto" w:sz="4" w:space="0"/>
              <w:left w:val="single" w:color="auto" w:sz="4" w:space="0"/>
              <w:bottom w:val="single" w:color="auto" w:sz="4" w:space="0"/>
              <w:right w:val="single" w:color="auto" w:sz="4" w:space="0"/>
            </w:tcBorders>
            <w:noWrap w:val="0"/>
            <w:vAlign w:val="top"/>
          </w:tcPr>
          <w:p>
            <w:pPr>
              <w:spacing w:before="156" w:beforeLines="50"/>
              <w:rPr>
                <w:rFonts w:hint="eastAsia" w:ascii="黑体" w:hAnsi="黑体" w:eastAsia="黑体" w:cs="黑体"/>
                <w:sz w:val="24"/>
                <w:lang w:eastAsia="zh-CN"/>
              </w:rPr>
            </w:pPr>
            <w:r>
              <w:rPr>
                <w:rFonts w:hint="eastAsia" w:ascii="黑体" w:hAnsi="黑体" w:eastAsia="黑体" w:cs="黑体"/>
                <w:sz w:val="24"/>
              </w:rPr>
              <w:t>社会活动对保护对象可能造成的</w:t>
            </w:r>
            <w:r>
              <w:rPr>
                <w:rFonts w:hint="eastAsia" w:ascii="黑体" w:hAnsi="黑体" w:eastAsia="黑体" w:cs="黑体"/>
                <w:sz w:val="24"/>
                <w:lang w:eastAsia="zh-CN"/>
              </w:rPr>
              <w:t>不利</w:t>
            </w:r>
            <w:r>
              <w:rPr>
                <w:rFonts w:hint="eastAsia" w:ascii="黑体" w:hAnsi="黑体" w:eastAsia="黑体" w:cs="黑体"/>
                <w:sz w:val="24"/>
              </w:rPr>
              <w:t>影响及预防措施</w:t>
            </w:r>
            <w:r>
              <w:rPr>
                <w:rFonts w:hint="eastAsia" w:ascii="黑体" w:hAnsi="黑体" w:eastAsia="黑体" w:cs="黑体"/>
                <w:sz w:val="24"/>
                <w:lang w:eastAsia="zh-CN"/>
              </w:rPr>
              <w:t>：</w:t>
            </w: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snapToGrid/>
              <w:spacing w:before="156" w:beforeLines="50" w:after="0" w:afterLines="0" w:line="240" w:lineRule="auto"/>
              <w:ind w:left="0" w:leftChars="0" w:right="0" w:rightChars="0" w:firstLine="480" w:firstLineChars="200"/>
              <w:jc w:val="both"/>
              <w:textAlignment w:val="auto"/>
              <w:outlineLvl w:val="9"/>
              <w:rPr>
                <w:rFonts w:hint="eastAsia" w:ascii="仿宋_GB2312" w:hAnsi="仿宋_GB2312" w:eastAsia="仿宋_GB2312" w:cs="仿宋_GB2312"/>
                <w:sz w:val="24"/>
              </w:rPr>
            </w:pPr>
          </w:p>
          <w:p>
            <w:pPr>
              <w:spacing w:before="156" w:beforeLines="50"/>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778" w:hRule="atLeast"/>
        </w:trPr>
        <w:tc>
          <w:tcPr>
            <w:tcW w:w="3566"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center"/>
              <w:textAlignment w:val="auto"/>
              <w:outlineLvl w:val="9"/>
              <w:rPr>
                <w:rFonts w:hint="eastAsia" w:ascii="黑体" w:hAnsi="黑体" w:eastAsia="黑体" w:cs="黑体"/>
                <w:sz w:val="24"/>
                <w:lang w:eastAsia="zh-CN"/>
              </w:rPr>
            </w:pPr>
            <w:r>
              <w:rPr>
                <w:rFonts w:hint="eastAsia" w:ascii="黑体" w:hAnsi="黑体" w:eastAsia="黑体" w:cs="黑体"/>
                <w:sz w:val="24"/>
                <w:lang w:eastAsia="zh-CN"/>
              </w:rPr>
              <w:t>异地保存</w:t>
            </w:r>
          </w:p>
        </w:tc>
        <w:tc>
          <w:tcPr>
            <w:tcW w:w="5392" w:type="dxa"/>
            <w:gridSpan w:val="4"/>
            <w:tcBorders>
              <w:top w:val="single" w:color="auto" w:sz="4" w:space="0"/>
              <w:left w:val="single" w:color="auto" w:sz="4" w:space="0"/>
              <w:bottom w:val="single" w:color="auto" w:sz="4" w:space="0"/>
              <w:right w:val="single" w:color="auto" w:sz="4" w:space="0"/>
            </w:tcBorders>
            <w:noWrap w:val="0"/>
            <w:vAlign w:val="center"/>
          </w:tcPr>
          <w:p>
            <w:pPr>
              <w:ind w:left="0" w:leftChars="0" w:right="0" w:rightChars="0" w:firstLine="0" w:firstLineChars="0"/>
              <w:jc w:val="center"/>
              <w:rPr>
                <w:rFonts w:hint="eastAsia" w:ascii="黑体" w:hAnsi="黑体" w:eastAsia="黑体" w:cs="黑体"/>
                <w:sz w:val="24"/>
                <w:lang w:eastAsia="zh-CN"/>
              </w:rPr>
            </w:pPr>
            <w:r>
              <w:rPr>
                <w:rFonts w:hint="eastAsia" w:ascii="黑体" w:hAnsi="黑体" w:eastAsia="黑体" w:cs="黑体"/>
                <w:sz w:val="24"/>
                <w:lang w:eastAsia="zh-CN"/>
              </w:rPr>
              <w:t>原地保存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3998" w:hRule="atLeast"/>
        </w:trPr>
        <w:tc>
          <w:tcPr>
            <w:tcW w:w="3566" w:type="dxa"/>
            <w:gridSpan w:val="2"/>
            <w:tcBorders>
              <w:top w:val="single" w:color="auto" w:sz="4" w:space="0"/>
              <w:left w:val="single" w:color="auto" w:sz="4" w:space="0"/>
              <w:bottom w:val="single" w:color="auto" w:sz="4" w:space="0"/>
              <w:right w:val="single" w:color="auto" w:sz="4" w:space="0"/>
            </w:tcBorders>
            <w:noWrap w:val="0"/>
            <w:vAlign w:val="top"/>
          </w:tcPr>
          <w:p>
            <w:pPr>
              <w:ind w:left="0" w:leftChars="0" w:right="0" w:rightChars="0" w:firstLine="0" w:firstLineChars="0"/>
              <w:jc w:val="center"/>
              <w:rPr>
                <w:rFonts w:hint="eastAsia" w:ascii="仿宋_GB2312" w:hAnsi="仿宋_GB2312" w:eastAsia="仿宋_GB2312" w:cs="仿宋_GB2312"/>
                <w:sz w:val="24"/>
              </w:rPr>
            </w:pPr>
            <w:r>
              <w:rPr>
                <w:rFonts w:hint="eastAsia" w:ascii="仿宋_GB2312" w:hAnsi="仿宋_GB2312" w:eastAsia="仿宋_GB2312" w:cs="仿宋_GB2312"/>
                <w:sz w:val="24"/>
                <w:lang w:eastAsia="zh-CN"/>
              </w:rPr>
              <w:t>收集保存单位</w:t>
            </w:r>
            <w:r>
              <w:rPr>
                <w:rFonts w:hint="eastAsia" w:ascii="仿宋_GB2312" w:hAnsi="仿宋_GB2312" w:eastAsia="仿宋_GB2312" w:cs="仿宋_GB2312"/>
                <w:sz w:val="24"/>
              </w:rPr>
              <w:t>意见</w:t>
            </w: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ind w:firstLine="6000" w:firstLineChars="2500"/>
              <w:rPr>
                <w:rFonts w:hint="eastAsia" w:ascii="仿宋_GB2312" w:hAnsi="仿宋_GB2312" w:eastAsia="仿宋_GB2312" w:cs="仿宋_GB2312"/>
                <w:sz w:val="24"/>
              </w:rPr>
            </w:pP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textAlignment w:val="auto"/>
              <w:outlineLvl w:val="9"/>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（公章</w:t>
            </w:r>
            <w:r>
              <w:rPr>
                <w:rFonts w:hint="eastAsia" w:ascii="仿宋_GB2312" w:hAnsi="仿宋_GB2312" w:eastAsia="仿宋_GB2312" w:cs="仿宋_GB2312"/>
                <w:sz w:val="24"/>
                <w:lang w:val="en-US" w:eastAsia="zh-CN"/>
              </w:rPr>
              <w:t>/签字</w:t>
            </w:r>
            <w:r>
              <w:rPr>
                <w:rFonts w:hint="eastAsia" w:ascii="仿宋_GB2312" w:hAnsi="仿宋_GB2312" w:eastAsia="仿宋_GB2312" w:cs="仿宋_GB2312"/>
                <w:sz w:val="24"/>
              </w:rPr>
              <w:t xml:space="preserve">） </w:t>
            </w: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left"/>
              <w:textAlignment w:val="auto"/>
              <w:outlineLvl w:val="9"/>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 xml:space="preserve"> </w:t>
            </w: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 xml:space="preserve">  年  月  日</w:t>
            </w:r>
          </w:p>
        </w:tc>
        <w:tc>
          <w:tcPr>
            <w:tcW w:w="2657" w:type="dxa"/>
            <w:gridSpan w:val="3"/>
            <w:tcBorders>
              <w:top w:val="single" w:color="auto" w:sz="4" w:space="0"/>
              <w:left w:val="single" w:color="auto" w:sz="4" w:space="0"/>
              <w:bottom w:val="single" w:color="auto" w:sz="4" w:space="0"/>
              <w:right w:val="single" w:color="auto" w:sz="4" w:space="0"/>
            </w:tcBorders>
            <w:noWrap w:val="0"/>
            <w:vAlign w:val="top"/>
          </w:tcPr>
          <w:p>
            <w:pPr>
              <w:ind w:left="0" w:leftChars="0" w:right="0" w:rightChars="0" w:firstLine="0" w:firstLineChars="0"/>
              <w:jc w:val="center"/>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林权所有人意见</w:t>
            </w:r>
          </w:p>
          <w:p>
            <w:pPr>
              <w:jc w:val="left"/>
              <w:rPr>
                <w:rFonts w:hint="eastAsia" w:ascii="仿宋_GB2312" w:hAnsi="仿宋_GB2312" w:eastAsia="仿宋_GB2312" w:cs="仿宋_GB2312"/>
                <w:sz w:val="24"/>
                <w:lang w:eastAsia="zh-CN"/>
              </w:rPr>
            </w:pPr>
          </w:p>
          <w:p>
            <w:pPr>
              <w:jc w:val="left"/>
              <w:rPr>
                <w:rFonts w:hint="eastAsia" w:ascii="仿宋_GB2312" w:hAnsi="仿宋_GB2312" w:eastAsia="仿宋_GB2312" w:cs="仿宋_GB2312"/>
                <w:sz w:val="24"/>
                <w:lang w:eastAsia="zh-CN"/>
              </w:rPr>
            </w:pPr>
          </w:p>
          <w:p>
            <w:pPr>
              <w:jc w:val="left"/>
              <w:rPr>
                <w:rFonts w:hint="eastAsia" w:ascii="仿宋_GB2312" w:hAnsi="仿宋_GB2312" w:eastAsia="仿宋_GB2312" w:cs="仿宋_GB2312"/>
                <w:sz w:val="24"/>
                <w:lang w:eastAsia="zh-CN"/>
              </w:rPr>
            </w:pPr>
          </w:p>
          <w:p>
            <w:pPr>
              <w:jc w:val="left"/>
              <w:rPr>
                <w:rFonts w:hint="eastAsia" w:ascii="仿宋_GB2312" w:hAnsi="仿宋_GB2312" w:eastAsia="仿宋_GB2312" w:cs="仿宋_GB2312"/>
                <w:sz w:val="24"/>
                <w:lang w:eastAsia="zh-CN"/>
              </w:rPr>
            </w:pPr>
          </w:p>
          <w:p>
            <w:pPr>
              <w:jc w:val="left"/>
              <w:rPr>
                <w:rFonts w:hint="eastAsia" w:ascii="仿宋_GB2312" w:hAnsi="仿宋_GB2312" w:eastAsia="仿宋_GB2312" w:cs="仿宋_GB2312"/>
                <w:sz w:val="24"/>
                <w:lang w:eastAsia="zh-CN"/>
              </w:rPr>
            </w:pPr>
          </w:p>
          <w:p>
            <w:pPr>
              <w:jc w:val="left"/>
              <w:rPr>
                <w:rFonts w:hint="eastAsia" w:ascii="仿宋_GB2312" w:hAnsi="仿宋_GB2312" w:eastAsia="仿宋_GB2312" w:cs="仿宋_GB2312"/>
                <w:sz w:val="24"/>
                <w:lang w:eastAsia="zh-CN"/>
              </w:rPr>
            </w:pPr>
          </w:p>
          <w:p>
            <w:pPr>
              <w:jc w:val="left"/>
              <w:rPr>
                <w:rFonts w:hint="eastAsia" w:ascii="仿宋_GB2312" w:hAnsi="仿宋_GB2312" w:eastAsia="仿宋_GB2312" w:cs="仿宋_GB2312"/>
                <w:sz w:val="24"/>
                <w:lang w:eastAsia="zh-CN"/>
              </w:rPr>
            </w:pPr>
          </w:p>
          <w:p>
            <w:pPr>
              <w:jc w:val="left"/>
              <w:rPr>
                <w:rFonts w:hint="eastAsia" w:ascii="仿宋_GB2312" w:hAnsi="仿宋_GB2312" w:eastAsia="仿宋_GB2312" w:cs="仿宋_GB2312"/>
                <w:sz w:val="24"/>
                <w:lang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textAlignment w:val="auto"/>
              <w:outlineLvl w:val="9"/>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w:t>
            </w:r>
            <w:r>
              <w:rPr>
                <w:rFonts w:hint="eastAsia" w:ascii="仿宋_GB2312" w:hAnsi="仿宋_GB2312" w:eastAsia="仿宋_GB2312" w:cs="仿宋_GB2312"/>
                <w:sz w:val="24"/>
                <w:lang w:val="en-US" w:eastAsia="zh-CN"/>
              </w:rPr>
              <w:t>签字</w:t>
            </w:r>
            <w:r>
              <w:rPr>
                <w:rFonts w:hint="eastAsia" w:ascii="仿宋_GB2312" w:hAnsi="仿宋_GB2312" w:eastAsia="仿宋_GB2312" w:cs="仿宋_GB2312"/>
                <w:sz w:val="24"/>
              </w:rPr>
              <w:t xml:space="preserve">） </w:t>
            </w:r>
          </w:p>
          <w:p>
            <w:pPr>
              <w:jc w:val="lef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 </w:t>
            </w: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 xml:space="preserve">    年  月  日</w:t>
            </w:r>
          </w:p>
        </w:tc>
        <w:tc>
          <w:tcPr>
            <w:tcW w:w="2735" w:type="dxa"/>
            <w:tcBorders>
              <w:top w:val="single" w:color="auto" w:sz="4" w:space="0"/>
              <w:left w:val="single" w:color="auto" w:sz="4" w:space="0"/>
              <w:bottom w:val="single" w:color="auto" w:sz="4" w:space="0"/>
              <w:right w:val="single" w:color="auto" w:sz="4" w:space="0"/>
            </w:tcBorders>
            <w:noWrap w:val="0"/>
            <w:vAlign w:val="top"/>
          </w:tcPr>
          <w:p>
            <w:pPr>
              <w:ind w:left="0" w:leftChars="0" w:right="0" w:rightChars="0" w:firstLine="0" w:firstLineChars="0"/>
              <w:jc w:val="center"/>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管护单位或管护人员意见</w:t>
            </w:r>
          </w:p>
          <w:p>
            <w:pPr>
              <w:jc w:val="left"/>
              <w:rPr>
                <w:rFonts w:hint="eastAsia" w:ascii="仿宋_GB2312" w:hAnsi="仿宋_GB2312" w:eastAsia="仿宋_GB2312" w:cs="仿宋_GB2312"/>
                <w:sz w:val="24"/>
                <w:lang w:eastAsia="zh-CN"/>
              </w:rPr>
            </w:pPr>
          </w:p>
          <w:p>
            <w:pPr>
              <w:jc w:val="left"/>
              <w:rPr>
                <w:rFonts w:hint="eastAsia" w:ascii="仿宋_GB2312" w:hAnsi="仿宋_GB2312" w:eastAsia="仿宋_GB2312" w:cs="仿宋_GB2312"/>
                <w:sz w:val="24"/>
                <w:lang w:eastAsia="zh-CN"/>
              </w:rPr>
            </w:pPr>
          </w:p>
          <w:p>
            <w:pPr>
              <w:jc w:val="left"/>
              <w:rPr>
                <w:rFonts w:hint="eastAsia" w:ascii="仿宋_GB2312" w:hAnsi="仿宋_GB2312" w:eastAsia="仿宋_GB2312" w:cs="仿宋_GB2312"/>
                <w:sz w:val="24"/>
                <w:lang w:eastAsia="zh-CN"/>
              </w:rPr>
            </w:pPr>
          </w:p>
          <w:p>
            <w:pPr>
              <w:jc w:val="left"/>
              <w:rPr>
                <w:rFonts w:hint="eastAsia" w:ascii="仿宋_GB2312" w:hAnsi="仿宋_GB2312" w:eastAsia="仿宋_GB2312" w:cs="仿宋_GB2312"/>
                <w:sz w:val="24"/>
                <w:lang w:eastAsia="zh-CN"/>
              </w:rPr>
            </w:pPr>
          </w:p>
          <w:p>
            <w:pPr>
              <w:jc w:val="left"/>
              <w:rPr>
                <w:rFonts w:hint="eastAsia" w:ascii="仿宋_GB2312" w:hAnsi="仿宋_GB2312" w:eastAsia="仿宋_GB2312" w:cs="仿宋_GB2312"/>
                <w:sz w:val="24"/>
                <w:lang w:eastAsia="zh-CN"/>
              </w:rPr>
            </w:pPr>
          </w:p>
          <w:p>
            <w:pPr>
              <w:jc w:val="left"/>
              <w:rPr>
                <w:rFonts w:hint="eastAsia" w:ascii="仿宋_GB2312" w:hAnsi="仿宋_GB2312" w:eastAsia="仿宋_GB2312" w:cs="仿宋_GB2312"/>
                <w:sz w:val="24"/>
                <w:lang w:eastAsia="zh-CN"/>
              </w:rPr>
            </w:pPr>
          </w:p>
          <w:p>
            <w:pPr>
              <w:jc w:val="left"/>
              <w:rPr>
                <w:rFonts w:hint="eastAsia" w:ascii="仿宋_GB2312" w:hAnsi="仿宋_GB2312" w:eastAsia="仿宋_GB2312" w:cs="仿宋_GB2312"/>
                <w:sz w:val="24"/>
                <w:lang w:eastAsia="zh-CN"/>
              </w:rPr>
            </w:pPr>
          </w:p>
          <w:p>
            <w:pPr>
              <w:jc w:val="left"/>
              <w:rPr>
                <w:rFonts w:hint="eastAsia" w:ascii="仿宋_GB2312" w:hAnsi="仿宋_GB2312" w:eastAsia="仿宋_GB2312" w:cs="仿宋_GB2312"/>
                <w:sz w:val="24"/>
                <w:lang w:eastAsia="zh-CN"/>
              </w:rPr>
            </w:pPr>
          </w:p>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textAlignment w:val="auto"/>
              <w:outlineLvl w:val="9"/>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（公章</w:t>
            </w:r>
            <w:r>
              <w:rPr>
                <w:rFonts w:hint="eastAsia" w:ascii="仿宋_GB2312" w:hAnsi="仿宋_GB2312" w:eastAsia="仿宋_GB2312" w:cs="仿宋_GB2312"/>
                <w:sz w:val="24"/>
                <w:lang w:val="en-US" w:eastAsia="zh-CN"/>
              </w:rPr>
              <w:t>/签字</w:t>
            </w:r>
            <w:r>
              <w:rPr>
                <w:rFonts w:hint="eastAsia" w:ascii="仿宋_GB2312" w:hAnsi="仿宋_GB2312" w:eastAsia="仿宋_GB2312" w:cs="仿宋_GB2312"/>
                <w:sz w:val="24"/>
              </w:rPr>
              <w:t xml:space="preserve">） </w:t>
            </w:r>
          </w:p>
          <w:p>
            <w:pPr>
              <w:jc w:val="left"/>
              <w:rPr>
                <w:rFonts w:hint="eastAsia" w:ascii="仿宋_GB2312" w:hAnsi="仿宋_GB2312" w:eastAsia="仿宋_GB2312" w:cs="仿宋_GB2312"/>
                <w:sz w:val="24"/>
                <w:lang w:eastAsia="zh-CN"/>
              </w:rPr>
            </w:pPr>
            <w:r>
              <w:rPr>
                <w:rFonts w:hint="eastAsia" w:ascii="仿宋_GB2312" w:hAnsi="仿宋_GB2312" w:eastAsia="仿宋_GB2312" w:cs="仿宋_GB2312"/>
                <w:sz w:val="24"/>
              </w:rPr>
              <w:t xml:space="preserve"> </w:t>
            </w: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726" w:hRule="atLeast"/>
        </w:trPr>
        <w:tc>
          <w:tcPr>
            <w:tcW w:w="8958" w:type="dxa"/>
            <w:gridSpan w:val="6"/>
            <w:tcBorders>
              <w:top w:val="single" w:color="auto" w:sz="4" w:space="0"/>
              <w:left w:val="single" w:color="auto" w:sz="4" w:space="0"/>
              <w:bottom w:val="single" w:color="auto" w:sz="4" w:space="0"/>
              <w:right w:val="single" w:color="auto" w:sz="4" w:space="0"/>
            </w:tcBorders>
            <w:noWrap w:val="0"/>
            <w:vAlign w:val="top"/>
          </w:tcPr>
          <w:p>
            <w:pPr>
              <w:spacing w:before="156" w:beforeLines="50"/>
              <w:rPr>
                <w:rFonts w:hint="eastAsia" w:ascii="仿宋_GB2312" w:hAnsi="仿宋_GB2312" w:eastAsia="仿宋_GB2312" w:cs="仿宋_GB2312"/>
                <w:sz w:val="24"/>
              </w:rPr>
            </w:pPr>
            <w:r>
              <w:rPr>
                <w:rFonts w:hint="eastAsia" w:ascii="黑体" w:hAnsi="黑体" w:eastAsia="黑体" w:cs="黑体"/>
                <w:sz w:val="24"/>
              </w:rPr>
              <w:t>县级林业主管部门</w:t>
            </w:r>
            <w:r>
              <w:rPr>
                <w:rFonts w:hint="eastAsia" w:ascii="黑体" w:hAnsi="黑体" w:eastAsia="黑体" w:cs="黑体"/>
                <w:sz w:val="24"/>
                <w:lang w:eastAsia="zh-CN"/>
              </w:rPr>
              <w:t>推荐</w:t>
            </w:r>
            <w:r>
              <w:rPr>
                <w:rFonts w:hint="eastAsia" w:ascii="黑体" w:hAnsi="黑体" w:eastAsia="黑体" w:cs="黑体"/>
                <w:sz w:val="24"/>
              </w:rPr>
              <w:t>意见</w:t>
            </w: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r>
              <w:rPr>
                <w:rFonts w:hint="eastAsia" w:ascii="仿宋_GB2312" w:hAnsi="仿宋_GB2312" w:eastAsia="仿宋_GB2312" w:cs="仿宋_GB2312"/>
                <w:sz w:val="24"/>
              </w:rPr>
              <w:t xml:space="preserve">                                                       </w:t>
            </w: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ind w:firstLine="6720" w:firstLineChars="2800"/>
              <w:rPr>
                <w:rFonts w:hint="eastAsia" w:ascii="仿宋_GB2312" w:hAnsi="仿宋_GB2312" w:eastAsia="仿宋_GB2312" w:cs="仿宋_GB2312"/>
                <w:sz w:val="24"/>
              </w:rPr>
            </w:pPr>
            <w:r>
              <w:rPr>
                <w:rFonts w:hint="eastAsia" w:ascii="仿宋_GB2312" w:hAnsi="仿宋_GB2312" w:eastAsia="仿宋_GB2312" w:cs="仿宋_GB2312"/>
                <w:sz w:val="24"/>
              </w:rPr>
              <w:t xml:space="preserve"> （公章）</w:t>
            </w:r>
          </w:p>
          <w:p>
            <w:pPr>
              <w:rPr>
                <w:rFonts w:hint="eastAsia" w:ascii="仿宋_GB2312" w:hAnsi="仿宋_GB2312" w:eastAsia="仿宋_GB2312" w:cs="仿宋_GB2312"/>
                <w:sz w:val="24"/>
              </w:rPr>
            </w:pPr>
          </w:p>
          <w:p>
            <w:pPr>
              <w:rPr>
                <w:rFonts w:hint="eastAsia" w:ascii="仿宋_GB2312" w:hAnsi="仿宋_GB2312" w:eastAsia="仿宋_GB2312" w:cs="仿宋_GB2312"/>
                <w:sz w:val="24"/>
                <w:u w:val="single"/>
              </w:rPr>
            </w:pPr>
            <w:r>
              <w:rPr>
                <w:rFonts w:hint="eastAsia" w:ascii="仿宋_GB2312" w:hAnsi="仿宋_GB2312" w:eastAsia="仿宋_GB2312" w:cs="仿宋_GB2312"/>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410" w:hRule="atLeast"/>
        </w:trPr>
        <w:tc>
          <w:tcPr>
            <w:tcW w:w="8958" w:type="dxa"/>
            <w:gridSpan w:val="6"/>
            <w:tcBorders>
              <w:top w:val="single" w:color="auto" w:sz="4" w:space="0"/>
              <w:left w:val="single" w:color="auto" w:sz="4" w:space="0"/>
              <w:bottom w:val="single" w:color="auto" w:sz="4" w:space="0"/>
              <w:right w:val="single" w:color="auto" w:sz="4" w:space="0"/>
            </w:tcBorders>
            <w:noWrap w:val="0"/>
            <w:vAlign w:val="top"/>
          </w:tcPr>
          <w:p>
            <w:pPr>
              <w:spacing w:before="156" w:beforeLines="50"/>
              <w:rPr>
                <w:rFonts w:hint="eastAsia" w:ascii="仿宋_GB2312" w:hAnsi="仿宋_GB2312" w:eastAsia="仿宋_GB2312" w:cs="仿宋_GB2312"/>
                <w:b/>
                <w:sz w:val="24"/>
              </w:rPr>
            </w:pPr>
            <w:r>
              <w:rPr>
                <w:rFonts w:hint="eastAsia" w:ascii="仿宋_GB2312" w:hAnsi="仿宋_GB2312" w:eastAsia="仿宋_GB2312" w:cs="仿宋_GB2312"/>
                <w:b/>
                <w:sz w:val="24"/>
                <w:lang w:eastAsia="zh-CN"/>
              </w:rPr>
              <w:t>推荐</w:t>
            </w:r>
            <w:r>
              <w:rPr>
                <w:rFonts w:hint="eastAsia" w:ascii="仿宋_GB2312" w:hAnsi="仿宋_GB2312" w:eastAsia="仿宋_GB2312" w:cs="仿宋_GB2312"/>
                <w:b/>
                <w:sz w:val="24"/>
              </w:rPr>
              <w:t>材料真实性声明：</w:t>
            </w:r>
          </w:p>
          <w:p>
            <w:pPr>
              <w:keepNext w:val="0"/>
              <w:keepLines w:val="0"/>
              <w:pageBreakBefore w:val="0"/>
              <w:widowControl w:val="0"/>
              <w:kinsoku/>
              <w:wordWrap/>
              <w:overflowPunct/>
              <w:topLinePunct w:val="0"/>
              <w:autoSpaceDE/>
              <w:autoSpaceDN/>
              <w:bidi w:val="0"/>
              <w:adjustRightInd/>
              <w:snapToGrid/>
              <w:spacing w:before="156" w:beforeLines="50" w:after="0" w:afterLines="0" w:line="560" w:lineRule="exact"/>
              <w:ind w:left="0" w:leftChars="0" w:right="0" w:rightChars="0" w:firstLine="480" w:firstLineChars="200"/>
              <w:jc w:val="both"/>
              <w:textAlignment w:val="auto"/>
              <w:outlineLvl w:val="9"/>
              <w:rPr>
                <w:rFonts w:hint="eastAsia" w:ascii="仿宋_GB2312" w:hAnsi="仿宋_GB2312" w:eastAsia="仿宋_GB2312" w:cs="仿宋_GB2312"/>
                <w:sz w:val="24"/>
              </w:rPr>
            </w:pPr>
            <w:r>
              <w:rPr>
                <w:rFonts w:hint="eastAsia" w:ascii="仿宋_GB2312" w:hAnsi="仿宋_GB2312" w:eastAsia="仿宋_GB2312" w:cs="仿宋_GB2312"/>
                <w:sz w:val="24"/>
              </w:rPr>
              <w:t>本次</w:t>
            </w:r>
            <w:r>
              <w:rPr>
                <w:rFonts w:hint="eastAsia" w:ascii="仿宋_GB2312" w:hAnsi="仿宋_GB2312" w:eastAsia="仿宋_GB2312" w:cs="仿宋_GB2312"/>
                <w:sz w:val="24"/>
                <w:lang w:eastAsia="zh-CN"/>
              </w:rPr>
              <w:t>提交</w:t>
            </w:r>
            <w:r>
              <w:rPr>
                <w:rFonts w:hint="eastAsia" w:ascii="仿宋_GB2312" w:hAnsi="仿宋_GB2312" w:eastAsia="仿宋_GB2312" w:cs="仿宋_GB2312"/>
                <w:sz w:val="24"/>
              </w:rPr>
              <w:t>的相关资料、证明文件及附件均具有真实性、完整性、准确性，并承担因资料虚假而产生的相关责任。</w:t>
            </w:r>
          </w:p>
          <w:p>
            <w:pPr>
              <w:spacing w:before="156" w:beforeLines="50"/>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spacing w:after="156" w:afterLines="50"/>
              <w:ind w:firstLine="4620" w:firstLineChars="1925"/>
              <w:rPr>
                <w:rFonts w:hint="eastAsia" w:ascii="仿宋_GB2312" w:hAnsi="仿宋_GB2312" w:eastAsia="仿宋_GB2312" w:cs="仿宋_GB2312"/>
                <w:sz w:val="24"/>
              </w:rPr>
            </w:pPr>
          </w:p>
          <w:p>
            <w:pPr>
              <w:spacing w:after="156" w:afterLines="50"/>
              <w:ind w:firstLine="2318" w:firstLineChars="966"/>
              <w:rPr>
                <w:rFonts w:hint="eastAsia" w:ascii="仿宋_GB2312" w:hAnsi="仿宋_GB2312" w:eastAsia="仿宋_GB2312" w:cs="仿宋_GB2312"/>
                <w:sz w:val="24"/>
                <w:lang w:val="en-US" w:eastAsia="zh-CN"/>
              </w:rPr>
            </w:pPr>
            <w:r>
              <w:rPr>
                <w:rFonts w:hint="eastAsia" w:ascii="仿宋_GB2312" w:hAnsi="仿宋_GB2312" w:eastAsia="仿宋_GB2312" w:cs="仿宋_GB2312"/>
                <w:b w:val="0"/>
                <w:bCs/>
                <w:sz w:val="24"/>
                <w:lang w:val="en-US" w:eastAsia="zh-CN"/>
              </w:rPr>
              <w:t xml:space="preserve">   </w:t>
            </w:r>
            <w:r>
              <w:rPr>
                <w:rFonts w:hint="eastAsia" w:ascii="仿宋_GB2312" w:hAnsi="仿宋_GB2312" w:eastAsia="仿宋_GB2312" w:cs="仿宋_GB2312"/>
                <w:b w:val="0"/>
                <w:bCs/>
                <w:sz w:val="24"/>
              </w:rPr>
              <w:t>种质资源</w:t>
            </w:r>
            <w:r>
              <w:rPr>
                <w:rFonts w:hint="eastAsia" w:ascii="仿宋_GB2312" w:hAnsi="仿宋_GB2312" w:eastAsia="仿宋_GB2312" w:cs="仿宋_GB2312"/>
                <w:b w:val="0"/>
                <w:bCs/>
                <w:sz w:val="24"/>
                <w:lang w:eastAsia="zh-CN"/>
              </w:rPr>
              <w:t>库申报</w:t>
            </w:r>
            <w:r>
              <w:rPr>
                <w:rFonts w:hint="eastAsia" w:ascii="仿宋_GB2312" w:hAnsi="仿宋_GB2312" w:eastAsia="仿宋_GB2312" w:cs="仿宋_GB2312"/>
                <w:b w:val="0"/>
                <w:bCs/>
                <w:sz w:val="24"/>
              </w:rPr>
              <w:t>单位</w:t>
            </w:r>
            <w:r>
              <w:rPr>
                <w:rFonts w:hint="eastAsia" w:ascii="仿宋_GB2312" w:hAnsi="仿宋_GB2312" w:eastAsia="仿宋_GB2312" w:cs="仿宋_GB2312"/>
                <w:b w:val="0"/>
                <w:bCs/>
                <w:sz w:val="24"/>
                <w:lang w:eastAsia="zh-CN"/>
              </w:rPr>
              <w:t>或管护单位</w:t>
            </w:r>
            <w:r>
              <w:rPr>
                <w:rFonts w:hint="eastAsia" w:ascii="仿宋_GB2312" w:hAnsi="仿宋_GB2312" w:eastAsia="仿宋_GB2312" w:cs="仿宋_GB2312"/>
                <w:sz w:val="24"/>
              </w:rPr>
              <w:t>（公章）</w:t>
            </w:r>
          </w:p>
          <w:p>
            <w:pPr>
              <w:spacing w:after="156" w:afterLines="50"/>
              <w:ind w:firstLine="3360" w:firstLineChars="1400"/>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 xml:space="preserve">         经办人签字：</w:t>
            </w:r>
          </w:p>
          <w:p>
            <w:pPr>
              <w:spacing w:before="0" w:beforeLines="0" w:beforeAutospacing="0"/>
              <w:ind w:firstLine="6480" w:firstLineChars="2700"/>
              <w:rPr>
                <w:rFonts w:hint="eastAsia" w:ascii="仿宋_GB2312" w:hAnsi="仿宋_GB2312" w:eastAsia="仿宋_GB2312" w:cs="仿宋_GB2312"/>
                <w:sz w:val="24"/>
              </w:rPr>
            </w:pPr>
            <w:r>
              <w:rPr>
                <w:rFonts w:hint="eastAsia" w:ascii="仿宋_GB2312" w:hAnsi="仿宋_GB2312" w:eastAsia="仿宋_GB2312" w:cs="仿宋_GB2312"/>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255" w:hRule="atLeast"/>
        </w:trPr>
        <w:tc>
          <w:tcPr>
            <w:tcW w:w="8958" w:type="dxa"/>
            <w:gridSpan w:val="6"/>
            <w:tcBorders>
              <w:top w:val="single" w:color="auto" w:sz="4" w:space="0"/>
              <w:left w:val="single" w:color="auto" w:sz="4" w:space="0"/>
              <w:bottom w:val="single" w:color="auto" w:sz="4" w:space="0"/>
              <w:right w:val="single" w:color="auto" w:sz="4" w:space="0"/>
            </w:tcBorders>
            <w:noWrap w:val="0"/>
            <w:vAlign w:val="top"/>
          </w:tcPr>
          <w:p>
            <w:pPr>
              <w:spacing w:before="156" w:beforeLines="50"/>
              <w:rPr>
                <w:rFonts w:hint="eastAsia" w:ascii="仿宋_GB2312" w:hAnsi="仿宋_GB2312" w:eastAsia="仿宋_GB2312" w:cs="仿宋_GB2312"/>
                <w:sz w:val="24"/>
              </w:rPr>
            </w:pPr>
            <w:r>
              <w:rPr>
                <w:rFonts w:hint="eastAsia" w:ascii="黑体" w:hAnsi="黑体" w:eastAsia="黑体" w:cs="黑体"/>
                <w:sz w:val="24"/>
                <w:lang w:eastAsia="zh-CN"/>
              </w:rPr>
              <w:t>市（州）</w:t>
            </w:r>
            <w:r>
              <w:rPr>
                <w:rFonts w:hint="eastAsia" w:ascii="黑体" w:hAnsi="黑体" w:eastAsia="黑体" w:cs="黑体"/>
                <w:sz w:val="24"/>
              </w:rPr>
              <w:t>林业主管部门</w:t>
            </w:r>
            <w:r>
              <w:rPr>
                <w:rFonts w:hint="eastAsia" w:ascii="黑体" w:hAnsi="黑体" w:eastAsia="黑体" w:cs="黑体"/>
                <w:sz w:val="24"/>
                <w:lang w:eastAsia="zh-CN"/>
              </w:rPr>
              <w:t>复核</w:t>
            </w:r>
            <w:r>
              <w:rPr>
                <w:rFonts w:hint="eastAsia" w:ascii="黑体" w:hAnsi="黑体" w:eastAsia="黑体" w:cs="黑体"/>
                <w:sz w:val="24"/>
              </w:rPr>
              <w:t>意见</w:t>
            </w: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p>
          <w:p>
            <w:pPr>
              <w:rPr>
                <w:rFonts w:hint="eastAsia" w:ascii="仿宋_GB2312" w:hAnsi="仿宋_GB2312" w:eastAsia="仿宋_GB2312" w:cs="仿宋_GB2312"/>
                <w:sz w:val="24"/>
              </w:rPr>
            </w:pPr>
            <w:r>
              <w:rPr>
                <w:rFonts w:hint="eastAsia" w:ascii="仿宋_GB2312" w:hAnsi="仿宋_GB2312" w:eastAsia="仿宋_GB2312" w:cs="仿宋_GB2312"/>
                <w:sz w:val="24"/>
              </w:rPr>
              <w:t xml:space="preserve">                                                        （公章）</w:t>
            </w:r>
          </w:p>
          <w:p>
            <w:pPr>
              <w:rPr>
                <w:rFonts w:hint="eastAsia" w:ascii="仿宋_GB2312" w:hAnsi="仿宋_GB2312" w:eastAsia="仿宋_GB2312" w:cs="仿宋_GB2312"/>
                <w:sz w:val="24"/>
              </w:rPr>
            </w:pPr>
          </w:p>
          <w:p>
            <w:pPr>
              <w:spacing w:before="0" w:beforeLines="0" w:beforeAutospacing="0"/>
              <w:ind w:firstLine="6480" w:firstLineChars="2700"/>
              <w:rPr>
                <w:rFonts w:hint="eastAsia" w:ascii="仿宋_GB2312" w:hAnsi="仿宋_GB2312" w:eastAsia="仿宋_GB2312" w:cs="仿宋_GB2312"/>
                <w:sz w:val="24"/>
              </w:rPr>
            </w:pPr>
            <w:r>
              <w:rPr>
                <w:rFonts w:hint="eastAsia" w:ascii="仿宋_GB2312" w:hAnsi="仿宋_GB2312" w:eastAsia="仿宋_GB2312" w:cs="仿宋_GB2312"/>
                <w:sz w:val="24"/>
              </w:rPr>
              <w:t xml:space="preserve">    年  月  日</w:t>
            </w:r>
          </w:p>
        </w:tc>
      </w:tr>
    </w:tbl>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40" w:lineRule="exact"/>
        <w:ind w:left="0" w:leftChars="0" w:right="0" w:rightChars="0" w:firstLine="640" w:firstLineChars="0"/>
        <w:jc w:val="both"/>
        <w:textAlignment w:val="auto"/>
        <w:outlineLvl w:val="9"/>
        <w:rPr>
          <w:rFonts w:hint="eastAsia" w:ascii="仿宋_GB2312" w:hAnsi="仿宋_GB2312" w:eastAsia="仿宋_GB2312" w:cs="仿宋_GB2312"/>
          <w:color w:val="auto"/>
          <w:sz w:val="32"/>
          <w:szCs w:val="32"/>
          <w:lang w:eastAsia="zh-CN"/>
        </w:rPr>
      </w:pPr>
    </w:p>
    <w:sectPr>
      <w:headerReference r:id="rId3" w:type="default"/>
      <w:footerReference r:id="rId4" w:type="default"/>
      <w:pgSz w:w="11906" w:h="16838"/>
      <w:pgMar w:top="1440" w:right="1606" w:bottom="1440" w:left="152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40B55CC-DA45-4081-AF5E-74A87C7DAD3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2" w:fontKey="{220E50A0-99C0-412E-B7AD-DAC186731004}"/>
  </w:font>
  <w:font w:name="Monaco">
    <w:altName w:val="Segoe Print"/>
    <w:panose1 w:val="00000000000000000000"/>
    <w:charset w:val="00"/>
    <w:family w:val="auto"/>
    <w:pitch w:val="default"/>
    <w:sig w:usb0="00000000" w:usb1="00000000" w:usb2="00000000" w:usb3="00000000" w:csb0="00040001" w:csb1="00000000"/>
  </w:font>
  <w:font w:name="方正小标宋简体">
    <w:panose1 w:val="02010601030101010101"/>
    <w:charset w:val="86"/>
    <w:family w:val="auto"/>
    <w:pitch w:val="default"/>
    <w:sig w:usb0="00000001" w:usb1="080E0000" w:usb2="00000000" w:usb3="00000000" w:csb0="00040000" w:csb1="00000000"/>
    <w:embedRegular r:id="rId3" w:fontKey="{5B8F4CFD-0246-4AE1-8DA0-908E800FF630}"/>
  </w:font>
  <w:font w:name="方正仿宋_GBK">
    <w:panose1 w:val="03000509000000000000"/>
    <w:charset w:val="86"/>
    <w:family w:val="script"/>
    <w:pitch w:val="default"/>
    <w:sig w:usb0="00000001" w:usb1="080E0000" w:usb2="00000000" w:usb3="00000000" w:csb0="00040000" w:csb1="00000000"/>
    <w:embedRegular r:id="rId4" w:fontKey="{CA3CFC90-4F73-4889-AED4-BD017B52104A}"/>
  </w:font>
  <w:font w:name="方正仿宋简体">
    <w:panose1 w:val="03000509000000000000"/>
    <w:charset w:val="86"/>
    <w:family w:val="script"/>
    <w:pitch w:val="default"/>
    <w:sig w:usb0="00000001" w:usb1="080E0000" w:usb2="00000000" w:usb3="00000000" w:csb0="00040000" w:csb1="00000000"/>
    <w:embedRegular r:id="rId5" w:fontKey="{522454FF-2786-4689-866E-BDD2080466F3}"/>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w:t>
                          </w:r>
                          <w:r>
                            <w:rPr>
                              <w:rFonts w:hint="eastAsia"/>
                              <w:sz w:val="18"/>
                              <w:lang w:eastAsia="zh-CN"/>
                            </w:rPr>
                            <w:fldChar w:fldCharType="end"/>
                          </w:r>
                        </w:p>
                      </w:txbxContent>
                    </wps:txbx>
                    <wps:bodyPr vert="horz"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JhB&#10;ZF22AQAAVwMAAA4AAAAAAAAAAQAgAAAAHgEAAGRycy9lMm9Eb2MueG1sUEsFBgAAAAAGAAYAWQEA&#10;AEYFA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AB7961"/>
    <w:multiLevelType w:val="singleLevel"/>
    <w:tmpl w:val="F3AB7961"/>
    <w:lvl w:ilvl="0" w:tentative="0">
      <w:start w:val="12"/>
      <w:numFmt w:val="chineseCounting"/>
      <w:suff w:val="nothing"/>
      <w:lvlText w:val="第%1条　"/>
      <w:lvlJc w:val="left"/>
      <w:rPr>
        <w:rFonts w:hint="eastAsia" w:ascii="黑体" w:hAnsi="黑体" w:eastAsia="黑体" w:cs="黑体"/>
      </w:rPr>
    </w:lvl>
  </w:abstractNum>
  <w:abstractNum w:abstractNumId="1">
    <w:nsid w:val="6EF581AD"/>
    <w:multiLevelType w:val="singleLevel"/>
    <w:tmpl w:val="6EF581AD"/>
    <w:lvl w:ilvl="0" w:tentative="0">
      <w:start w:val="5"/>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A437D3"/>
    <w:rsid w:val="02BC42B3"/>
    <w:rsid w:val="072061EE"/>
    <w:rsid w:val="07BF4821"/>
    <w:rsid w:val="086B4D7A"/>
    <w:rsid w:val="0A5E51A8"/>
    <w:rsid w:val="0CD50F9C"/>
    <w:rsid w:val="0DA52787"/>
    <w:rsid w:val="100D48FD"/>
    <w:rsid w:val="10C2298C"/>
    <w:rsid w:val="147E7422"/>
    <w:rsid w:val="16005D04"/>
    <w:rsid w:val="16D451C7"/>
    <w:rsid w:val="19DC3AAE"/>
    <w:rsid w:val="1B0F622D"/>
    <w:rsid w:val="1B7E3DBB"/>
    <w:rsid w:val="22A77C4D"/>
    <w:rsid w:val="22D86A09"/>
    <w:rsid w:val="23386ADD"/>
    <w:rsid w:val="25F62749"/>
    <w:rsid w:val="26980989"/>
    <w:rsid w:val="27C070A1"/>
    <w:rsid w:val="294D7F8F"/>
    <w:rsid w:val="295464C2"/>
    <w:rsid w:val="29A94291"/>
    <w:rsid w:val="2BA51A7A"/>
    <w:rsid w:val="2E8F13E7"/>
    <w:rsid w:val="32A25D21"/>
    <w:rsid w:val="333609F5"/>
    <w:rsid w:val="351C7E28"/>
    <w:rsid w:val="35517238"/>
    <w:rsid w:val="37774D6F"/>
    <w:rsid w:val="38011EAE"/>
    <w:rsid w:val="3E256E53"/>
    <w:rsid w:val="42B8752D"/>
    <w:rsid w:val="42D60AD4"/>
    <w:rsid w:val="431B46DD"/>
    <w:rsid w:val="479318C7"/>
    <w:rsid w:val="479733DA"/>
    <w:rsid w:val="493A4AAE"/>
    <w:rsid w:val="4C3F65D0"/>
    <w:rsid w:val="4FF855B4"/>
    <w:rsid w:val="507433FE"/>
    <w:rsid w:val="519D7948"/>
    <w:rsid w:val="52C44581"/>
    <w:rsid w:val="558B2CC4"/>
    <w:rsid w:val="55F214E6"/>
    <w:rsid w:val="572A5116"/>
    <w:rsid w:val="596F362B"/>
    <w:rsid w:val="5AA31307"/>
    <w:rsid w:val="5E8819C0"/>
    <w:rsid w:val="5FF92B75"/>
    <w:rsid w:val="609D4E6C"/>
    <w:rsid w:val="60D46992"/>
    <w:rsid w:val="640F5712"/>
    <w:rsid w:val="66A614F0"/>
    <w:rsid w:val="66BB3C00"/>
    <w:rsid w:val="66CE3047"/>
    <w:rsid w:val="677B1DC1"/>
    <w:rsid w:val="69872FA0"/>
    <w:rsid w:val="6AD31D7D"/>
    <w:rsid w:val="6AED19D9"/>
    <w:rsid w:val="6CB75A94"/>
    <w:rsid w:val="7080794D"/>
    <w:rsid w:val="70CF0443"/>
    <w:rsid w:val="741144D9"/>
    <w:rsid w:val="77EB104B"/>
    <w:rsid w:val="7AAB2E9A"/>
    <w:rsid w:val="7E1253D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0" w:semiHidden="0"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0"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semiHidden="0" w:name="HTML Code"/>
    <w:lsdException w:uiPriority="99" w:name="HTML Definition"/>
    <w:lsdException w:uiPriority="99" w:semiHidden="0" w:name="HTML Keyboard"/>
    <w:lsdException w:uiPriority="99" w:name="HTML Preformatted"/>
    <w:lsdException w:uiPriority="99" w:semiHidden="0"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lang w:val="en-US" w:eastAsia="zh-CN"/>
    </w:rPr>
  </w:style>
  <w:style w:type="paragraph" w:styleId="2">
    <w:name w:val="heading 2"/>
    <w:next w:val="1"/>
    <w:unhideWhenUsed/>
    <w:qFormat/>
    <w:uiPriority w:val="9"/>
    <w:pPr>
      <w:spacing w:before="100" w:beforeLines="0" w:beforeAutospacing="1" w:after="100" w:afterLines="0" w:afterAutospacing="1"/>
      <w:jc w:val="left"/>
      <w:outlineLvl w:val="1"/>
    </w:pPr>
    <w:rPr>
      <w:rFonts w:hint="eastAsia" w:ascii="宋体" w:hAnsi="宋体" w:eastAsia="宋体" w:cs="宋体"/>
      <w:b/>
      <w:kern w:val="0"/>
      <w:sz w:val="36"/>
      <w:szCs w:val="36"/>
      <w:lang w:val="en-US" w:eastAsia="zh-CN" w:bidi="ar-SA"/>
    </w:rPr>
  </w:style>
  <w:style w:type="character" w:default="1" w:styleId="10">
    <w:name w:val="Default Paragraph Font"/>
    <w:unhideWhenUsed/>
    <w:uiPriority w:val="0"/>
  </w:style>
  <w:style w:type="table" w:default="1" w:styleId="9">
    <w:name w:val="Normal Table"/>
    <w:unhideWhenUsed/>
    <w:uiPriority w:val="99"/>
    <w:tblPr>
      <w:tblCellMar>
        <w:top w:w="0" w:type="dxa"/>
        <w:left w:w="108" w:type="dxa"/>
        <w:bottom w:w="0" w:type="dxa"/>
        <w:right w:w="108" w:type="dxa"/>
      </w:tblCellMar>
    </w:tblPr>
  </w:style>
  <w:style w:type="paragraph" w:styleId="3">
    <w:name w:val="annotation text"/>
    <w:basedOn w:val="4"/>
    <w:unhideWhenUsed/>
    <w:uiPriority w:val="99"/>
    <w:pPr>
      <w:jc w:val="left"/>
    </w:pPr>
    <w:rPr>
      <w:rFonts w:ascii="微软雅黑" w:hAnsi="微软雅黑" w:eastAsia="微软雅黑" w:cs="宋体"/>
      <w:color w:val="000000"/>
      <w:sz w:val="24"/>
      <w:szCs w:val="24"/>
      <w:lang w:bidi="ar-SA"/>
    </w:rPr>
  </w:style>
  <w:style w:type="paragraph" w:styleId="4">
    <w:name w:val="Balloon Text"/>
    <w:basedOn w:val="1"/>
    <w:unhideWhenUsed/>
    <w:qFormat/>
    <w:uiPriority w:val="99"/>
    <w:rPr>
      <w:sz w:val="18"/>
    </w:rPr>
  </w:style>
  <w:style w:type="paragraph" w:styleId="5">
    <w:name w:val="Body Text"/>
    <w:qFormat/>
    <w:uiPriority w:val="0"/>
    <w:pPr>
      <w:spacing w:line="560" w:lineRule="exact"/>
      <w:ind w:firstLine="630" w:firstLineChars="200"/>
    </w:pPr>
    <w:rPr>
      <w:rFonts w:ascii="仿宋_GB2312" w:hAnsi="仿宋_GB2312" w:eastAsia="仿宋_GB2312" w:cs="Times New Roman"/>
      <w:spacing w:val="-6"/>
      <w:sz w:val="32"/>
    </w:rPr>
  </w:style>
  <w:style w:type="paragraph" w:styleId="6">
    <w:name w:val="footer"/>
    <w:basedOn w:val="1"/>
    <w:unhideWhenUsed/>
    <w:uiPriority w:val="0"/>
    <w:pPr>
      <w:tabs>
        <w:tab w:val="center" w:pos="4153"/>
        <w:tab w:val="right" w:pos="8306"/>
      </w:tabs>
      <w:snapToGrid w:val="0"/>
      <w:jc w:val="left"/>
    </w:pPr>
    <w:rPr>
      <w:sz w:val="18"/>
    </w:rPr>
  </w:style>
  <w:style w:type="paragraph" w:styleId="7">
    <w:name w:val="header"/>
    <w:basedOn w:val="1"/>
    <w:unhideWhenUsed/>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8">
    <w:name w:val="Normal (Web)"/>
    <w:basedOn w:val="1"/>
    <w:unhideWhenUsed/>
    <w:uiPriority w:val="99"/>
    <w:pPr>
      <w:spacing w:before="100" w:beforeLines="0" w:beforeAutospacing="1" w:after="100" w:afterLines="0" w:afterAutospacing="1"/>
      <w:ind w:left="0" w:right="0"/>
      <w:jc w:val="left"/>
    </w:pPr>
    <w:rPr>
      <w:kern w:val="0"/>
      <w:sz w:val="24"/>
      <w:szCs w:val="20"/>
      <w:lang w:val="en-US" w:eastAsia="zh-CN" w:bidi="ar-SA"/>
    </w:rPr>
  </w:style>
  <w:style w:type="character" w:styleId="11">
    <w:name w:val="Strong"/>
    <w:basedOn w:val="10"/>
    <w:qFormat/>
    <w:uiPriority w:val="22"/>
    <w:rPr>
      <w:b/>
    </w:rPr>
  </w:style>
  <w:style w:type="character" w:styleId="12">
    <w:name w:val="HTML Code"/>
    <w:basedOn w:val="10"/>
    <w:unhideWhenUsed/>
    <w:uiPriority w:val="99"/>
    <w:rPr>
      <w:rFonts w:hint="default" w:ascii="Monaco" w:hAnsi="Monaco" w:eastAsia="Monaco" w:cs="Monaco"/>
      <w:color w:val="C7254E"/>
      <w:sz w:val="21"/>
      <w:szCs w:val="21"/>
      <w:shd w:val="clear" w:color="auto" w:fill="F8F8F8"/>
    </w:rPr>
  </w:style>
  <w:style w:type="character" w:styleId="13">
    <w:name w:val="HTML Keyboard"/>
    <w:basedOn w:val="10"/>
    <w:unhideWhenUsed/>
    <w:uiPriority w:val="99"/>
    <w:rPr>
      <w:rFonts w:hint="default" w:ascii="Monaco" w:hAnsi="Monaco" w:eastAsia="Monaco" w:cs="Monaco"/>
      <w:sz w:val="21"/>
      <w:szCs w:val="21"/>
    </w:rPr>
  </w:style>
  <w:style w:type="character" w:styleId="14">
    <w:name w:val="HTML Sample"/>
    <w:basedOn w:val="10"/>
    <w:unhideWhenUsed/>
    <w:uiPriority w:val="99"/>
    <w:rPr>
      <w:rFonts w:hint="default" w:ascii="Monaco" w:hAnsi="Monaco" w:eastAsia="Monaco" w:cs="Monaco"/>
      <w:sz w:val="21"/>
      <w:szCs w:val="21"/>
    </w:rPr>
  </w:style>
  <w:style w:type="character" w:customStyle="1" w:styleId="15">
    <w:name w:val="hover22"/>
    <w:basedOn w:val="10"/>
    <w:uiPriority w:val="0"/>
    <w:rPr>
      <w:shd w:val="clear" w:color="auto" w:fill="F0F0F0"/>
    </w:rPr>
  </w:style>
  <w:style w:type="character" w:customStyle="1" w:styleId="16">
    <w:name w:val="am-active1"/>
    <w:basedOn w:val="10"/>
    <w:uiPriority w:val="0"/>
    <w:rPr>
      <w:color w:val="0084C7"/>
      <w:shd w:val="clear" w:color="auto" w:fill="F0F0F0"/>
    </w:rPr>
  </w:style>
  <w:style w:type="character" w:customStyle="1" w:styleId="17">
    <w:name w:val="am-active2"/>
    <w:basedOn w:val="10"/>
    <w:uiPriority w:val="0"/>
    <w:rPr>
      <w:color w:val="C10802"/>
    </w:rPr>
  </w:style>
  <w:style w:type="character" w:customStyle="1" w:styleId="18">
    <w:name w:val="am-datepicker-old3"/>
    <w:basedOn w:val="10"/>
    <w:uiPriority w:val="0"/>
    <w:rPr>
      <w:color w:val="FFAD6D"/>
    </w:rPr>
  </w:style>
  <w:style w:type="character" w:customStyle="1" w:styleId="19">
    <w:name w:val="am-datepicker-old2"/>
    <w:basedOn w:val="10"/>
    <w:uiPriority w:val="0"/>
    <w:rPr>
      <w:color w:val="F59490"/>
    </w:rPr>
  </w:style>
  <w:style w:type="character" w:customStyle="1" w:styleId="20">
    <w:name w:val="am-disabled"/>
    <w:basedOn w:val="10"/>
    <w:qFormat/>
    <w:uiPriority w:val="0"/>
    <w:rPr>
      <w:color w:val="999999"/>
      <w:shd w:val="clear" w:color="auto" w:fill="FAFAFA"/>
    </w:rPr>
  </w:style>
  <w:style w:type="character" w:customStyle="1" w:styleId="21">
    <w:name w:val="am-datepicker-old1"/>
    <w:basedOn w:val="10"/>
    <w:qFormat/>
    <w:uiPriority w:val="0"/>
    <w:rPr>
      <w:color w:val="89D7FF"/>
    </w:rPr>
  </w:style>
  <w:style w:type="character" w:customStyle="1" w:styleId="22">
    <w:name w:val="am-datepicker-old"/>
    <w:basedOn w:val="10"/>
    <w:qFormat/>
    <w:uiPriority w:val="0"/>
    <w:rPr>
      <w:color w:val="94DF94"/>
    </w:rPr>
  </w:style>
  <w:style w:type="character" w:customStyle="1" w:styleId="23">
    <w:name w:val="am-active"/>
    <w:basedOn w:val="10"/>
    <w:uiPriority w:val="0"/>
    <w:rPr>
      <w:color w:val="1B961B"/>
    </w:rPr>
  </w:style>
  <w:style w:type="character" w:customStyle="1" w:styleId="24">
    <w:name w:val="am-active3"/>
    <w:basedOn w:val="10"/>
    <w:qFormat/>
    <w:uiPriority w:val="0"/>
    <w:rPr>
      <w:color w:val="AA4B00"/>
    </w:rPr>
  </w:style>
  <w:style w:type="character" w:customStyle="1" w:styleId="25">
    <w:name w:val="am-datepicker-hour"/>
    <w:basedOn w:val="10"/>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Normal.wpt</Template>
  <Pages>13</Pages>
  <Words>4514</Words>
  <Characters>4546</Characters>
  <Lines>1</Lines>
  <Paragraphs>1</Paragraphs>
  <TotalTime>33</TotalTime>
  <ScaleCrop>false</ScaleCrop>
  <LinksUpToDate>false</LinksUpToDate>
  <CharactersWithSpaces>5040</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2008-12-26T08:45:00Z</dcterms:created>
  <dc:creator>zq</dc:creator>
  <cp:lastModifiedBy>Administrator</cp:lastModifiedBy>
  <cp:lastPrinted>2026-05-15T06:06:00Z</cp:lastPrinted>
  <dcterms:modified xsi:type="dcterms:W3CDTF">2026-05-21T03:47:14Z</dcterms:modified>
  <dc:title>贵州省林木种质资源库管理办法《试行》</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y fmtid="{D5CDD505-2E9C-101B-9397-08002B2CF9AE}" pid="3" name="KSOTemplateDocerSaveRecord">
    <vt:lpwstr>eyJoZGlkIjoiNDE4Y2QyNjRjZWQyNmNmOWEyYThiY2U2N2M4ZjM5MTgiLCJ1c2VySWQiOiIyMzY4OTU3NTQifQ==</vt:lpwstr>
  </property>
  <property fmtid="{D5CDD505-2E9C-101B-9397-08002B2CF9AE}" pid="4" name="ICV">
    <vt:lpwstr>5CE233686A734FB59BE2E7C98F468CBF_13</vt:lpwstr>
  </property>
</Properties>
</file>