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1286"/>
          <w:tab w:val="center" w:pos="4922"/>
        </w:tabs>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贵阳市农业科技特派员工作经费管理细则</w:t>
      </w:r>
    </w:p>
    <w:p>
      <w:pPr>
        <w:keepNext w:val="0"/>
        <w:keepLines w:val="0"/>
        <w:pageBreakBefore w:val="0"/>
        <w:widowControl w:val="0"/>
        <w:tabs>
          <w:tab w:val="left" w:pos="1286"/>
          <w:tab w:val="center" w:pos="4922"/>
        </w:tabs>
        <w:kinsoku/>
        <w:wordWrap/>
        <w:overflowPunct/>
        <w:topLinePunct w:val="0"/>
        <w:autoSpaceDE/>
        <w:autoSpaceDN/>
        <w:bidi w:val="0"/>
        <w:adjustRightInd/>
        <w:snapToGrid/>
        <w:spacing w:line="600" w:lineRule="exact"/>
        <w:jc w:val="center"/>
        <w:textAlignment w:val="auto"/>
        <w:rPr>
          <w:rFonts w:hint="eastAsia" w:ascii="楷体_GB2312" w:hAnsi="楷体_GB2312" w:eastAsia="楷体_GB2312" w:cs="楷体_GB2312"/>
          <w:sz w:val="32"/>
          <w:szCs w:val="32"/>
          <w:lang w:eastAsia="zh-CN"/>
        </w:rPr>
      </w:pPr>
      <w:r>
        <w:rPr>
          <w:rFonts w:hint="eastAsia" w:ascii="方正小标宋简体" w:hAnsi="方正小标宋简体" w:eastAsia="方正小标宋简体" w:cs="方正小标宋简体"/>
          <w:sz w:val="44"/>
          <w:szCs w:val="44"/>
          <w:lang w:eastAsia="zh-CN"/>
        </w:rPr>
        <w:t>（试行）（征求意见稿）</w:t>
      </w:r>
    </w:p>
    <w:p>
      <w:pPr>
        <w:keepNext w:val="0"/>
        <w:keepLines w:val="0"/>
        <w:pageBreakBefore w:val="0"/>
        <w:widowControl w:val="0"/>
        <w:tabs>
          <w:tab w:val="left" w:pos="1286"/>
          <w:tab w:val="center" w:pos="4922"/>
        </w:tabs>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黑体" w:hAnsi="黑体" w:eastAsia="黑体" w:cs="黑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eastAsia="zh-CN"/>
        </w:rPr>
        <w:t>第一章</w:t>
      </w:r>
      <w:r>
        <w:rPr>
          <w:rFonts w:hint="eastAsia" w:ascii="黑体" w:hAnsi="黑体" w:eastAsia="黑体" w:cs="黑体"/>
          <w:sz w:val="32"/>
          <w:szCs w:val="32"/>
          <w:lang w:val="en-US" w:eastAsia="zh-CN"/>
        </w:rPr>
        <w:t xml:space="preserve"> 总则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eastAsia="zh-CN"/>
        </w:rPr>
        <w:t>第一条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为进一步规范和加强我市科技特派员工作经费管理，根据国家，省委、省政府关于科技特派员有关工作要求，参照《省财政厅</w:t>
      </w:r>
      <w:r>
        <w:rPr>
          <w:rFonts w:hint="eastAsia" w:ascii="仿宋_GB2312" w:hAnsi="仿宋_GB2312" w:eastAsia="仿宋_GB2312" w:cs="仿宋_GB2312"/>
          <w:sz w:val="32"/>
          <w:szCs w:val="32"/>
          <w:lang w:val="en-US" w:eastAsia="zh-CN"/>
        </w:rPr>
        <w:t xml:space="preserve"> 省科技厅关于印发&lt;</w:t>
      </w:r>
      <w:r>
        <w:rPr>
          <w:rFonts w:hint="eastAsia" w:ascii="仿宋_GB2312" w:hAnsi="仿宋_GB2312" w:eastAsia="仿宋_GB2312" w:cs="仿宋_GB2312"/>
          <w:sz w:val="32"/>
          <w:szCs w:val="32"/>
          <w:lang w:eastAsia="zh-CN"/>
        </w:rPr>
        <w:t>贵州省省级科技特派员工作经费管理细则（试行）</w:t>
      </w:r>
      <w:r>
        <w:rPr>
          <w:rFonts w:hint="eastAsia" w:ascii="仿宋_GB2312" w:hAnsi="仿宋_GB2312" w:eastAsia="仿宋_GB2312" w:cs="仿宋_GB2312"/>
          <w:sz w:val="32"/>
          <w:szCs w:val="32"/>
          <w:lang w:val="en-US" w:eastAsia="zh-CN"/>
        </w:rPr>
        <w:t>&gt;的通知</w:t>
      </w:r>
      <w:r>
        <w:rPr>
          <w:rFonts w:hint="eastAsia" w:ascii="仿宋_GB2312" w:hAnsi="仿宋_GB2312" w:eastAsia="仿宋_GB2312" w:cs="仿宋_GB2312"/>
          <w:sz w:val="32"/>
          <w:szCs w:val="32"/>
          <w:lang w:eastAsia="zh-CN"/>
        </w:rPr>
        <w:t>》（黔财通〔202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91</w:t>
      </w:r>
      <w:r>
        <w:rPr>
          <w:rFonts w:hint="eastAsia" w:ascii="仿宋_GB2312" w:hAnsi="仿宋_GB2312" w:eastAsia="仿宋_GB2312" w:cs="仿宋_GB2312"/>
          <w:sz w:val="32"/>
          <w:szCs w:val="32"/>
          <w:lang w:eastAsia="zh-CN"/>
        </w:rPr>
        <w:t>号）和《省科技厅 省委组织部 省教育厅 省财政厅 省人力资源社会保障厅 省农业农村厅关于印发</w:t>
      </w:r>
      <w:r>
        <w:rPr>
          <w:rFonts w:hint="eastAsia" w:ascii="仿宋_GB2312" w:hAnsi="仿宋_GB2312" w:eastAsia="仿宋_GB2312" w:cs="仿宋_GB2312"/>
          <w:sz w:val="32"/>
          <w:szCs w:val="32"/>
          <w:lang w:val="en-US" w:eastAsia="zh-CN"/>
        </w:rPr>
        <w:t>&lt;</w:t>
      </w:r>
      <w:r>
        <w:rPr>
          <w:rFonts w:hint="eastAsia" w:ascii="仿宋_GB2312" w:hAnsi="仿宋_GB2312" w:eastAsia="仿宋_GB2312" w:cs="仿宋_GB2312"/>
          <w:sz w:val="32"/>
          <w:szCs w:val="32"/>
          <w:lang w:eastAsia="zh-CN"/>
        </w:rPr>
        <w:t>关于进一步提升农业科技特派员制度实施质效的工作方案</w:t>
      </w:r>
      <w:r>
        <w:rPr>
          <w:rFonts w:hint="eastAsia" w:ascii="仿宋_GB2312" w:hAnsi="仿宋_GB2312" w:eastAsia="仿宋_GB2312" w:cs="仿宋_GB2312"/>
          <w:sz w:val="32"/>
          <w:szCs w:val="32"/>
          <w:lang w:val="en-US" w:eastAsia="zh-CN"/>
        </w:rPr>
        <w:t>&gt;</w:t>
      </w:r>
      <w:r>
        <w:rPr>
          <w:rFonts w:hint="eastAsia" w:ascii="仿宋_GB2312" w:hAnsi="仿宋_GB2312" w:eastAsia="仿宋_GB2312" w:cs="仿宋_GB2312"/>
          <w:sz w:val="32"/>
          <w:szCs w:val="32"/>
          <w:lang w:eastAsia="zh-CN"/>
        </w:rPr>
        <w:t>的通知》（黔科通〔2025〕14号），结合</w:t>
      </w:r>
      <w:r>
        <w:rPr>
          <w:rFonts w:hint="eastAsia" w:ascii="仿宋_GB2312" w:hAnsi="仿宋_GB2312" w:eastAsia="仿宋_GB2312" w:cs="仿宋_GB2312"/>
          <w:sz w:val="32"/>
          <w:szCs w:val="32"/>
          <w:lang w:val="en-US" w:eastAsia="zh-CN"/>
        </w:rPr>
        <w:t>贵阳市实际，制定本细则。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楷体_GB2312" w:hAnsi="楷体_GB2312" w:eastAsia="楷体_GB2312" w:cs="楷体_GB2312"/>
          <w:sz w:val="32"/>
          <w:szCs w:val="32"/>
          <w:lang w:val="en-US" w:eastAsia="zh-CN"/>
        </w:rPr>
        <w:t>第二条</w:t>
      </w:r>
      <w:r>
        <w:rPr>
          <w:rFonts w:hint="eastAsia" w:ascii="仿宋_GB2312" w:hAnsi="仿宋_GB2312" w:eastAsia="仿宋_GB2312" w:cs="仿宋_GB2312"/>
          <w:sz w:val="32"/>
          <w:szCs w:val="32"/>
          <w:lang w:val="en-US" w:eastAsia="zh-CN"/>
        </w:rPr>
        <w:t xml:space="preserve"> 本细则所称科技特派员是指在贵阳市辖区服务，由市级财政匹配和保障相关经费的省、市两级农业科技特派员，资金来源于市级财政资金。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center"/>
        <w:textAlignment w:val="auto"/>
        <w:rPr>
          <w:rFonts w:hint="eastAsia" w:ascii="黑体" w:hAnsi="黑体" w:eastAsia="黑体" w:cs="黑体"/>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center"/>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第二章 经费类型、支出内容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黑体" w:hAnsi="黑体" w:eastAsia="黑体" w:cs="黑体"/>
          <w:sz w:val="32"/>
          <w:szCs w:val="32"/>
          <w:lang w:val="en-US" w:eastAsia="zh-CN"/>
        </w:rPr>
      </w:pPr>
      <w:r>
        <w:rPr>
          <w:rFonts w:hint="eastAsia" w:ascii="楷体_GB2312" w:hAnsi="楷体_GB2312" w:eastAsia="楷体_GB2312" w:cs="楷体_GB2312"/>
          <w:sz w:val="32"/>
          <w:szCs w:val="32"/>
          <w:lang w:val="en-US" w:eastAsia="zh-CN"/>
        </w:rPr>
        <w:t>第三条 经费类型</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经费分为省级科技特派员匹配经费和市级科技特派员保障经费。其中省级科技特派员匹配经费，匹配对象为省科技厅于2024年选派至贵阳市、服务期至2027年3月的26名人员，匹配每人每年2万元创新创业服务示范点（示范基地）建设经费；市级科技特派员保障经费，分为每人每年2万元工作补助经费和2万创新创业服务示范点（示范基地）建设经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第四条 支出内容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（一）工作补助经费。</w:t>
      </w:r>
      <w:r>
        <w:rPr>
          <w:rFonts w:hint="eastAsia" w:ascii="仿宋_GB2312" w:hAnsi="仿宋_GB2312" w:eastAsia="仿宋_GB2312" w:cs="仿宋_GB2312"/>
          <w:sz w:val="32"/>
          <w:szCs w:val="32"/>
          <w:lang w:val="en-US" w:eastAsia="zh-CN"/>
        </w:rPr>
        <w:t>主要用于市级科技特派员开展服务的生活补助、交通差旅补助，购买不低于100万元保额的人身意外伤害保险费用等。</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z w:val="32"/>
          <w:szCs w:val="32"/>
          <w:lang w:val="en-US" w:eastAsia="zh-CN"/>
        </w:rPr>
        <w:t>（二）创新创业服务示范点（示范基地）建设补助经费。</w:t>
      </w:r>
      <w:r>
        <w:rPr>
          <w:rFonts w:hint="eastAsia" w:ascii="仿宋_GB2312" w:hAnsi="仿宋_GB2312" w:eastAsia="仿宋_GB2312" w:cs="仿宋_GB2312"/>
          <w:sz w:val="32"/>
          <w:szCs w:val="32"/>
          <w:lang w:val="en-US" w:eastAsia="zh-CN"/>
        </w:rPr>
        <w:t>主要用于补助科技特派员开展创新创业服务示范点（示范基地）建设必要的设备费、业务费、劳务费等。</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补助条件符合其一即可：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市级科技特派员单独或联合与相关服务地企业（合作社）签订科技特派员创新创业服务·培训示范点（示范基地）建设任务书（以下简称“任务书”）的，经区（县）科技管理部门会同农业农村部门批准同意，报市农业农村局和市科技局备案后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市级科技特派员参与省级科技特派员（团）基地建设的，由省级科技特派员（团）牵头签订建设协议，经区（县）科技管理部门会同农业农村部门批准同意，报市农业农村局、市科技局和省农业农村厅、省科技厅备案后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黑体" w:hAnsi="黑体" w:eastAsia="黑体" w:cs="黑体"/>
          <w:sz w:val="32"/>
          <w:szCs w:val="32"/>
          <w:lang w:val="en-US" w:eastAsia="zh-CN"/>
        </w:rPr>
      </w:pPr>
      <w:r>
        <w:rPr>
          <w:rFonts w:hint="eastAsia" w:ascii="仿宋_GB2312" w:hAnsi="仿宋_GB2312" w:eastAsia="仿宋_GB2312" w:cs="仿宋_GB2312"/>
          <w:sz w:val="32"/>
          <w:szCs w:val="32"/>
          <w:lang w:val="en-US" w:eastAsia="zh-CN"/>
        </w:rPr>
        <w:t>实施周期原则上为1-3年。</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第三章 经费拨付及管理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楷体_GB2312" w:hAnsi="楷体_GB2312" w:eastAsia="楷体_GB2312" w:cs="楷体_GB2312"/>
          <w:sz w:val="32"/>
          <w:szCs w:val="32"/>
          <w:lang w:val="en-US" w:eastAsia="zh-CN"/>
        </w:rPr>
        <w:t xml:space="preserve">第五条 </w:t>
      </w:r>
      <w:r>
        <w:rPr>
          <w:rFonts w:hint="eastAsia" w:ascii="仿宋_GB2312" w:hAnsi="仿宋_GB2312" w:eastAsia="仿宋_GB2312" w:cs="仿宋_GB2312"/>
          <w:sz w:val="32"/>
          <w:szCs w:val="32"/>
          <w:lang w:val="en-US" w:eastAsia="zh-CN"/>
        </w:rPr>
        <w:t>市级科技特派员保障经费由市科技局根据派往各县（市、区）的科技特派员人数编制预算，预算批复后，</w:t>
      </w:r>
      <w:r>
        <w:rPr>
          <w:rFonts w:hint="eastAsia" w:ascii="仿宋_GB2312" w:hAnsi="仿宋_GB2312" w:eastAsia="仿宋_GB2312" w:cs="仿宋_GB2312"/>
          <w:sz w:val="32"/>
          <w:szCs w:val="32"/>
          <w:highlight w:val="none"/>
          <w:lang w:val="en-US" w:eastAsia="zh-CN"/>
        </w:rPr>
        <w:t>由市财政局按程序拨付经费至市科技局，市科技局按程序拨付至有关主体</w:t>
      </w:r>
      <w:r>
        <w:rPr>
          <w:rFonts w:hint="eastAsia" w:ascii="仿宋_GB2312" w:hAnsi="仿宋_GB2312" w:eastAsia="仿宋_GB2312" w:cs="仿宋_GB2312"/>
          <w:b w:val="0"/>
          <w:bCs w:val="0"/>
          <w:sz w:val="32"/>
          <w:szCs w:val="32"/>
          <w:highlight w:val="none"/>
          <w:lang w:val="en-US"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工作补助经费。2万元工作补助经费实行年度包干制，选派时预拨二分之一，年度考评合格及以上的科技特派员，提供</w:t>
      </w:r>
      <w:r>
        <w:rPr>
          <w:rFonts w:hint="eastAsia" w:ascii="仿宋_GB2312" w:hAnsi="仿宋_GB2312" w:eastAsia="仿宋_GB2312" w:cs="仿宋_GB2312"/>
          <w:sz w:val="32"/>
          <w:szCs w:val="32"/>
          <w:lang w:val="en-US" w:eastAsia="zh-CN"/>
        </w:rPr>
        <w:t>购买不低于100万元保额的人身意外伤害保险后，一次性拨付上年度剩余经费，并预拨二分之一本年度工作补助经费。资金</w:t>
      </w:r>
      <w:r>
        <w:rPr>
          <w:rFonts w:hint="eastAsia" w:ascii="仿宋_GB2312" w:hAnsi="仿宋_GB2312" w:eastAsia="仿宋_GB2312" w:cs="仿宋_GB2312"/>
          <w:sz w:val="32"/>
          <w:szCs w:val="32"/>
          <w:highlight w:val="none"/>
          <w:lang w:val="en-US" w:eastAsia="zh-CN"/>
        </w:rPr>
        <w:t>拨至科技特派员个人。</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创新创业服务示范点（示范基地）建设补助经费。实行预拨制并分期拨付。正式选派后给予每批新选派人员3个月时间，用于寻找、对接合作单位并推进示范点（示范基地）建设工作。</w:t>
      </w:r>
      <w:r>
        <w:rPr>
          <w:rFonts w:hint="eastAsia" w:ascii="仿宋_GB2312" w:hAnsi="仿宋_GB2312" w:eastAsia="仿宋_GB2312" w:cs="仿宋_GB2312"/>
          <w:sz w:val="32"/>
          <w:szCs w:val="32"/>
          <w:highlight w:val="none"/>
          <w:lang w:val="en-US" w:eastAsia="zh-CN"/>
        </w:rPr>
        <w:t>选派后3-6个月内拨付首年2万元经费，后续根据基地建设进度，按年度分期兑现建设补助经费。经费拨至基地建设承担主体。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仿宋_GB2312" w:hAnsi="仿宋_GB2312" w:eastAsia="仿宋_GB2312" w:cs="仿宋_GB2312"/>
          <w:color w:val="auto"/>
          <w:sz w:val="32"/>
          <w:szCs w:val="32"/>
          <w:highlight w:val="none"/>
          <w:lang w:val="en-US" w:eastAsia="zh-CN"/>
        </w:rPr>
        <w:t>（三）为确保创新创业服务示范点（示范基地）建设补助经费专款专用于基地建设，科技特派员须在给定期限内，明确基地建设相关事宜，签订任务书，并按要求向县级科技管理部门报送，确保基地建设工作有序启动、规范推进。选派后未在给定期限开展基地建设的，不预拨首年建设补助经费；年度建设进度未达到任务书要求的，不拨付该年度建设补助经费，直至建设进度达标后，续拨余下建设补助经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（四）</w:t>
      </w:r>
      <w:r>
        <w:rPr>
          <w:rFonts w:hint="eastAsia" w:ascii="仿宋_GB2312" w:hAnsi="仿宋_GB2312" w:eastAsia="仿宋_GB2312" w:cs="仿宋_GB2312"/>
          <w:sz w:val="32"/>
          <w:szCs w:val="32"/>
          <w:highlight w:val="none"/>
          <w:lang w:val="en-US" w:eastAsia="zh-CN"/>
        </w:rPr>
        <w:t>科技特派员年度考核不合格或未参与考核及其他原因未达到工作要求的，不再拨付下一年度经费并退出科技特派员队伍。</w:t>
      </w:r>
      <w:r>
        <w:rPr>
          <w:rFonts w:hint="eastAsia" w:ascii="仿宋_GB2312" w:hAnsi="仿宋_GB2312" w:eastAsia="仿宋_GB2312" w:cs="仿宋_GB2312"/>
          <w:color w:val="auto"/>
          <w:sz w:val="32"/>
          <w:szCs w:val="32"/>
          <w:lang w:val="en-US" w:eastAsia="zh-CN"/>
        </w:rPr>
        <w:t>涉及经费按以下方式处理：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1.工作补助经费。科技特派员年度现场服务天数不足30天的，全额收回上年度补助经费；服务天数在30天（含）至60天（不含）的，收回上年度50%补助经费；服务天数达到60天及以上的，不予收回。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仿宋_GB2312" w:hAnsi="仿宋_GB2312" w:eastAsia="仿宋_GB2312" w:cs="仿宋_GB2312"/>
          <w:color w:val="auto"/>
          <w:sz w:val="32"/>
          <w:szCs w:val="32"/>
          <w:lang w:val="en-US" w:eastAsia="zh-CN"/>
        </w:rPr>
        <w:t>2.创新创业服务示范点（示范基地）建设补助经费。有新补充选派人员接替服务，继续在原示范点（示范基地）开展建设服务的，已拨经费可留归基地建设承担主体继续使用。无新补充选派人员或新补充选派人员不再继续开展原示范点（示范基地）建设的，结余资金予以收回。</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第四章 职责分工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第六条 市财政局</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lang w:val="en-US" w:eastAsia="zh-CN"/>
        </w:rPr>
        <w:t>（一）会同市科技局制定贵阳市科技特派员工作经费管理细则，确定工作经费支持方向；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（二）根据经费预算以及部门选派的科技特派员情况，及时向市科技局下达资金预算；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（三）会同市科技局开展工作经费绩效目标管理、监督检查等工作。</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第七条 市科技局</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（一）会同市财政局共同制定贵阳市科技特派员经费管理细则，确定工作经费支持方向；</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（二）负责对全市科技特派员进行监督、管理；</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黑体" w:hAnsi="黑体" w:eastAsia="黑体" w:cs="黑体"/>
          <w:sz w:val="32"/>
          <w:szCs w:val="32"/>
          <w:lang w:val="en-US" w:eastAsia="zh-CN"/>
        </w:rPr>
      </w:pPr>
      <w:r>
        <w:rPr>
          <w:rFonts w:hint="eastAsia" w:ascii="仿宋_GB2312" w:hAnsi="仿宋_GB2312" w:eastAsia="仿宋_GB2312" w:cs="仿宋_GB2312"/>
          <w:sz w:val="32"/>
          <w:szCs w:val="32"/>
          <w:lang w:val="en-US" w:eastAsia="zh-CN"/>
        </w:rPr>
        <w:t>（三）提出工作经费预算安排建议，会同市财政局做好资金的预算编制、拨付、监督管理工作，并对经费使用情况配合开展绩效评价。</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第八条 县（市、区）科技管理部门</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配合市科技局做好经费拨付、使用情况管理和绩效评价工作，协助相关部门对科技特派员工作情况开展监督检查。</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第五章 使用管理与绩效监督</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 xml:space="preserve">第九条 </w:t>
      </w:r>
      <w:r>
        <w:rPr>
          <w:rFonts w:hint="eastAsia" w:ascii="仿宋_GB2312" w:hAnsi="仿宋_GB2312" w:eastAsia="仿宋_GB2312" w:cs="仿宋_GB2312"/>
          <w:sz w:val="32"/>
          <w:szCs w:val="32"/>
          <w:lang w:val="en-US" w:eastAsia="zh-CN"/>
        </w:rPr>
        <w:t>科技特派员工作经费单独建账，独立核算，专款专用，严禁用于偿还债务、平衡预算、支付利息、对外投资等支出。严格执行国库集中支付制度，按照可执行指标、用款计划、资金支付需求、资金支付申请、协议或合同约定、项目实施进度和补助补贴发放周期等，将资金支付至最终收款人，严禁违规向代管资金专户等财政专户、预算单位实有资金账户、开发区（园区）或乡镇账户、地方融资平台、共管账户和代理银行内部结算账户转账，挪用财政资金。涉及政府采购的，按照政府采购法律法规和有关制度执行。结转结余资金按照财政经费管理的有关规定执行。</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第十条</w:t>
      </w:r>
      <w:r>
        <w:rPr>
          <w:rFonts w:hint="eastAsia" w:ascii="仿宋_GB2312" w:hAnsi="仿宋_GB2312" w:eastAsia="仿宋_GB2312" w:cs="仿宋_GB2312"/>
          <w:sz w:val="32"/>
          <w:szCs w:val="32"/>
          <w:lang w:val="en-US" w:eastAsia="zh-CN"/>
        </w:rPr>
        <w:t xml:space="preserve"> 各有关部门应加强对专项经费的绩效管理，每年年终组织开展绩效评价，强化评价结果运用。建立“谁使用、谁负责”的责任追究机制，对于滞留、截留、挤占、挪用、虚列、套取补助资金的，按照《中华人民共和国预算法》‌、《财政违法行为处罚处分条例》等有关法律法规严肃处理；涉嫌犯罪的，移送司法机关处理。</w:t>
      </w:r>
    </w:p>
    <w:p>
      <w:pPr>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第六章 附则</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第十一条</w:t>
      </w:r>
      <w:r>
        <w:rPr>
          <w:rFonts w:hint="eastAsia" w:ascii="仿宋_GB2312" w:hAnsi="仿宋_GB2312" w:eastAsia="仿宋_GB2312" w:cs="仿宋_GB2312"/>
          <w:sz w:val="32"/>
          <w:szCs w:val="32"/>
          <w:lang w:val="en-US" w:eastAsia="zh-CN"/>
        </w:rPr>
        <w:t xml:space="preserve"> 本办法由市科技局、</w:t>
      </w:r>
      <w:bookmarkStart w:id="0" w:name="_GoBack"/>
      <w:bookmarkEnd w:id="0"/>
      <w:r>
        <w:rPr>
          <w:rFonts w:hint="eastAsia" w:ascii="仿宋_GB2312" w:hAnsi="仿宋_GB2312" w:eastAsia="仿宋_GB2312" w:cs="仿宋_GB2312"/>
          <w:sz w:val="32"/>
          <w:szCs w:val="32"/>
          <w:lang w:val="en-US" w:eastAsia="zh-CN"/>
        </w:rPr>
        <w:t>市财政局负责解释。</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第十二条</w:t>
      </w:r>
      <w:r>
        <w:rPr>
          <w:rFonts w:hint="eastAsia" w:ascii="仿宋_GB2312" w:hAnsi="仿宋_GB2312" w:eastAsia="仿宋_GB2312" w:cs="仿宋_GB2312"/>
          <w:sz w:val="32"/>
          <w:szCs w:val="32"/>
          <w:lang w:val="en-US" w:eastAsia="zh-CN"/>
        </w:rPr>
        <w:t xml:space="preserve"> 本办法自印发之日起执行。已在服务期内的市级科技特派员第一年度创新创业服务经费按照原办法执行，可采取实报实销，其他事项按本细则执行。</w:t>
      </w:r>
    </w:p>
    <w:sectPr>
      <w:footerReference r:id="rId3" w:type="default"/>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page" w:hAnchor="margin" w:xAlign="outside" w:y="15000"/>
      <w:ind w:left="210" w:leftChars="100" w:right="315" w:rightChars="150"/>
      <w:rPr>
        <w:rStyle w:val="9"/>
        <w:rFonts w:ascii="宋体" w:hAnsi="宋体"/>
        <w:sz w:val="28"/>
        <w:szCs w:val="28"/>
      </w:rPr>
    </w:pPr>
    <w:r>
      <w:rPr>
        <w:rStyle w:val="9"/>
        <w:rFonts w:hint="eastAsia" w:ascii="宋体" w:hAnsi="宋体"/>
        <w:sz w:val="28"/>
        <w:szCs w:val="28"/>
      </w:rPr>
      <w:t xml:space="preserve">— </w:t>
    </w:r>
    <w:r>
      <w:rPr>
        <w:rStyle w:val="9"/>
        <w:rFonts w:ascii="宋体" w:hAnsi="宋体"/>
        <w:sz w:val="28"/>
        <w:szCs w:val="28"/>
      </w:rPr>
      <w:fldChar w:fldCharType="begin"/>
    </w:r>
    <w:r>
      <w:rPr>
        <w:rStyle w:val="9"/>
        <w:rFonts w:ascii="宋体" w:hAnsi="宋体"/>
        <w:sz w:val="28"/>
        <w:szCs w:val="28"/>
      </w:rPr>
      <w:instrText xml:space="preserve">PAGE  </w:instrText>
    </w:r>
    <w:r>
      <w:rPr>
        <w:rStyle w:val="9"/>
        <w:rFonts w:ascii="宋体" w:hAnsi="宋体"/>
        <w:sz w:val="28"/>
        <w:szCs w:val="28"/>
      </w:rPr>
      <w:fldChar w:fldCharType="separate"/>
    </w:r>
    <w:r>
      <w:rPr>
        <w:rStyle w:val="9"/>
        <w:rFonts w:ascii="宋体" w:hAnsi="宋体"/>
        <w:sz w:val="28"/>
        <w:szCs w:val="28"/>
      </w:rPr>
      <w:t>1</w:t>
    </w:r>
    <w:r>
      <w:rPr>
        <w:rStyle w:val="9"/>
        <w:rFonts w:ascii="宋体" w:hAnsi="宋体"/>
        <w:sz w:val="28"/>
        <w:szCs w:val="28"/>
      </w:rPr>
      <w:fldChar w:fldCharType="end"/>
    </w:r>
    <w:r>
      <w:rPr>
        <w:rStyle w:val="9"/>
        <w:rFonts w:hint="eastAsia" w:ascii="宋体" w:hAnsi="宋体"/>
        <w:sz w:val="28"/>
        <w:szCs w:val="28"/>
      </w:rPr>
      <w:t xml:space="preserve"> —</w:t>
    </w:r>
  </w:p>
  <w:p>
    <w:pPr>
      <w:pStyle w:val="2"/>
      <w:ind w:right="360" w:firstLine="360"/>
    </w:pPr>
  </w:p>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F9AB15"/>
    <w:multiLevelType w:val="singleLevel"/>
    <w:tmpl w:val="FEF9AB15"/>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true"/>
  <w:bordersDoNotSurroundHeader w:val="false"/>
  <w:bordersDoNotSurroundFooter w:val="false"/>
  <w:trackRevisions w:val="true"/>
  <w:documentProtection w:enforcement="0"/>
  <w:defaultTabStop w:val="420"/>
  <w:hyphenationZone w:val="36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AADA02A"/>
    <w:rsid w:val="06BF99AF"/>
    <w:rsid w:val="09FF8601"/>
    <w:rsid w:val="0BF966C5"/>
    <w:rsid w:val="1B0C699C"/>
    <w:rsid w:val="1BBDB750"/>
    <w:rsid w:val="1BFF9E35"/>
    <w:rsid w:val="1E5E5A71"/>
    <w:rsid w:val="1FC2B74F"/>
    <w:rsid w:val="257F6B50"/>
    <w:rsid w:val="2EF138BD"/>
    <w:rsid w:val="2F195F03"/>
    <w:rsid w:val="2F5EB0B7"/>
    <w:rsid w:val="2F8F1DCA"/>
    <w:rsid w:val="35EFA4B5"/>
    <w:rsid w:val="377B138D"/>
    <w:rsid w:val="397D993D"/>
    <w:rsid w:val="3B2515D0"/>
    <w:rsid w:val="3B9D18CD"/>
    <w:rsid w:val="3ECEED4A"/>
    <w:rsid w:val="3F7B77C7"/>
    <w:rsid w:val="3F7F04B6"/>
    <w:rsid w:val="3F7FB498"/>
    <w:rsid w:val="3FDDA519"/>
    <w:rsid w:val="3FF62CC9"/>
    <w:rsid w:val="3FF777A1"/>
    <w:rsid w:val="3FF7F144"/>
    <w:rsid w:val="4AFF67C5"/>
    <w:rsid w:val="4BD4E25F"/>
    <w:rsid w:val="4DB79B3D"/>
    <w:rsid w:val="4FBB5479"/>
    <w:rsid w:val="53B50E4F"/>
    <w:rsid w:val="54FF11D4"/>
    <w:rsid w:val="57DF4B2B"/>
    <w:rsid w:val="58633F2E"/>
    <w:rsid w:val="5B2F1837"/>
    <w:rsid w:val="5CDB4BE3"/>
    <w:rsid w:val="5E7F4C77"/>
    <w:rsid w:val="5EE78DA9"/>
    <w:rsid w:val="5EEC080A"/>
    <w:rsid w:val="5F3FDAB3"/>
    <w:rsid w:val="5F7ECA64"/>
    <w:rsid w:val="5FD4FFE2"/>
    <w:rsid w:val="5FE1C2DB"/>
    <w:rsid w:val="5FFB21BB"/>
    <w:rsid w:val="5FFB630A"/>
    <w:rsid w:val="5FFC93A5"/>
    <w:rsid w:val="5FFE7CED"/>
    <w:rsid w:val="5FFF0979"/>
    <w:rsid w:val="639FFCF7"/>
    <w:rsid w:val="63EFEEDC"/>
    <w:rsid w:val="65FBA69C"/>
    <w:rsid w:val="66B7D39C"/>
    <w:rsid w:val="67FF4357"/>
    <w:rsid w:val="69F3DF64"/>
    <w:rsid w:val="6EBFA575"/>
    <w:rsid w:val="6FAE92A1"/>
    <w:rsid w:val="6FBF6741"/>
    <w:rsid w:val="6FD3EA7C"/>
    <w:rsid w:val="6FE74640"/>
    <w:rsid w:val="6FEF5CB1"/>
    <w:rsid w:val="6FEF8A8D"/>
    <w:rsid w:val="738E3433"/>
    <w:rsid w:val="74FBD94F"/>
    <w:rsid w:val="75EFCB27"/>
    <w:rsid w:val="75FE2CD3"/>
    <w:rsid w:val="75FF8251"/>
    <w:rsid w:val="7735934D"/>
    <w:rsid w:val="779FC249"/>
    <w:rsid w:val="77F6D928"/>
    <w:rsid w:val="79757149"/>
    <w:rsid w:val="79EDC04B"/>
    <w:rsid w:val="7BBFACB0"/>
    <w:rsid w:val="7BFF5EAB"/>
    <w:rsid w:val="7CDEC059"/>
    <w:rsid w:val="7CDEC838"/>
    <w:rsid w:val="7D3C284C"/>
    <w:rsid w:val="7DA051A9"/>
    <w:rsid w:val="7DAE3C5A"/>
    <w:rsid w:val="7DE78CBF"/>
    <w:rsid w:val="7DF7B782"/>
    <w:rsid w:val="7E7667FD"/>
    <w:rsid w:val="7EBDB0DA"/>
    <w:rsid w:val="7EBE9A8F"/>
    <w:rsid w:val="7ECA9760"/>
    <w:rsid w:val="7EE95D3B"/>
    <w:rsid w:val="7EEF2CC6"/>
    <w:rsid w:val="7EEF8408"/>
    <w:rsid w:val="7F3F460C"/>
    <w:rsid w:val="7F4D1AA4"/>
    <w:rsid w:val="7FA70CA9"/>
    <w:rsid w:val="7FABFCCC"/>
    <w:rsid w:val="7FB1D664"/>
    <w:rsid w:val="7FBDBB60"/>
    <w:rsid w:val="7FBE7AEF"/>
    <w:rsid w:val="7FCF6063"/>
    <w:rsid w:val="7FE0B4CB"/>
    <w:rsid w:val="7FEE9952"/>
    <w:rsid w:val="7FF6E6A5"/>
    <w:rsid w:val="7FF988F2"/>
    <w:rsid w:val="7FFCE193"/>
    <w:rsid w:val="7FFDF233"/>
    <w:rsid w:val="7FFF8BB1"/>
    <w:rsid w:val="8FEEAB4B"/>
    <w:rsid w:val="8FF5FDA0"/>
    <w:rsid w:val="8FFD6AA1"/>
    <w:rsid w:val="9DAD85C3"/>
    <w:rsid w:val="A7FF2C9B"/>
    <w:rsid w:val="A93FCEB8"/>
    <w:rsid w:val="AEDFC5D9"/>
    <w:rsid w:val="AFCFB414"/>
    <w:rsid w:val="AFFE15AA"/>
    <w:rsid w:val="B2AF41BB"/>
    <w:rsid w:val="B2ED1626"/>
    <w:rsid w:val="B377552A"/>
    <w:rsid w:val="B63F8968"/>
    <w:rsid w:val="B6FBA400"/>
    <w:rsid w:val="B7FD2A1B"/>
    <w:rsid w:val="B7FF6299"/>
    <w:rsid w:val="BBF98399"/>
    <w:rsid w:val="BD7767F1"/>
    <w:rsid w:val="BEBD8BC0"/>
    <w:rsid w:val="BEFACC89"/>
    <w:rsid w:val="BEFD5D3B"/>
    <w:rsid w:val="BFEC00BC"/>
    <w:rsid w:val="BFF48C68"/>
    <w:rsid w:val="BFF73D7E"/>
    <w:rsid w:val="BFFFEE40"/>
    <w:rsid w:val="BFFFFEEB"/>
    <w:rsid w:val="C37DA01B"/>
    <w:rsid w:val="C7F3E8EB"/>
    <w:rsid w:val="C87FA11B"/>
    <w:rsid w:val="CD6F895E"/>
    <w:rsid w:val="CFDF586D"/>
    <w:rsid w:val="D25773D9"/>
    <w:rsid w:val="D57FAC3B"/>
    <w:rsid w:val="D79D9C14"/>
    <w:rsid w:val="DAF71998"/>
    <w:rsid w:val="DBD6391A"/>
    <w:rsid w:val="DD6AF5FA"/>
    <w:rsid w:val="DDB63875"/>
    <w:rsid w:val="DDFB240A"/>
    <w:rsid w:val="DDFF9108"/>
    <w:rsid w:val="DE0B2BF5"/>
    <w:rsid w:val="DEF75A17"/>
    <w:rsid w:val="DF7D2DC9"/>
    <w:rsid w:val="DF7F0245"/>
    <w:rsid w:val="DFB4C50C"/>
    <w:rsid w:val="DFE7601C"/>
    <w:rsid w:val="DFF98BF4"/>
    <w:rsid w:val="DFFE80D9"/>
    <w:rsid w:val="DFFFDD64"/>
    <w:rsid w:val="E65F2D91"/>
    <w:rsid w:val="E73C4DAA"/>
    <w:rsid w:val="E7ED4DE0"/>
    <w:rsid w:val="E9E7DEE9"/>
    <w:rsid w:val="EAFD7CA6"/>
    <w:rsid w:val="EB7F6429"/>
    <w:rsid w:val="ECF99D6D"/>
    <w:rsid w:val="ED4FFDF2"/>
    <w:rsid w:val="ED6A4453"/>
    <w:rsid w:val="EDFA7E86"/>
    <w:rsid w:val="EF10C341"/>
    <w:rsid w:val="EF7FBA8B"/>
    <w:rsid w:val="EFFCB50D"/>
    <w:rsid w:val="F2FF8184"/>
    <w:rsid w:val="F377EDF0"/>
    <w:rsid w:val="F37FCF94"/>
    <w:rsid w:val="F3DB6CA2"/>
    <w:rsid w:val="F5765A37"/>
    <w:rsid w:val="F5DB890E"/>
    <w:rsid w:val="F5F20FAF"/>
    <w:rsid w:val="F79BE12E"/>
    <w:rsid w:val="F7B32984"/>
    <w:rsid w:val="F7E58AD7"/>
    <w:rsid w:val="F87B6416"/>
    <w:rsid w:val="F99F12C1"/>
    <w:rsid w:val="F9F6E44B"/>
    <w:rsid w:val="FA464A62"/>
    <w:rsid w:val="FAADA02A"/>
    <w:rsid w:val="FAFEA7D8"/>
    <w:rsid w:val="FB7B1B52"/>
    <w:rsid w:val="FBBE01BA"/>
    <w:rsid w:val="FBF47190"/>
    <w:rsid w:val="FBF9B5F1"/>
    <w:rsid w:val="FCE8B0BA"/>
    <w:rsid w:val="FDAE49CE"/>
    <w:rsid w:val="FDEE2ACD"/>
    <w:rsid w:val="FDFC17BA"/>
    <w:rsid w:val="FE7F199C"/>
    <w:rsid w:val="FEDC5A84"/>
    <w:rsid w:val="FEF13169"/>
    <w:rsid w:val="FEF97EE2"/>
    <w:rsid w:val="FEFBF80D"/>
    <w:rsid w:val="FEFF9F1C"/>
    <w:rsid w:val="FF0DAABF"/>
    <w:rsid w:val="FF772B8A"/>
    <w:rsid w:val="FFB697B5"/>
    <w:rsid w:val="FFBFA980"/>
    <w:rsid w:val="FFBFEF7B"/>
    <w:rsid w:val="FFCBB6D9"/>
    <w:rsid w:val="FFE72A1B"/>
    <w:rsid w:val="FFF9EF5A"/>
    <w:rsid w:val="FFFBF796"/>
    <w:rsid w:val="FFFE5B0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footer"/>
    <w:basedOn w:val="1"/>
    <w:next w:val="3"/>
    <w:qFormat/>
    <w:uiPriority w:val="0"/>
    <w:pPr>
      <w:tabs>
        <w:tab w:val="center" w:pos="4153"/>
        <w:tab w:val="right" w:pos="8306"/>
      </w:tabs>
      <w:snapToGrid w:val="0"/>
      <w:jc w:val="left"/>
    </w:pPr>
    <w:rPr>
      <w:sz w:val="18"/>
    </w:rPr>
  </w:style>
  <w:style w:type="paragraph" w:styleId="3">
    <w:name w:val="toc 4"/>
    <w:basedOn w:val="1"/>
    <w:next w:val="1"/>
    <w:qFormat/>
    <w:uiPriority w:val="0"/>
    <w:pPr>
      <w:ind w:left="1260"/>
    </w:pPr>
  </w:style>
  <w:style w:type="paragraph" w:styleId="4">
    <w:name w:val="annotation text"/>
    <w:basedOn w:val="1"/>
    <w:qFormat/>
    <w:uiPriority w:val="0"/>
    <w:pPr>
      <w:jc w:val="left"/>
    </w:p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9">
    <w:name w:val="page number"/>
    <w:basedOn w:val="8"/>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69</TotalTime>
  <ScaleCrop>false</ScaleCrop>
  <LinksUpToDate>false</LinksUpToDate>
  <CharactersWithSpaces>0</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2025-09-16T02:48:00Z</dcterms:created>
  <dc:creator>ysgz</dc:creator>
  <cp:lastModifiedBy>ysgz</cp:lastModifiedBy>
  <cp:lastPrinted>2026-06-22T18:07:00Z</cp:lastPrinted>
  <dcterms:modified xsi:type="dcterms:W3CDTF">2026-06-22T10:26:26Z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ies>
</file>