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17D80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关于促进会展业</w:t>
      </w:r>
      <w:r>
        <w:rPr>
          <w:rFonts w:hint="eastAsia" w:ascii="方正小标宋简体" w:hAnsi="方正小标宋简体" w:eastAsia="方正小标宋简体" w:cs="方正小标宋简体"/>
          <w:sz w:val="44"/>
          <w:szCs w:val="52"/>
          <w:lang w:val="en-US" w:eastAsia="zh-CN"/>
        </w:rPr>
        <w:t>高质量</w:t>
      </w:r>
      <w:r>
        <w:rPr>
          <w:rFonts w:hint="eastAsia" w:ascii="方正小标宋简体" w:hAnsi="方正小标宋简体" w:eastAsia="方正小标宋简体" w:cs="方正小标宋简体"/>
          <w:sz w:val="44"/>
          <w:szCs w:val="52"/>
        </w:rPr>
        <w:t>发展的实施意见</w:t>
      </w:r>
    </w:p>
    <w:p w14:paraId="5C193D5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40"/>
          <w:lang w:eastAsia="zh-CN"/>
        </w:rPr>
      </w:pP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lang w:val="en-US" w:eastAsia="zh-CN"/>
        </w:rPr>
        <w:t>征求意见稿</w:t>
      </w:r>
      <w:r>
        <w:rPr>
          <w:rFonts w:hint="eastAsia" w:ascii="仿宋_GB2312" w:hAnsi="仿宋_GB2312" w:eastAsia="仿宋_GB2312" w:cs="仿宋_GB2312"/>
          <w:sz w:val="32"/>
          <w:szCs w:val="40"/>
          <w:lang w:eastAsia="zh-CN"/>
        </w:rPr>
        <w:t>）</w:t>
      </w:r>
    </w:p>
    <w:p w14:paraId="39E9B37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40"/>
          <w:lang w:eastAsia="zh-CN"/>
        </w:rPr>
      </w:pPr>
    </w:p>
    <w:p w14:paraId="36A90D4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40"/>
          <w:lang w:eastAsia="zh-CN"/>
        </w:rPr>
      </w:pPr>
      <w:r>
        <w:rPr>
          <w:rFonts w:hint="eastAsia" w:ascii="仿宋_GB2312" w:hAnsi="仿宋_GB2312" w:eastAsia="仿宋_GB2312" w:cs="仿宋_GB2312"/>
          <w:sz w:val="32"/>
          <w:szCs w:val="40"/>
          <w:lang w:eastAsia="zh-CN"/>
        </w:rPr>
        <w:t>为深入贯彻落实国家、省关于推动服务业加快发展的部署要求，</w:t>
      </w:r>
      <w:r>
        <w:rPr>
          <w:rFonts w:hint="eastAsia" w:ascii="仿宋_GB2312" w:hAnsi="仿宋_GB2312" w:eastAsia="仿宋_GB2312" w:cs="仿宋_GB2312"/>
          <w:sz w:val="32"/>
          <w:szCs w:val="40"/>
          <w:lang w:val="en-US" w:eastAsia="zh-CN"/>
        </w:rPr>
        <w:t>根据</w:t>
      </w:r>
      <w:r>
        <w:rPr>
          <w:rFonts w:hint="eastAsia" w:ascii="仿宋_GB2312" w:hAnsi="仿宋_GB2312" w:eastAsia="仿宋_GB2312" w:cs="仿宋_GB2312"/>
          <w:sz w:val="32"/>
          <w:szCs w:val="40"/>
          <w:lang w:eastAsia="zh-CN"/>
        </w:rPr>
        <w:t>《贵阳市国民经济和社会发展第十五个五年规划纲要》等重要规划精神，结合实际，</w:t>
      </w:r>
      <w:r>
        <w:rPr>
          <w:rFonts w:hint="eastAsia" w:ascii="仿宋_GB2312" w:hAnsi="仿宋_GB2312" w:eastAsia="仿宋_GB2312" w:cs="仿宋_GB2312"/>
          <w:sz w:val="32"/>
          <w:szCs w:val="40"/>
          <w:lang w:val="en-US" w:eastAsia="zh-CN"/>
        </w:rPr>
        <w:t>提出如下意见</w:t>
      </w:r>
      <w:r>
        <w:rPr>
          <w:rFonts w:hint="eastAsia" w:ascii="仿宋_GB2312" w:hAnsi="仿宋_GB2312" w:eastAsia="仿宋_GB2312" w:cs="仿宋_GB2312"/>
          <w:sz w:val="32"/>
          <w:szCs w:val="40"/>
          <w:lang w:eastAsia="zh-CN"/>
        </w:rPr>
        <w:t>。</w:t>
      </w:r>
    </w:p>
    <w:p w14:paraId="3EDCBEAE">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sz w:val="32"/>
          <w:szCs w:val="40"/>
          <w:lang w:val="en-US" w:eastAsia="zh-CN"/>
        </w:rPr>
      </w:pPr>
      <w:r>
        <w:rPr>
          <w:rFonts w:hint="eastAsia" w:ascii="黑体" w:hAnsi="黑体" w:eastAsia="黑体" w:cs="黑体"/>
          <w:sz w:val="32"/>
          <w:szCs w:val="40"/>
          <w:lang w:val="en-US" w:eastAsia="zh-CN"/>
        </w:rPr>
        <w:t>总体要求</w:t>
      </w:r>
    </w:p>
    <w:p w14:paraId="1FBF87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楷体" w:hAnsi="楷体" w:eastAsia="楷体" w:cs="楷体"/>
          <w:sz w:val="32"/>
          <w:szCs w:val="40"/>
          <w:lang w:val="en-US" w:eastAsia="zh-CN"/>
        </w:rPr>
      </w:pPr>
      <w:r>
        <w:rPr>
          <w:rFonts w:hint="eastAsia" w:ascii="楷体" w:hAnsi="楷体" w:eastAsia="楷体" w:cs="楷体"/>
          <w:sz w:val="32"/>
          <w:szCs w:val="40"/>
          <w:lang w:val="en-US" w:eastAsia="zh-CN"/>
        </w:rPr>
        <w:t>（一）指导思想。</w:t>
      </w:r>
      <w:r>
        <w:rPr>
          <w:rFonts w:hint="eastAsia" w:ascii="仿宋_GB2312" w:hAnsi="仿宋_GB2312" w:eastAsia="仿宋_GB2312" w:cs="仿宋_GB2312"/>
          <w:sz w:val="32"/>
          <w:szCs w:val="40"/>
          <w:lang w:val="en-US" w:eastAsia="zh-CN"/>
        </w:rPr>
        <w:t>以习近平新时代中国特色社会主义思想为指导，深入学习贯彻落实习近平总书记在贵州考察时的重要讲话精神以及党的二十大精神，围绕市场化改革、产业化融合、国际化突破、数字化赋能破局，立足“爽爽贵阳”气候禀赋，深耕六大产业集群，推动“气候引展、产业生根”的双向融合发展、相互赋能，坚持存量优化和增量拓展并举，着力推进招展、招会、引企、引业融合联动，重塑会展发展竞争力，构建现代化会展产业体系，助推贵阳贵安建成面向全国的夏季会展之都，打造“中国夏季会展名城升级版”。</w:t>
      </w:r>
    </w:p>
    <w:p w14:paraId="5CD1358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楷体" w:hAnsi="楷体" w:eastAsia="楷体" w:cs="楷体"/>
          <w:sz w:val="32"/>
          <w:szCs w:val="40"/>
          <w:lang w:val="en-US" w:eastAsia="zh-CN"/>
        </w:rPr>
        <w:t>（二）发展目标。</w:t>
      </w:r>
      <w:r>
        <w:rPr>
          <w:rFonts w:hint="eastAsia" w:ascii="仿宋_GB2312" w:hAnsi="仿宋_GB2312" w:eastAsia="仿宋_GB2312" w:cs="仿宋_GB2312"/>
          <w:sz w:val="32"/>
          <w:szCs w:val="32"/>
          <w:lang w:val="en-US" w:eastAsia="zh-CN"/>
        </w:rPr>
        <w:t>力争用5年时间，全面构建“龙头+支撑+配套”会展产业链，持续释放“生态文明贵阳国际论坛、中国国际大数据产业博览会、中国-东盟教育交流周”三大国家级展会品牌效应，逐步形成贵阳贵安会展品牌矩阵，打造完成“中国夏季会展名城升级版”。到2030年，新增规模以上会展相关企业5家以上，年办展数量达到60场，总面积75万㎡，力争获得UFI、ICCA等国际认证3个以上，年度国际性展览占比高于5%。</w:t>
      </w:r>
      <w:bookmarkStart w:id="0" w:name="_GoBack"/>
      <w:bookmarkEnd w:id="0"/>
    </w:p>
    <w:p w14:paraId="3B78E8AD">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sz w:val="32"/>
          <w:szCs w:val="40"/>
          <w:lang w:val="en-US" w:eastAsia="zh-CN"/>
        </w:rPr>
      </w:pPr>
      <w:r>
        <w:rPr>
          <w:rFonts w:hint="eastAsia" w:ascii="黑体" w:hAnsi="黑体" w:eastAsia="黑体" w:cs="黑体"/>
          <w:sz w:val="32"/>
          <w:szCs w:val="40"/>
          <w:lang w:val="en-US" w:eastAsia="zh-CN"/>
        </w:rPr>
        <w:t>主要任务</w:t>
      </w:r>
    </w:p>
    <w:p w14:paraId="6811B90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pPr>
      <w:r>
        <w:rPr>
          <w:rFonts w:hint="eastAsia" w:ascii="楷体_GB2312" w:hAnsi="楷体_GB2312" w:eastAsia="楷体_GB2312" w:cs="楷体_GB2312"/>
          <w:i w:val="0"/>
          <w:iCs w:val="0"/>
          <w:caps w:val="0"/>
          <w:color w:val="0F1115"/>
          <w:spacing w:val="0"/>
          <w:kern w:val="2"/>
          <w:sz w:val="32"/>
          <w:szCs w:val="32"/>
          <w:highlight w:val="none"/>
          <w:shd w:val="clear" w:color="auto" w:fill="auto"/>
          <w:lang w:val="en-US" w:eastAsia="zh-CN" w:bidi="ar-SA"/>
        </w:rPr>
        <w:t>（三）构建会展产业链体系。</w:t>
      </w:r>
      <w:r>
        <w:rPr>
          <w:rFonts w:hint="eastAsia"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t>坚持产业链发展思维，以会展项目、会展企业、会展场馆为龙头，积极引导策划、广告、印刷、设计、安装、租赁等会展支撑企业，以及餐饮、住宿、金融、旅游、交通、物流等会展配套服务企业链条式发展，推动完善会展产业供应体系，打造产业联动、行业配套、运行高效的会展全产业链。</w:t>
      </w:r>
    </w:p>
    <w:p w14:paraId="1E3B80E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pPr>
      <w:r>
        <w:rPr>
          <w:rFonts w:hint="eastAsia" w:ascii="楷体_GB2312" w:hAnsi="楷体_GB2312" w:eastAsia="楷体_GB2312" w:cs="楷体_GB2312"/>
          <w:i w:val="0"/>
          <w:iCs w:val="0"/>
          <w:caps w:val="0"/>
          <w:color w:val="0F1115"/>
          <w:spacing w:val="0"/>
          <w:kern w:val="2"/>
          <w:sz w:val="32"/>
          <w:szCs w:val="32"/>
          <w:highlight w:val="none"/>
          <w:shd w:val="clear" w:color="auto" w:fill="auto"/>
          <w:lang w:val="en-US" w:eastAsia="zh-CN" w:bidi="ar-SA"/>
        </w:rPr>
        <w:t>（四）打造会展品牌矩阵。</w:t>
      </w:r>
      <w:r>
        <w:rPr>
          <w:rFonts w:hint="eastAsia"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t>高规格、高质量办好生态文明贵阳国际论坛、中国国际大数据产业博览会、中国—东盟教育交流周等国家级、国际性会展活动，</w:t>
      </w:r>
      <w:r>
        <w:rPr>
          <w:rFonts w:hint="eastAsia" w:ascii="仿宋_GB2312" w:hAnsi="仿宋_GB2312" w:eastAsia="仿宋_GB2312" w:cs="仿宋_GB2312"/>
          <w:i w:val="0"/>
          <w:iCs w:val="0"/>
          <w:caps w:val="0"/>
          <w:color w:val="0F1115"/>
          <w:spacing w:val="0"/>
          <w:sz w:val="32"/>
          <w:szCs w:val="32"/>
          <w:highlight w:val="none"/>
          <w:shd w:val="clear" w:color="auto" w:fill="auto"/>
        </w:rPr>
        <w:t>积极推进中国（贵州）国际酒类博览会、</w:t>
      </w:r>
      <w:r>
        <w:rPr>
          <w:rFonts w:hint="eastAsia" w:ascii="仿宋_GB2312" w:hAnsi="仿宋_GB2312" w:eastAsia="仿宋_GB2312" w:cs="仿宋_GB2312"/>
          <w:sz w:val="32"/>
          <w:szCs w:val="32"/>
          <w:highlight w:val="none"/>
          <w:shd w:val="clear" w:color="auto" w:fill="auto"/>
          <w:lang w:val="en-US" w:eastAsia="zh-CN"/>
        </w:rPr>
        <w:t>贵州国际能源产业博览交易会</w:t>
      </w:r>
      <w:r>
        <w:rPr>
          <w:rFonts w:hint="eastAsia" w:ascii="仿宋_GB2312" w:hAnsi="仿宋_GB2312" w:eastAsia="仿宋_GB2312" w:cs="仿宋_GB2312"/>
          <w:i w:val="0"/>
          <w:iCs w:val="0"/>
          <w:caps w:val="0"/>
          <w:color w:val="0F1115"/>
          <w:spacing w:val="0"/>
          <w:sz w:val="32"/>
          <w:szCs w:val="32"/>
          <w:highlight w:val="none"/>
          <w:shd w:val="clear" w:color="auto" w:fill="auto"/>
        </w:rPr>
        <w:t>等会展活动提质升级</w:t>
      </w:r>
      <w:r>
        <w:rPr>
          <w:rFonts w:hint="eastAsia" w:ascii="仿宋_GB2312" w:hAnsi="仿宋_GB2312" w:eastAsia="仿宋_GB2312" w:cs="仿宋_GB2312"/>
          <w:i w:val="0"/>
          <w:iCs w:val="0"/>
          <w:caps w:val="0"/>
          <w:color w:val="0F1115"/>
          <w:spacing w:val="0"/>
          <w:sz w:val="32"/>
          <w:szCs w:val="32"/>
          <w:highlight w:val="none"/>
          <w:shd w:val="clear" w:color="auto" w:fill="auto"/>
          <w:lang w:eastAsia="zh-CN"/>
        </w:rPr>
        <w:t>，不断扩大现有支柱会展品牌的辐射广度与专业深度，提升国际化水平。加强与国内外知名会展业组织、行业协会、会展企业及各产业龙头企业合作，围绕</w:t>
      </w:r>
      <w:r>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t>六大产业集群及其他重点产业</w:t>
      </w:r>
      <w:r>
        <w:rPr>
          <w:rFonts w:hint="eastAsia" w:ascii="仿宋_GB2312" w:hAnsi="仿宋_GB2312" w:eastAsia="仿宋_GB2312" w:cs="仿宋_GB2312"/>
          <w:i w:val="0"/>
          <w:iCs w:val="0"/>
          <w:caps w:val="0"/>
          <w:color w:val="0F1115"/>
          <w:spacing w:val="0"/>
          <w:sz w:val="32"/>
          <w:szCs w:val="32"/>
          <w:highlight w:val="none"/>
          <w:shd w:val="clear" w:color="auto" w:fill="auto"/>
          <w:lang w:eastAsia="zh-CN"/>
        </w:rPr>
        <w:t>，</w:t>
      </w:r>
      <w:r>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t>通过领导带头招商、驻外招商、商协会招商、以商招商、资源招商、场景招商等方式，</w:t>
      </w:r>
      <w:r>
        <w:rPr>
          <w:rFonts w:hint="eastAsia" w:ascii="仿宋_GB2312" w:hAnsi="仿宋_GB2312" w:eastAsia="仿宋_GB2312" w:cs="仿宋_GB2312"/>
          <w:i w:val="0"/>
          <w:iCs w:val="0"/>
          <w:caps w:val="0"/>
          <w:color w:val="0F1115"/>
          <w:spacing w:val="0"/>
          <w:sz w:val="32"/>
          <w:szCs w:val="32"/>
          <w:highlight w:val="none"/>
          <w:shd w:val="clear" w:color="auto" w:fill="auto"/>
          <w:lang w:eastAsia="zh-CN"/>
        </w:rPr>
        <w:t>积极引进一批国内外会展项目在筑举办或设分展，积极牵引各产业龙头企业赴筑举办行业峰会、企业年会、供应商大会、专业论坛等会议，</w:t>
      </w:r>
      <w:r>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t>谋划</w:t>
      </w:r>
      <w:r>
        <w:rPr>
          <w:rFonts w:hint="eastAsia" w:ascii="仿宋_GB2312" w:hAnsi="仿宋_GB2312" w:eastAsia="仿宋_GB2312" w:cs="仿宋_GB2312"/>
          <w:i w:val="0"/>
          <w:iCs w:val="0"/>
          <w:caps w:val="0"/>
          <w:color w:val="0F1115"/>
          <w:spacing w:val="0"/>
          <w:sz w:val="32"/>
          <w:szCs w:val="32"/>
          <w:highlight w:val="none"/>
          <w:shd w:val="clear" w:color="auto" w:fill="auto"/>
          <w:lang w:eastAsia="zh-CN"/>
        </w:rPr>
        <w:t>培育一批本土特色会展品牌。</w:t>
      </w:r>
      <w:r>
        <w:rPr>
          <w:rFonts w:hint="eastAsia"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t>立足贵阳资源禀赋与产业特色，系统构建层次分明、功能互补的会展品牌矩阵。</w:t>
      </w:r>
    </w:p>
    <w:p w14:paraId="30ED862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pPr>
      <w:r>
        <w:rPr>
          <w:rFonts w:hint="eastAsia" w:ascii="楷体_GB2312" w:hAnsi="楷体_GB2312" w:eastAsia="楷体_GB2312" w:cs="楷体_GB2312"/>
          <w:i w:val="0"/>
          <w:iCs w:val="0"/>
          <w:caps w:val="0"/>
          <w:color w:val="0F1115"/>
          <w:spacing w:val="0"/>
          <w:kern w:val="2"/>
          <w:sz w:val="32"/>
          <w:szCs w:val="32"/>
          <w:highlight w:val="none"/>
          <w:shd w:val="clear" w:color="auto" w:fill="auto"/>
          <w:lang w:val="en-US" w:eastAsia="zh-CN" w:bidi="ar-SA"/>
        </w:rPr>
        <w:t>（五）激发市场主体活力。</w:t>
      </w:r>
      <w:r>
        <w:rPr>
          <w:rFonts w:hint="eastAsia"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t>培育壮大一批本地专业会展企业，协调解决企业发展困难，支持龙头企业通过战略合作与品牌孵化，培育具有区域竞争力的本土会展集团。瞄准国内外会展头部企业，加快引进一批影响大、带动强的会展企业总部或分支机构落户贵阳，提升行业服务能力。推动会展行业协会建设，充分发挥市会展行业协会规范市场秩序、促进行业交流合作等平台作用，支持鼓励协会举办会展行业交流论坛、沙龙。充分发挥观山湖现代服务产业试验区的引育、服务功能，加强政策引领，积极围绕产业链薄弱环节、缺失环节，引进重点会展企业补链延链，全力助推会展产业发展壮大。</w:t>
      </w:r>
    </w:p>
    <w:p w14:paraId="3DA8AE3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pPr>
      <w:r>
        <w:rPr>
          <w:rFonts w:hint="eastAsia" w:ascii="楷体_GB2312" w:hAnsi="楷体_GB2312" w:eastAsia="楷体_GB2312" w:cs="楷体_GB2312"/>
          <w:i w:val="0"/>
          <w:iCs w:val="0"/>
          <w:caps w:val="0"/>
          <w:color w:val="0F1115"/>
          <w:spacing w:val="0"/>
          <w:kern w:val="2"/>
          <w:sz w:val="32"/>
          <w:szCs w:val="32"/>
          <w:highlight w:val="none"/>
          <w:shd w:val="clear" w:color="auto" w:fill="auto"/>
          <w:lang w:val="en-US" w:eastAsia="zh-CN" w:bidi="ar-SA"/>
        </w:rPr>
        <w:t>（六）着力发展融合业态。</w:t>
      </w:r>
      <w:r>
        <w:rPr>
          <w:rFonts w:hint="eastAsia"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t>完善公共交通、餐饮住宿、商业购物、旅游娱乐等会展服务配套设施，依托会展经济发展“票根经济”，推出吃、住、行、游、购、娱等特色服务优惠措施，通过展城融合、特色商圈联动、夜间经济延伸等方式，推动会展同文旅体商等业态融合，将展会人流高效转化为消费增量。做大“会展+”模式，</w:t>
      </w:r>
      <w:r>
        <w:rPr>
          <w:rFonts w:hint="eastAsia" w:ascii="仿宋_GB2312" w:hAnsi="仿宋_GB2312" w:eastAsia="仿宋_GB2312" w:cs="仿宋_GB2312"/>
          <w:i w:val="0"/>
          <w:iCs w:val="0"/>
          <w:caps w:val="0"/>
          <w:color w:val="0F1115"/>
          <w:spacing w:val="0"/>
          <w:sz w:val="32"/>
          <w:szCs w:val="32"/>
          <w:highlight w:val="none"/>
          <w:shd w:val="clear" w:color="auto" w:fill="auto"/>
        </w:rPr>
        <w:t>围绕贵阳市优势产业，促进</w:t>
      </w:r>
      <w:r>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t>会展产业</w:t>
      </w:r>
      <w:r>
        <w:rPr>
          <w:rFonts w:hint="eastAsia" w:ascii="仿宋_GB2312" w:hAnsi="仿宋_GB2312" w:eastAsia="仿宋_GB2312" w:cs="仿宋_GB2312"/>
          <w:i w:val="0"/>
          <w:iCs w:val="0"/>
          <w:caps w:val="0"/>
          <w:color w:val="0F1115"/>
          <w:spacing w:val="0"/>
          <w:sz w:val="32"/>
          <w:szCs w:val="32"/>
          <w:highlight w:val="none"/>
          <w:shd w:val="clear" w:color="auto" w:fill="auto"/>
        </w:rPr>
        <w:t>与</w:t>
      </w:r>
      <w:r>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t>六大产业集群</w:t>
      </w:r>
      <w:r>
        <w:rPr>
          <w:rFonts w:hint="eastAsia" w:ascii="仿宋_GB2312" w:hAnsi="仿宋_GB2312" w:eastAsia="仿宋_GB2312" w:cs="仿宋_GB2312"/>
          <w:i w:val="0"/>
          <w:iCs w:val="0"/>
          <w:caps w:val="0"/>
          <w:color w:val="0F1115"/>
          <w:spacing w:val="0"/>
          <w:sz w:val="32"/>
          <w:szCs w:val="32"/>
          <w:highlight w:val="none"/>
          <w:shd w:val="clear" w:color="auto" w:fill="auto"/>
        </w:rPr>
        <w:t>深度融合，推动招展引会与招商引资相结合，培育展会与壮大产业链相结合，以产引展</w:t>
      </w:r>
      <w:r>
        <w:rPr>
          <w:rFonts w:hint="eastAsia" w:ascii="仿宋_GB2312" w:hAnsi="仿宋_GB2312" w:eastAsia="仿宋_GB2312" w:cs="仿宋_GB2312"/>
          <w:i w:val="0"/>
          <w:iCs w:val="0"/>
          <w:caps w:val="0"/>
          <w:color w:val="0F1115"/>
          <w:spacing w:val="0"/>
          <w:sz w:val="32"/>
          <w:szCs w:val="32"/>
          <w:highlight w:val="none"/>
          <w:shd w:val="clear" w:color="auto" w:fill="auto"/>
          <w:lang w:eastAsia="zh-CN"/>
        </w:rPr>
        <w:t>、</w:t>
      </w:r>
      <w:r>
        <w:rPr>
          <w:rFonts w:hint="eastAsia" w:ascii="仿宋_GB2312" w:hAnsi="仿宋_GB2312" w:eastAsia="仿宋_GB2312" w:cs="仿宋_GB2312"/>
          <w:i w:val="0"/>
          <w:iCs w:val="0"/>
          <w:caps w:val="0"/>
          <w:color w:val="0F1115"/>
          <w:spacing w:val="0"/>
          <w:sz w:val="32"/>
          <w:szCs w:val="32"/>
          <w:highlight w:val="none"/>
          <w:shd w:val="clear" w:color="auto" w:fill="auto"/>
        </w:rPr>
        <w:t>以展促产，实现“一产业一展会”发展格局</w:t>
      </w:r>
      <w:r>
        <w:rPr>
          <w:rFonts w:hint="eastAsia" w:ascii="仿宋_GB2312" w:hAnsi="仿宋_GB2312" w:eastAsia="仿宋_GB2312" w:cs="仿宋_GB2312"/>
          <w:i w:val="0"/>
          <w:iCs w:val="0"/>
          <w:caps w:val="0"/>
          <w:color w:val="0F1115"/>
          <w:spacing w:val="0"/>
          <w:sz w:val="32"/>
          <w:szCs w:val="32"/>
          <w:highlight w:val="none"/>
          <w:shd w:val="clear" w:color="auto" w:fill="auto"/>
          <w:lang w:eastAsia="zh-CN"/>
        </w:rPr>
        <w:t>。</w:t>
      </w:r>
      <w:r>
        <w:rPr>
          <w:rFonts w:hint="eastAsia"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t>充分发挥会展经济的“溢出效应”与“乘数效应”，构建起以会展为牵引、多业态共生共赢的产业融合发展新格局。</w:t>
      </w:r>
    </w:p>
    <w:p w14:paraId="3A643BE3">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sz w:val="32"/>
          <w:szCs w:val="32"/>
          <w:highlight w:val="none"/>
          <w:lang w:val="en-US" w:eastAsia="zh-CN"/>
        </w:rPr>
      </w:pPr>
      <w:r>
        <w:rPr>
          <w:rFonts w:hint="eastAsia" w:ascii="楷体_GB2312" w:hAnsi="楷体_GB2312" w:eastAsia="楷体_GB2312" w:cs="楷体_GB2312"/>
          <w:i w:val="0"/>
          <w:iCs w:val="0"/>
          <w:caps w:val="0"/>
          <w:color w:val="0F1115"/>
          <w:spacing w:val="0"/>
          <w:kern w:val="2"/>
          <w:sz w:val="32"/>
          <w:szCs w:val="32"/>
          <w:highlight w:val="none"/>
          <w:shd w:val="clear" w:color="auto" w:fill="auto"/>
          <w:lang w:val="en-US" w:eastAsia="zh-CN" w:bidi="ar-SA"/>
        </w:rPr>
        <w:t>（七）推进会展业数字化建设。</w:t>
      </w:r>
      <w:r>
        <w:rPr>
          <w:rFonts w:hint="eastAsia" w:ascii="仿宋_GB2312" w:hAnsi="仿宋_GB2312" w:eastAsia="仿宋_GB2312" w:cs="仿宋_GB2312"/>
          <w:sz w:val="32"/>
          <w:szCs w:val="32"/>
          <w:highlight w:val="none"/>
        </w:rPr>
        <w:t>以推动会展业数字化转型为核心，大力引进和培育在数字会展领域具备核心技术能力的市场主体，支持其在贵阳贵安设立区域运营中心或研发基地。</w:t>
      </w:r>
      <w:r>
        <w:rPr>
          <w:rFonts w:hint="default"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t>鼓励会展场馆开展数字化改造，打造集数字展示、</w:t>
      </w:r>
      <w:r>
        <w:rPr>
          <w:rFonts w:hint="eastAsia"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t>智能导览、人流监测、</w:t>
      </w:r>
      <w:r>
        <w:rPr>
          <w:rFonts w:hint="default" w:ascii="仿宋_GB2312" w:hAnsi="仿宋_GB2312" w:eastAsia="仿宋_GB2312" w:cs="仿宋_GB2312"/>
          <w:i w:val="0"/>
          <w:iCs w:val="0"/>
          <w:caps w:val="0"/>
          <w:color w:val="0F1115"/>
          <w:spacing w:val="0"/>
          <w:kern w:val="2"/>
          <w:sz w:val="32"/>
          <w:szCs w:val="32"/>
          <w:highlight w:val="none"/>
          <w:shd w:val="clear" w:color="auto" w:fill="auto"/>
          <w:lang w:val="en-US" w:eastAsia="zh-CN" w:bidi="ar-SA"/>
        </w:rPr>
        <w:t>多媒体互动、智能管理与风险防控为一体的智慧型场馆，提升场馆综合运营与服务能力。</w:t>
      </w:r>
      <w:r>
        <w:rPr>
          <w:rFonts w:hint="eastAsia" w:ascii="仿宋_GB2312" w:hAnsi="仿宋_GB2312" w:eastAsia="仿宋_GB2312" w:cs="仿宋_GB2312"/>
          <w:sz w:val="32"/>
          <w:szCs w:val="32"/>
          <w:highlight w:val="none"/>
        </w:rPr>
        <w:t>推动</w:t>
      </w:r>
      <w:r>
        <w:rPr>
          <w:rFonts w:hint="eastAsia" w:ascii="仿宋_GB2312" w:hAnsi="仿宋_GB2312" w:eastAsia="仿宋_GB2312" w:cs="仿宋_GB2312"/>
          <w:sz w:val="32"/>
          <w:szCs w:val="32"/>
          <w:highlight w:val="none"/>
          <w:lang w:val="en-US" w:eastAsia="zh-CN"/>
        </w:rPr>
        <w:t>会展企业</w:t>
      </w:r>
      <w:r>
        <w:rPr>
          <w:rFonts w:hint="eastAsia" w:ascii="仿宋_GB2312" w:hAnsi="仿宋_GB2312" w:eastAsia="仿宋_GB2312" w:cs="仿宋_GB2312"/>
          <w:sz w:val="32"/>
          <w:szCs w:val="32"/>
          <w:highlight w:val="none"/>
        </w:rPr>
        <w:t>广泛应用VR/AR沉浸式展示、全息投影、AI智能客服、大数据精准营销、区块链数字存证、线上洽谈签约</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客户数据平台</w:t>
      </w:r>
      <w:r>
        <w:rPr>
          <w:rFonts w:hint="eastAsia" w:ascii="仿宋_GB2312" w:hAnsi="仿宋_GB2312" w:eastAsia="仿宋_GB2312" w:cs="仿宋_GB2312"/>
          <w:sz w:val="32"/>
          <w:szCs w:val="32"/>
          <w:highlight w:val="none"/>
        </w:rPr>
        <w:t>等数字化工具，鼓励开发具有行业特色的数字会展解决方案</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构建技术先进、业态创新、服务高效的数字会展生态体系。</w:t>
      </w:r>
    </w:p>
    <w:p w14:paraId="7CB67856">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黑体" w:hAnsi="黑体" w:eastAsia="黑体" w:cs="黑体"/>
          <w:sz w:val="32"/>
          <w:szCs w:val="40"/>
          <w:lang w:val="en-US" w:eastAsia="zh-CN"/>
        </w:rPr>
      </w:pPr>
      <w:r>
        <w:rPr>
          <w:rFonts w:hint="eastAsia" w:ascii="黑体" w:hAnsi="黑体" w:eastAsia="黑体" w:cs="黑体"/>
          <w:sz w:val="32"/>
          <w:szCs w:val="40"/>
          <w:lang w:val="en-US" w:eastAsia="zh-CN"/>
        </w:rPr>
        <w:t>保障措施</w:t>
      </w:r>
    </w:p>
    <w:p w14:paraId="2DB9C9A2">
      <w:pPr>
        <w:pStyle w:val="5"/>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56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pP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w:t>
      </w:r>
      <w:r>
        <w:rPr>
          <w:rFonts w:hint="eastAsia" w:ascii="楷体_GB2312" w:hAnsi="楷体_GB2312" w:eastAsia="楷体_GB2312" w:cs="楷体_GB2312"/>
          <w:i w:val="0"/>
          <w:iCs w:val="0"/>
          <w:caps w:val="0"/>
          <w:color w:val="0F1115"/>
          <w:spacing w:val="0"/>
          <w:sz w:val="32"/>
          <w:szCs w:val="32"/>
          <w:highlight w:val="none"/>
          <w:shd w:val="clear" w:color="auto" w:fill="auto"/>
          <w:lang w:val="en-US" w:eastAsia="zh-CN"/>
        </w:rPr>
        <w:t>八</w:t>
      </w: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w:t>
      </w:r>
      <w:r>
        <w:rPr>
          <w:rFonts w:hint="eastAsia" w:ascii="楷体_GB2312" w:hAnsi="楷体_GB2312" w:eastAsia="楷体_GB2312" w:cs="楷体_GB2312"/>
          <w:i w:val="0"/>
          <w:iCs w:val="0"/>
          <w:caps w:val="0"/>
          <w:color w:val="0F1115"/>
          <w:spacing w:val="0"/>
          <w:sz w:val="32"/>
          <w:szCs w:val="32"/>
          <w:highlight w:val="none"/>
          <w:shd w:val="clear" w:color="auto" w:fill="auto"/>
        </w:rPr>
        <w:t>加强组织统筹。</w:t>
      </w:r>
      <w:r>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t>建立由市政府分管副市长为召集人、相关部门分管负责人为成员的贵阳市会展业工作联席会议制度，根据会展工作需要，定期召开专题会议，</w:t>
      </w:r>
      <w:r>
        <w:rPr>
          <w:rFonts w:hint="default" w:ascii="Times New Roman" w:hAnsi="Times New Roman" w:eastAsia="仿宋_GB2312" w:cs="Times New Roman"/>
          <w:color w:val="000000"/>
          <w:kern w:val="0"/>
          <w:sz w:val="32"/>
          <w:szCs w:val="32"/>
          <w:shd w:val="clear"/>
          <w:lang w:val="en-US" w:eastAsia="zh-CN"/>
        </w:rPr>
        <w:t>推动</w:t>
      </w:r>
      <w:r>
        <w:rPr>
          <w:rFonts w:hint="default" w:ascii="Times New Roman" w:hAnsi="Times New Roman" w:eastAsia="仿宋_GB2312" w:cs="Times New Roman"/>
          <w:color w:val="000000"/>
          <w:kern w:val="0"/>
          <w:sz w:val="32"/>
          <w:szCs w:val="32"/>
          <w:shd w:val="clear"/>
        </w:rPr>
        <w:t>解决</w:t>
      </w:r>
      <w:r>
        <w:rPr>
          <w:rFonts w:hint="eastAsia" w:ascii="Times New Roman" w:hAnsi="Times New Roman" w:eastAsia="仿宋_GB2312" w:cs="Times New Roman"/>
          <w:color w:val="000000"/>
          <w:kern w:val="0"/>
          <w:sz w:val="32"/>
          <w:szCs w:val="32"/>
          <w:shd w:val="clear"/>
          <w:lang w:val="en-US" w:eastAsia="zh-CN"/>
        </w:rPr>
        <w:t>会展业</w:t>
      </w:r>
      <w:r>
        <w:rPr>
          <w:rFonts w:hint="default" w:ascii="Times New Roman" w:hAnsi="Times New Roman" w:eastAsia="仿宋_GB2312" w:cs="Times New Roman"/>
          <w:color w:val="000000"/>
          <w:kern w:val="0"/>
          <w:sz w:val="32"/>
          <w:szCs w:val="32"/>
          <w:shd w:val="clear"/>
        </w:rPr>
        <w:t>发展</w:t>
      </w:r>
      <w:r>
        <w:rPr>
          <w:rFonts w:hint="default" w:ascii="Times New Roman" w:hAnsi="Times New Roman" w:eastAsia="仿宋_GB2312" w:cs="Times New Roman"/>
          <w:color w:val="000000"/>
          <w:kern w:val="0"/>
          <w:sz w:val="32"/>
          <w:szCs w:val="32"/>
          <w:shd w:val="clear"/>
          <w:lang w:val="en-US" w:eastAsia="zh-CN"/>
        </w:rPr>
        <w:t>过程中</w:t>
      </w:r>
      <w:r>
        <w:rPr>
          <w:rFonts w:hint="default" w:ascii="Times New Roman" w:hAnsi="Times New Roman" w:eastAsia="仿宋_GB2312" w:cs="Times New Roman"/>
          <w:color w:val="000000"/>
          <w:kern w:val="0"/>
          <w:sz w:val="32"/>
          <w:szCs w:val="32"/>
          <w:shd w:val="clear"/>
        </w:rPr>
        <w:t>面临的</w:t>
      </w:r>
      <w:r>
        <w:rPr>
          <w:rFonts w:hint="eastAsia" w:ascii="Times New Roman" w:hAnsi="Times New Roman" w:eastAsia="仿宋_GB2312" w:cs="Times New Roman"/>
          <w:color w:val="000000"/>
          <w:kern w:val="0"/>
          <w:sz w:val="32"/>
          <w:szCs w:val="32"/>
          <w:shd w:val="clear"/>
          <w:lang w:val="en-US" w:eastAsia="zh-CN"/>
        </w:rPr>
        <w:t>困难和</w:t>
      </w:r>
      <w:r>
        <w:rPr>
          <w:rFonts w:hint="default" w:ascii="Times New Roman" w:hAnsi="Times New Roman" w:eastAsia="仿宋_GB2312" w:cs="Times New Roman"/>
          <w:color w:val="000000"/>
          <w:kern w:val="0"/>
          <w:sz w:val="32"/>
          <w:szCs w:val="32"/>
          <w:shd w:val="clear"/>
        </w:rPr>
        <w:t>问题，进一步提升</w:t>
      </w:r>
      <w:r>
        <w:rPr>
          <w:rFonts w:hint="eastAsia" w:ascii="Times New Roman" w:hAnsi="Times New Roman" w:eastAsia="仿宋_GB2312" w:cs="Times New Roman"/>
          <w:color w:val="000000"/>
          <w:kern w:val="0"/>
          <w:sz w:val="32"/>
          <w:szCs w:val="32"/>
          <w:shd w:val="clear"/>
          <w:lang w:val="en-US" w:eastAsia="zh-CN"/>
        </w:rPr>
        <w:t>招展引会</w:t>
      </w:r>
      <w:r>
        <w:rPr>
          <w:rFonts w:hint="default" w:ascii="Times New Roman" w:hAnsi="Times New Roman" w:eastAsia="仿宋_GB2312" w:cs="Times New Roman"/>
          <w:color w:val="000000"/>
          <w:kern w:val="0"/>
          <w:sz w:val="32"/>
          <w:szCs w:val="32"/>
          <w:shd w:val="clear"/>
        </w:rPr>
        <w:t>效能和</w:t>
      </w:r>
      <w:r>
        <w:rPr>
          <w:rFonts w:hint="eastAsia" w:ascii="Times New Roman" w:hAnsi="Times New Roman" w:eastAsia="仿宋_GB2312" w:cs="Times New Roman"/>
          <w:color w:val="000000"/>
          <w:kern w:val="0"/>
          <w:sz w:val="32"/>
          <w:szCs w:val="32"/>
          <w:shd w:val="clear"/>
          <w:lang w:val="en-US" w:eastAsia="zh-CN"/>
        </w:rPr>
        <w:t>重点会展项目</w:t>
      </w:r>
      <w:r>
        <w:rPr>
          <w:rFonts w:hint="default" w:ascii="Times New Roman" w:hAnsi="Times New Roman" w:eastAsia="仿宋_GB2312" w:cs="Times New Roman"/>
          <w:color w:val="000000"/>
          <w:kern w:val="0"/>
          <w:sz w:val="32"/>
          <w:szCs w:val="32"/>
          <w:shd w:val="clear"/>
        </w:rPr>
        <w:t>服务</w:t>
      </w:r>
      <w:r>
        <w:rPr>
          <w:rFonts w:hint="eastAsia" w:ascii="Times New Roman" w:hAnsi="Times New Roman" w:eastAsia="仿宋_GB2312" w:cs="Times New Roman"/>
          <w:color w:val="000000"/>
          <w:kern w:val="0"/>
          <w:sz w:val="32"/>
          <w:szCs w:val="32"/>
          <w:shd w:val="clear"/>
          <w:lang w:val="en-US" w:eastAsia="zh-CN"/>
        </w:rPr>
        <w:t>保障</w:t>
      </w:r>
      <w:r>
        <w:rPr>
          <w:rFonts w:hint="default" w:ascii="Times New Roman" w:hAnsi="Times New Roman" w:eastAsia="仿宋_GB2312" w:cs="Times New Roman"/>
          <w:color w:val="000000"/>
          <w:kern w:val="0"/>
          <w:sz w:val="32"/>
          <w:szCs w:val="32"/>
          <w:shd w:val="clear"/>
        </w:rPr>
        <w:t>质量</w:t>
      </w:r>
      <w:r>
        <w:rPr>
          <w:rFonts w:hint="eastAsia" w:ascii="Times New Roman" w:hAnsi="Times New Roman" w:eastAsia="仿宋_GB2312" w:cs="Times New Roman"/>
          <w:color w:val="000000"/>
          <w:kern w:val="0"/>
          <w:sz w:val="32"/>
          <w:szCs w:val="32"/>
          <w:shd w:val="clear"/>
          <w:lang w:eastAsia="zh-CN"/>
        </w:rPr>
        <w:t>，</w:t>
      </w:r>
      <w:r>
        <w:rPr>
          <w:rFonts w:hint="eastAsia" w:ascii="Times New Roman" w:hAnsi="Times New Roman" w:eastAsia="仿宋_GB2312" w:cs="Times New Roman"/>
          <w:color w:val="000000"/>
          <w:kern w:val="0"/>
          <w:sz w:val="32"/>
          <w:szCs w:val="32"/>
          <w:shd w:val="clear"/>
          <w:lang w:val="en-US" w:eastAsia="zh-CN"/>
        </w:rPr>
        <w:t>形成</w:t>
      </w:r>
      <w:r>
        <w:rPr>
          <w:rFonts w:hint="eastAsia" w:ascii="Times New Roman" w:hAnsi="Times New Roman" w:eastAsia="仿宋_GB2312" w:cs="Times New Roman"/>
          <w:color w:val="000000"/>
          <w:kern w:val="0"/>
          <w:sz w:val="32"/>
          <w:szCs w:val="32"/>
          <w:shd w:val="clear"/>
          <w:lang w:eastAsia="zh-CN"/>
        </w:rPr>
        <w:t>各地、各部门分工协作、齐抓共管的工作格局。</w:t>
      </w:r>
    </w:p>
    <w:p w14:paraId="2054E4DF">
      <w:pPr>
        <w:pStyle w:val="5"/>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56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pP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w:t>
      </w:r>
      <w:r>
        <w:rPr>
          <w:rFonts w:hint="eastAsia" w:ascii="楷体_GB2312" w:hAnsi="楷体_GB2312" w:eastAsia="楷体_GB2312" w:cs="楷体_GB2312"/>
          <w:i w:val="0"/>
          <w:iCs w:val="0"/>
          <w:caps w:val="0"/>
          <w:color w:val="0F1115"/>
          <w:spacing w:val="0"/>
          <w:sz w:val="32"/>
          <w:szCs w:val="32"/>
          <w:highlight w:val="none"/>
          <w:shd w:val="clear" w:color="auto" w:fill="auto"/>
          <w:lang w:val="en-US" w:eastAsia="zh-CN"/>
        </w:rPr>
        <w:t>九</w:t>
      </w: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）强化资金支持。</w:t>
      </w:r>
      <w:r>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t>按照政府引导、市场为主的原则，市级财政安排专项资金对符合条件的市场化会议、展览、节庆、赛事等会展活动进行奖励。市会展办和市财政局要加强资金的使用管理和绩效评价，充分发挥财政资金的宏观导向和激励作用；其余相关部门要积极争取上级支持，鼓励和引导更多社会资本投入，共同促进会展业发展。贵安新区管委会，各区（市、县）人民政府、开发区管委会可结合实际，统筹资金支持会展业发展。</w:t>
      </w:r>
    </w:p>
    <w:p w14:paraId="77B6CEE1">
      <w:pPr>
        <w:pStyle w:val="5"/>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56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pP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w:t>
      </w:r>
      <w:r>
        <w:rPr>
          <w:rFonts w:hint="eastAsia" w:ascii="楷体_GB2312" w:hAnsi="楷体_GB2312" w:eastAsia="楷体_GB2312" w:cs="楷体_GB2312"/>
          <w:i w:val="0"/>
          <w:iCs w:val="0"/>
          <w:caps w:val="0"/>
          <w:color w:val="0F1115"/>
          <w:spacing w:val="0"/>
          <w:sz w:val="32"/>
          <w:szCs w:val="32"/>
          <w:highlight w:val="none"/>
          <w:shd w:val="clear" w:color="auto" w:fill="auto"/>
          <w:lang w:val="en-US" w:eastAsia="zh-CN"/>
        </w:rPr>
        <w:t>十</w:t>
      </w: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）优化服务</w:t>
      </w:r>
      <w:r>
        <w:rPr>
          <w:rFonts w:hint="eastAsia" w:ascii="楷体_GB2312" w:hAnsi="楷体_GB2312" w:eastAsia="楷体_GB2312" w:cs="楷体_GB2312"/>
          <w:i w:val="0"/>
          <w:iCs w:val="0"/>
          <w:caps w:val="0"/>
          <w:color w:val="0F1115"/>
          <w:spacing w:val="0"/>
          <w:sz w:val="32"/>
          <w:szCs w:val="32"/>
          <w:highlight w:val="none"/>
          <w:shd w:val="clear" w:color="auto" w:fill="auto"/>
          <w:lang w:val="en-US" w:eastAsia="zh-CN"/>
        </w:rPr>
        <w:t>保障</w:t>
      </w: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w:t>
      </w:r>
      <w:r>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t>以“高效办成一件事”为牵引，深入推进“会展一次办”，提升政务服务审批效能。完善知识产权保护和纠纷调解机制，督促主办单位及参展企业落实主体责任，严厉打击会展侵权、虚假宣传、假冒伪劣、不正当竞争等违法行为，持续优化营商环境。</w:t>
      </w:r>
    </w:p>
    <w:p w14:paraId="0A7E93D9">
      <w:pPr>
        <w:pStyle w:val="5"/>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56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pP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w:t>
      </w:r>
      <w:r>
        <w:rPr>
          <w:rFonts w:hint="eastAsia" w:ascii="楷体_GB2312" w:hAnsi="楷体_GB2312" w:eastAsia="楷体_GB2312" w:cs="楷体_GB2312"/>
          <w:i w:val="0"/>
          <w:iCs w:val="0"/>
          <w:caps w:val="0"/>
          <w:color w:val="0F1115"/>
          <w:spacing w:val="0"/>
          <w:sz w:val="32"/>
          <w:szCs w:val="32"/>
          <w:highlight w:val="none"/>
          <w:shd w:val="clear" w:color="auto" w:fill="auto"/>
          <w:lang w:val="en-US" w:eastAsia="zh-CN"/>
        </w:rPr>
        <w:t>十一</w:t>
      </w: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w:t>
      </w:r>
      <w:r>
        <w:rPr>
          <w:rFonts w:hint="eastAsia" w:ascii="楷体_GB2312" w:hAnsi="楷体_GB2312" w:eastAsia="楷体_GB2312" w:cs="楷体_GB2312"/>
          <w:i w:val="0"/>
          <w:iCs w:val="0"/>
          <w:caps w:val="0"/>
          <w:color w:val="0F1115"/>
          <w:spacing w:val="0"/>
          <w:sz w:val="32"/>
          <w:szCs w:val="32"/>
          <w:highlight w:val="none"/>
          <w:shd w:val="clear" w:color="auto" w:fill="auto"/>
          <w:lang w:val="en-US" w:eastAsia="zh-CN"/>
        </w:rPr>
        <w:t>完善统计监测</w:t>
      </w: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w:t>
      </w:r>
      <w:r>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t>完善会展行业统计数据监测和分析体系，探索建立以场馆、酒店、会展承办单位和会展服务企业为主要对象的统计调查渠道，统一指标口径、采集标准、更新频率及流程规范，推动会展、商务、文旅、体育等行业数据共享互通，推进贵阳市会展业经济拉动效应测度与分析工作，进一步提升行业运行监测与科学决策水平。</w:t>
      </w:r>
    </w:p>
    <w:p w14:paraId="72D29CED">
      <w:pPr>
        <w:pStyle w:val="5"/>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56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pP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w:t>
      </w:r>
      <w:r>
        <w:rPr>
          <w:rFonts w:hint="eastAsia" w:ascii="楷体_GB2312" w:hAnsi="楷体_GB2312" w:eastAsia="楷体_GB2312" w:cs="楷体_GB2312"/>
          <w:i w:val="0"/>
          <w:iCs w:val="0"/>
          <w:caps w:val="0"/>
          <w:color w:val="0F1115"/>
          <w:spacing w:val="0"/>
          <w:sz w:val="32"/>
          <w:szCs w:val="32"/>
          <w:highlight w:val="none"/>
          <w:shd w:val="clear" w:color="auto" w:fill="auto"/>
          <w:lang w:val="en-US" w:eastAsia="zh-CN"/>
        </w:rPr>
        <w:t>十二</w:t>
      </w:r>
      <w:r>
        <w:rPr>
          <w:rFonts w:hint="eastAsia" w:ascii="楷体_GB2312" w:hAnsi="楷体_GB2312" w:eastAsia="楷体_GB2312" w:cs="楷体_GB2312"/>
          <w:i w:val="0"/>
          <w:iCs w:val="0"/>
          <w:caps w:val="0"/>
          <w:color w:val="0F1115"/>
          <w:spacing w:val="0"/>
          <w:sz w:val="32"/>
          <w:szCs w:val="32"/>
          <w:highlight w:val="none"/>
          <w:shd w:val="clear" w:color="auto" w:fill="auto"/>
          <w:lang w:eastAsia="zh-CN"/>
        </w:rPr>
        <w:t>）</w:t>
      </w:r>
      <w:r>
        <w:rPr>
          <w:rFonts w:hint="eastAsia" w:ascii="楷体_GB2312" w:hAnsi="楷体_GB2312" w:eastAsia="楷体_GB2312" w:cs="楷体_GB2312"/>
          <w:i w:val="0"/>
          <w:iCs w:val="0"/>
          <w:caps w:val="0"/>
          <w:color w:val="0F1115"/>
          <w:spacing w:val="0"/>
          <w:sz w:val="32"/>
          <w:szCs w:val="32"/>
          <w:highlight w:val="none"/>
          <w:shd w:val="clear" w:color="auto" w:fill="auto"/>
          <w:lang w:val="en-US" w:eastAsia="zh-CN"/>
        </w:rPr>
        <w:t>强化人才支撑。</w:t>
      </w:r>
      <w:r>
        <w:rPr>
          <w:rFonts w:hint="eastAsia" w:ascii="仿宋_GB2312" w:hAnsi="仿宋_GB2312" w:eastAsia="仿宋_GB2312" w:cs="仿宋_GB2312"/>
          <w:i w:val="0"/>
          <w:iCs w:val="0"/>
          <w:caps w:val="0"/>
          <w:color w:val="0F1115"/>
          <w:spacing w:val="0"/>
          <w:sz w:val="32"/>
          <w:szCs w:val="32"/>
          <w:highlight w:val="none"/>
          <w:shd w:val="clear" w:color="auto" w:fill="auto"/>
          <w:lang w:val="en-US" w:eastAsia="zh-CN"/>
        </w:rPr>
        <w:t>积极培育引进会展业高端人才，鼓励本地高等院校因地制宜设置会展业相关专业课程，开展会展前沿理论研究，培养复合型专业人才。积极引导校企合作，推动人才培养与产业需求动态衔接，依托本地品牌展会资源，构建从课堂到岗位的人才培养直通车，促进人才精准就业。鼓励支持市会展行业协会与省内外会展龙头企业、高校、行业组织等开展合作，谋划开展会展人才培训和技能提升活动，组织参加国际会展专业培训项目，助力企业获取国际会展组织资质认证。</w:t>
      </w:r>
    </w:p>
    <w:p w14:paraId="508B455E">
      <w:pPr>
        <w:pStyle w:val="5"/>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560" w:lineRule="exact"/>
        <w:ind w:left="0" w:right="0" w:firstLine="640" w:firstLineChars="200"/>
        <w:textAlignment w:val="auto"/>
        <w:rPr>
          <w:rFonts w:hint="default" w:ascii="仿宋_GB2312" w:hAnsi="仿宋_GB2312" w:eastAsia="仿宋_GB2312" w:cs="仿宋_GB2312"/>
          <w:i w:val="0"/>
          <w:iCs w:val="0"/>
          <w:caps w:val="0"/>
          <w:color w:val="0F1115"/>
          <w:spacing w:val="0"/>
          <w:sz w:val="32"/>
          <w:szCs w:val="32"/>
          <w:highlight w:val="none"/>
          <w:shd w:val="clear" w:color="auto" w:fill="auto"/>
          <w:lang w:val="en-US" w:eastAsia="zh-CN"/>
        </w:rPr>
      </w:pPr>
    </w:p>
    <w:p w14:paraId="077CF19F">
      <w:pPr>
        <w:pStyle w:val="5"/>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560" w:lineRule="exact"/>
        <w:ind w:left="0" w:right="0" w:firstLine="640" w:firstLineChars="200"/>
        <w:textAlignment w:val="auto"/>
        <w:rPr>
          <w:rFonts w:hint="default" w:ascii="仿宋_GB2312" w:hAnsi="仿宋_GB2312" w:eastAsia="仿宋_GB2312" w:cs="仿宋_GB2312"/>
          <w:i w:val="0"/>
          <w:iCs w:val="0"/>
          <w:caps w:val="0"/>
          <w:color w:val="0F1115"/>
          <w:spacing w:val="0"/>
          <w:sz w:val="32"/>
          <w:szCs w:val="32"/>
          <w:highlight w:val="none"/>
          <w:shd w:val="clear" w:color="auto" w:fill="auto"/>
          <w:lang w:val="en-US" w:eastAsia="zh-CN"/>
        </w:rPr>
      </w:pPr>
    </w:p>
    <w:p w14:paraId="390274D5">
      <w:pPr>
        <w:pStyle w:val="5"/>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560" w:lineRule="exact"/>
        <w:ind w:left="0" w:right="0" w:firstLine="640" w:firstLineChars="200"/>
        <w:textAlignment w:val="auto"/>
        <w:rPr>
          <w:rFonts w:hint="default" w:ascii="仿宋_GB2312" w:hAnsi="仿宋_GB2312" w:eastAsia="仿宋_GB2312" w:cs="仿宋_GB2312"/>
          <w:i w:val="0"/>
          <w:iCs w:val="0"/>
          <w:caps w:val="0"/>
          <w:color w:val="0F1115"/>
          <w:spacing w:val="0"/>
          <w:sz w:val="32"/>
          <w:szCs w:val="32"/>
          <w:highlight w:val="none"/>
          <w:shd w:val="clear" w:color="auto" w:fill="auto"/>
          <w:lang w:val="en-US" w:eastAsia="zh-CN"/>
        </w:rPr>
      </w:pPr>
    </w:p>
    <w:p w14:paraId="64C287A5">
      <w:pPr>
        <w:pStyle w:val="5"/>
        <w:keepNext w:val="0"/>
        <w:keepLines w:val="0"/>
        <w:pageBreakBefore w:val="0"/>
        <w:widowControl/>
        <w:suppressLineNumbers w:val="0"/>
        <w:shd w:val="clear"/>
        <w:kinsoku/>
        <w:wordWrap/>
        <w:overflowPunct/>
        <w:topLinePunct w:val="0"/>
        <w:autoSpaceDE/>
        <w:autoSpaceDN/>
        <w:bidi w:val="0"/>
        <w:adjustRightInd/>
        <w:snapToGrid/>
        <w:spacing w:before="0" w:beforeAutospacing="0" w:afterAutospacing="0" w:line="560" w:lineRule="exact"/>
        <w:ind w:left="0" w:right="0" w:firstLine="640" w:firstLineChars="200"/>
        <w:textAlignment w:val="auto"/>
        <w:rPr>
          <w:rFonts w:hint="default" w:ascii="仿宋_GB2312" w:hAnsi="仿宋_GB2312" w:eastAsia="仿宋_GB2312" w:cs="仿宋_GB2312"/>
          <w:i w:val="0"/>
          <w:iCs w:val="0"/>
          <w:caps w:val="0"/>
          <w:color w:val="0F1115"/>
          <w:spacing w:val="0"/>
          <w:sz w:val="32"/>
          <w:szCs w:val="32"/>
          <w:highlight w:val="none"/>
          <w:shd w:val="clear" w:color="auto" w:fill="auto"/>
          <w:lang w:val="en-US" w:eastAsia="zh-CN"/>
        </w:rPr>
      </w:pPr>
    </w:p>
    <w:p w14:paraId="5F1DDAF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default" w:ascii="黑体" w:hAnsi="黑体" w:eastAsia="黑体" w:cs="黑体"/>
          <w:sz w:val="32"/>
          <w:szCs w:val="40"/>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46FB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CAB2DF">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5CAB2DF">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FB8466"/>
    <w:multiLevelType w:val="singleLevel"/>
    <w:tmpl w:val="B7FB846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F82CC4"/>
    <w:rsid w:val="02153BB4"/>
    <w:rsid w:val="02FF22C0"/>
    <w:rsid w:val="06B371CB"/>
    <w:rsid w:val="09173EE8"/>
    <w:rsid w:val="09E46D61"/>
    <w:rsid w:val="0B5166AE"/>
    <w:rsid w:val="0EA16FFB"/>
    <w:rsid w:val="0FB40AA9"/>
    <w:rsid w:val="11A83278"/>
    <w:rsid w:val="130B7EEE"/>
    <w:rsid w:val="15806232"/>
    <w:rsid w:val="176C6F1B"/>
    <w:rsid w:val="1A774532"/>
    <w:rsid w:val="1AA7574E"/>
    <w:rsid w:val="1B6C00C4"/>
    <w:rsid w:val="1CD31A7D"/>
    <w:rsid w:val="1CF7709A"/>
    <w:rsid w:val="1E574E31"/>
    <w:rsid w:val="1FBF278C"/>
    <w:rsid w:val="1FCE3719"/>
    <w:rsid w:val="27E05829"/>
    <w:rsid w:val="28C80903"/>
    <w:rsid w:val="297D16EE"/>
    <w:rsid w:val="31343521"/>
    <w:rsid w:val="31EE2E91"/>
    <w:rsid w:val="367437B5"/>
    <w:rsid w:val="37776C62"/>
    <w:rsid w:val="39163B5D"/>
    <w:rsid w:val="391A15A8"/>
    <w:rsid w:val="3C027831"/>
    <w:rsid w:val="3E4B6ABE"/>
    <w:rsid w:val="464C0483"/>
    <w:rsid w:val="48AC2FFE"/>
    <w:rsid w:val="4A5B18C7"/>
    <w:rsid w:val="4EAF08DD"/>
    <w:rsid w:val="4F040887"/>
    <w:rsid w:val="4F641257"/>
    <w:rsid w:val="4F835BB3"/>
    <w:rsid w:val="500D25FA"/>
    <w:rsid w:val="51237E85"/>
    <w:rsid w:val="558B0884"/>
    <w:rsid w:val="558C7D08"/>
    <w:rsid w:val="55F824E2"/>
    <w:rsid w:val="58E944C2"/>
    <w:rsid w:val="59515EDD"/>
    <w:rsid w:val="5DE60842"/>
    <w:rsid w:val="5E47105B"/>
    <w:rsid w:val="5EEF468C"/>
    <w:rsid w:val="60F90EF8"/>
    <w:rsid w:val="66CC2D91"/>
    <w:rsid w:val="6AD001CA"/>
    <w:rsid w:val="6C464B18"/>
    <w:rsid w:val="6F437BA9"/>
    <w:rsid w:val="70947EAA"/>
    <w:rsid w:val="72D3078B"/>
    <w:rsid w:val="735E506F"/>
    <w:rsid w:val="735F3960"/>
    <w:rsid w:val="739E301A"/>
    <w:rsid w:val="73C72850"/>
    <w:rsid w:val="741A65D2"/>
    <w:rsid w:val="7563635A"/>
    <w:rsid w:val="79D64618"/>
    <w:rsid w:val="7A5B64AE"/>
    <w:rsid w:val="7FF371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spacing w:before="0" w:beforeAutospacing="1" w:after="0" w:afterAutospacing="1"/>
      <w:jc w:val="left"/>
    </w:pPr>
    <w:rPr>
      <w:rFonts w:hint="eastAsia" w:ascii="宋体" w:hAnsi="宋体" w:eastAsia="宋体" w:cs="宋体"/>
      <w:b/>
      <w:bCs/>
      <w:kern w:val="0"/>
      <w:sz w:val="36"/>
      <w:szCs w:val="36"/>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styleId="8">
    <w:name w:val="Strong"/>
    <w:basedOn w:val="7"/>
    <w:qFormat/>
    <w:uiPriority w:val="0"/>
    <w:rPr>
      <w:b/>
    </w:rPr>
  </w:style>
  <w:style w:type="paragraph" w:customStyle="1" w:styleId="9">
    <w:name w:val="Body Text First Indent 21"/>
    <w:basedOn w:val="10"/>
    <w:qFormat/>
    <w:uiPriority w:val="0"/>
    <w:pPr>
      <w:ind w:left="200" w:firstLine="420"/>
    </w:pPr>
    <w:rPr>
      <w:rFonts w:ascii="仿宋_GB2312" w:hAnsi="Times New Roman" w:eastAsia="仿宋_GB2312" w:cs="仿宋_GB2312"/>
      <w:sz w:val="32"/>
      <w:szCs w:val="32"/>
    </w:rPr>
  </w:style>
  <w:style w:type="paragraph" w:customStyle="1" w:styleId="10">
    <w:name w:val="Body Text Indent1"/>
    <w:basedOn w:val="11"/>
    <w:qFormat/>
    <w:uiPriority w:val="0"/>
    <w:pPr>
      <w:ind w:left="420" w:leftChars="200"/>
    </w:pPr>
    <w:rPr>
      <w:rFonts w:ascii="Times New Roman" w:hAnsi="Times New Roman" w:eastAsia="宋体" w:cs="Times New Roman"/>
    </w:rPr>
  </w:style>
  <w:style w:type="paragraph" w:customStyle="1" w:styleId="11">
    <w:name w:val="正文 New"/>
    <w:next w:val="2"/>
    <w:qFormat/>
    <w:uiPriority w:val="0"/>
    <w:pPr>
      <w:widowControl w:val="0"/>
      <w:adjustRightInd w:val="0"/>
      <w:spacing w:line="360" w:lineRule="atLeast"/>
      <w:jc w:val="both"/>
      <w:textAlignment w:val="baseline"/>
    </w:pPr>
    <w:rPr>
      <w:rFonts w:ascii="Times New Roman" w:hAnsi="Times New Roman" w:eastAsia="Times New Roman"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2651</Words>
  <Characters>2670</Characters>
  <Lines>0</Lines>
  <Paragraphs>0</Paragraphs>
  <TotalTime>6</TotalTime>
  <ScaleCrop>false</ScaleCrop>
  <LinksUpToDate>false</LinksUpToDate>
  <CharactersWithSpaces>2670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p</cp:lastModifiedBy>
  <cp:lastPrinted>2026-05-21T09:25:00Z</cp:lastPrinted>
  <dcterms:modified xsi:type="dcterms:W3CDTF">2026-09-01T07:09:57Z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eyJoZGlkIjoiOTk5M2FiNWUzNDFkMDRmMDgyMDJmNGUzM2ZjMTE3YmQiLCJ1c2VySWQiOiIxNTE1MzYyODYwIn0=</vt:lpwstr>
  </property>
  <property fmtid="{D5CDD505-2E9C-101B-9397-08002B2CF9AE}" pid="4" name="ICV">
    <vt:lpwstr>039B6E894C7649A1A7EF4B6A9E76F604_12</vt:lpwstr>
  </property>
</Properties>
</file>